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16" w:rsidRDefault="003F5916" w:rsidP="00F83ECC">
      <w:pPr>
        <w:pStyle w:val="Nadpis2"/>
        <w:numPr>
          <w:ilvl w:val="0"/>
          <w:numId w:val="0"/>
        </w:numPr>
        <w:ind w:left="851" w:hanging="851"/>
        <w:rPr>
          <w:sz w:val="36"/>
          <w:szCs w:val="36"/>
        </w:rPr>
      </w:pPr>
      <w:bookmarkStart w:id="0" w:name="_Toc416867040"/>
      <w:bookmarkStart w:id="1" w:name="_Toc416867105"/>
      <w:bookmarkStart w:id="2" w:name="_Toc413499644"/>
      <w:bookmarkStart w:id="3" w:name="_Toc413946044"/>
      <w:bookmarkStart w:id="4" w:name="_Toc415571929"/>
      <w:bookmarkStart w:id="5" w:name="_Toc415672983"/>
      <w:bookmarkStart w:id="6" w:name="_Toc415728785"/>
      <w:bookmarkStart w:id="7" w:name="_Toc416352512"/>
      <w:r>
        <w:rPr>
          <w:sz w:val="36"/>
          <w:szCs w:val="36"/>
        </w:rPr>
        <w:t>Avízo pro žadatele o parametrech výzvy</w:t>
      </w:r>
      <w:bookmarkEnd w:id="0"/>
      <w:bookmarkEnd w:id="1"/>
    </w:p>
    <w:bookmarkEnd w:id="2"/>
    <w:bookmarkEnd w:id="3"/>
    <w:bookmarkEnd w:id="4"/>
    <w:bookmarkEnd w:id="5"/>
    <w:bookmarkEnd w:id="6"/>
    <w:bookmarkEnd w:id="7"/>
    <w:p w:rsidR="00EE591B" w:rsidRPr="007266DF" w:rsidRDefault="00EE591B" w:rsidP="00F83ECC">
      <w:pPr>
        <w:rPr>
          <w:sz w:val="6"/>
          <w:szCs w:val="6"/>
        </w:rPr>
      </w:pPr>
    </w:p>
    <w:p w:rsidR="00EE591B" w:rsidRDefault="00EE591B" w:rsidP="00F83ECC">
      <w:r w:rsidRPr="00C54693">
        <w:t>Ministerstvo práce a sociálních věcí</w:t>
      </w:r>
      <w:r>
        <w:t>,</w:t>
      </w:r>
      <w:r w:rsidR="00522F5E">
        <w:t xml:space="preserve"> </w:t>
      </w:r>
      <w:r w:rsidR="0086596C" w:rsidRPr="00191740">
        <w:t>Odbor realizace programů ESF – veřejná správa a sociální inovace</w:t>
      </w:r>
      <w:r w:rsidR="006C20BC" w:rsidRPr="00191740">
        <w:t xml:space="preserve">, Oddělení projektů sociálních inovací a mezinárodní spolupráce </w:t>
      </w:r>
      <w:r w:rsidR="003F5916" w:rsidRPr="00191740">
        <w:t xml:space="preserve">informuje tímto dokumentem o připravované </w:t>
      </w:r>
      <w:r w:rsidRPr="00191740">
        <w:t>výzv</w:t>
      </w:r>
      <w:r w:rsidR="003F5916" w:rsidRPr="00191740">
        <w:t>ě</w:t>
      </w:r>
      <w:r w:rsidRPr="00191740">
        <w:t xml:space="preserve"> k </w:t>
      </w:r>
      <w:r w:rsidR="005A2C46" w:rsidRPr="00191740">
        <w:t xml:space="preserve">předkládání </w:t>
      </w:r>
      <w:r w:rsidRPr="00191740">
        <w:t>žádostí o podporu</w:t>
      </w:r>
      <w:r w:rsidR="006C20BC">
        <w:t xml:space="preserve"> </w:t>
      </w:r>
      <w:r w:rsidRPr="009156DA">
        <w:t>v rámci Operačního programu Zaměstnanost</w:t>
      </w:r>
    </w:p>
    <w:p w:rsidR="003F5916" w:rsidRDefault="003F5916" w:rsidP="00F83EC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80"/>
      </w:tblGrid>
      <w:tr w:rsidR="003F5916" w:rsidRPr="003F5916" w:rsidTr="003F5916">
        <w:tc>
          <w:tcPr>
            <w:tcW w:w="9210" w:type="dxa"/>
          </w:tcPr>
          <w:p w:rsidR="003F5916" w:rsidRPr="00926210" w:rsidRDefault="003F5916" w:rsidP="003F5916">
            <w:pPr>
              <w:pStyle w:val="Tabulkatext"/>
              <w:rPr>
                <w:b/>
                <w:color w:val="FF0000"/>
              </w:rPr>
            </w:pPr>
            <w:r w:rsidRPr="00926210">
              <w:rPr>
                <w:b/>
                <w:color w:val="FF0000"/>
              </w:rPr>
              <w:t xml:space="preserve">TENTO DOKUMENT NENÍ VÝZVOU K PŘEDKLÁDÁNÍ ŽÁDOSTÍ O PODPORU. </w:t>
            </w:r>
          </w:p>
          <w:p w:rsidR="003F5916" w:rsidRPr="00926210" w:rsidRDefault="003F5916" w:rsidP="003F5916">
            <w:pPr>
              <w:pStyle w:val="Tabulkatext"/>
              <w:rPr>
                <w:b/>
                <w:color w:val="FF0000"/>
              </w:rPr>
            </w:pPr>
            <w:r w:rsidRPr="00926210">
              <w:rPr>
                <w:b/>
                <w:color w:val="FF0000"/>
              </w:rPr>
              <w:t>TOTO AVÍZO OBSAHUJE POUZE PŘEDBĚŽNÉ INFORMACE, KONKRÉTNÍ VÝZVA K PŘEDKLÁDÁNÍ ŽÁDOSTÍ O PODPORU, KTERÁ BUDE NÁSLEDNĚ VYHLÁŠENA, SE MŮŽE OD PARAMETRŮ UVEDENÝCH V TOMTO AVÍZU ODLIŠOVAT.</w:t>
            </w:r>
          </w:p>
          <w:p w:rsidR="003F5916" w:rsidRPr="003F5916" w:rsidRDefault="003F5916" w:rsidP="003F5916">
            <w:pPr>
              <w:pStyle w:val="Tabulkatext"/>
              <w:rPr>
                <w:b/>
              </w:rPr>
            </w:pPr>
            <w:r w:rsidRPr="00926210">
              <w:rPr>
                <w:b/>
                <w:color w:val="FF0000"/>
              </w:rPr>
              <w:t>NA ZÁKLADĚ TOHOTO AVÍZA NENÍ MOŽNÉ PŘEDKLÁDAT ŽÁDOSTI O PODPORU.</w:t>
            </w:r>
          </w:p>
        </w:tc>
      </w:tr>
    </w:tbl>
    <w:p w:rsidR="00F83ECC" w:rsidRDefault="00F83ECC" w:rsidP="00F83ECC"/>
    <w:p w:rsidR="0023353E" w:rsidRDefault="0023353E" w:rsidP="00F83ECC"/>
    <w:p w:rsidR="0023353E" w:rsidRDefault="007266DF" w:rsidP="0023353E">
      <w:pPr>
        <w:pStyle w:val="Obsah2"/>
        <w:ind w:left="0"/>
        <w:rPr>
          <w:noProof/>
        </w:rPr>
      </w:pPr>
      <w:r>
        <w:t>OBSAH:</w:t>
      </w:r>
      <w:r w:rsidRPr="0023353E">
        <w:rPr>
          <w:sz w:val="20"/>
        </w:rPr>
        <w:fldChar w:fldCharType="begin"/>
      </w:r>
      <w:r w:rsidRPr="0023353E">
        <w:rPr>
          <w:sz w:val="20"/>
        </w:rPr>
        <w:instrText xml:space="preserve"> TOC \o "1-3" \h \z \u </w:instrText>
      </w:r>
      <w:r w:rsidRPr="0023353E">
        <w:rPr>
          <w:sz w:val="20"/>
        </w:rPr>
        <w:fldChar w:fldCharType="separate"/>
      </w:r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06" w:history="1">
        <w:r w:rsidR="0023353E" w:rsidRPr="003A64F9">
          <w:rPr>
            <w:rStyle w:val="Hypertextovodkaz"/>
          </w:rPr>
          <w:t>1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Identifikace připravované výzvy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_Toc416867106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2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07" w:history="1">
        <w:r w:rsidR="0023353E" w:rsidRPr="003A64F9">
          <w:rPr>
            <w:rStyle w:val="Hypertextovodkaz"/>
          </w:rPr>
          <w:t>2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Časové nastavení připravované výzvy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_Toc416867107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2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08" w:history="1">
        <w:r w:rsidR="0023353E" w:rsidRPr="003A64F9">
          <w:rPr>
            <w:rStyle w:val="Hypertextovodkaz"/>
          </w:rPr>
          <w:t>3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Informace o formě podpory v rámci připravované výzvy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_Toc416867108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2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09" w:history="1">
        <w:r w:rsidR="0023353E" w:rsidRPr="003A64F9">
          <w:rPr>
            <w:rStyle w:val="Hypertextovodkaz"/>
            <w:noProof/>
          </w:rPr>
          <w:t>3.1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Alokace připravované výzvy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_Toc416867109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2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0" w:history="1">
        <w:r w:rsidR="0023353E" w:rsidRPr="003A64F9">
          <w:rPr>
            <w:rStyle w:val="Hypertextovodkaz"/>
            <w:noProof/>
          </w:rPr>
          <w:t>3.2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Typ podporovaných operací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_Toc416867110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2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1" w:history="1">
        <w:r w:rsidR="0023353E" w:rsidRPr="003A64F9">
          <w:rPr>
            <w:rStyle w:val="Hypertextovodkaz"/>
            <w:noProof/>
          </w:rPr>
          <w:t>3.3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Vymezení oprávněných žadatelů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_Toc416867111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3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2" w:history="1">
        <w:r w:rsidR="0023353E" w:rsidRPr="003A64F9">
          <w:rPr>
            <w:rStyle w:val="Hypertextovodkaz"/>
            <w:noProof/>
          </w:rPr>
          <w:t>3.4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Vymezení oprávněných partnerů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_Toc416867112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4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3" w:history="1">
        <w:r w:rsidR="0023353E" w:rsidRPr="003A64F9">
          <w:rPr>
            <w:rStyle w:val="Hypertextovodkaz"/>
            <w:noProof/>
          </w:rPr>
          <w:t>3.5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Míra podpory – rozpad zdrojů financování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_Toc416867113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4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4" w:history="1">
        <w:r w:rsidR="0023353E" w:rsidRPr="003A64F9">
          <w:rPr>
            <w:rStyle w:val="Hypertextovodkaz"/>
            <w:noProof/>
          </w:rPr>
          <w:t>3.6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Maximální a minimální výše celkových způsobilých výdajů projektu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_Toc416867114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5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5" w:history="1">
        <w:r w:rsidR="0023353E" w:rsidRPr="003A64F9">
          <w:rPr>
            <w:rStyle w:val="Hypertextovodkaz"/>
            <w:noProof/>
          </w:rPr>
          <w:t>3.7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Forma financování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_Toc416867115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5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6" w:history="1">
        <w:r w:rsidR="0023353E" w:rsidRPr="003A64F9">
          <w:rPr>
            <w:rStyle w:val="Hypertextovodkaz"/>
            <w:noProof/>
          </w:rPr>
          <w:t>3.8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podmínkách veřejné podpory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_Toc416867116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6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17" w:history="1">
        <w:r w:rsidR="0023353E" w:rsidRPr="003A64F9">
          <w:rPr>
            <w:rStyle w:val="Hypertextovodkaz"/>
          </w:rPr>
          <w:t>4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Věcné zaměření připravované výzvy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_Toc416867117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6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8" w:history="1">
        <w:r w:rsidR="0023353E" w:rsidRPr="003A64F9">
          <w:rPr>
            <w:rStyle w:val="Hypertextovodkaz"/>
            <w:noProof/>
          </w:rPr>
          <w:t>4.1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Popis podporovaných aktivit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_Toc416867118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6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19" w:history="1">
        <w:r w:rsidR="0023353E" w:rsidRPr="003A64F9">
          <w:rPr>
            <w:rStyle w:val="Hypertextovodkaz"/>
            <w:noProof/>
          </w:rPr>
          <w:t>4.2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Indikátory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_Toc416867119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6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0" w:history="1">
        <w:r w:rsidR="0023353E" w:rsidRPr="003A64F9">
          <w:rPr>
            <w:rStyle w:val="Hypertextovodkaz"/>
            <w:noProof/>
          </w:rPr>
          <w:t>4.3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Cílové skupiny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_Toc416867120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6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1" w:history="1">
        <w:r w:rsidR="0023353E" w:rsidRPr="003A64F9">
          <w:rPr>
            <w:rStyle w:val="Hypertextovodkaz"/>
            <w:noProof/>
          </w:rPr>
          <w:t>4.4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počátečních / navazujících synergických výzvách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_Toc416867121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7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22" w:history="1">
        <w:r w:rsidR="0023353E" w:rsidRPr="003A64F9">
          <w:rPr>
            <w:rStyle w:val="Hypertextovodkaz"/>
          </w:rPr>
          <w:t>5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Územní zaměření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_Toc416867122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7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3" w:history="1">
        <w:r w:rsidR="0023353E" w:rsidRPr="003A64F9">
          <w:rPr>
            <w:rStyle w:val="Hypertextovodkaz"/>
            <w:noProof/>
          </w:rPr>
          <w:t>5.1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Přípustné místo realizace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_Toc416867123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7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24" w:history="1">
        <w:r w:rsidR="0023353E" w:rsidRPr="003A64F9">
          <w:rPr>
            <w:rStyle w:val="Hypertextovodkaz"/>
          </w:rPr>
          <w:t>6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Informace o způsobilosti výdajů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_Toc416867124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7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5" w:history="1">
        <w:r w:rsidR="0023353E" w:rsidRPr="003A64F9">
          <w:rPr>
            <w:rStyle w:val="Hypertextovodkaz"/>
            <w:noProof/>
          </w:rPr>
          <w:t>6.1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Věcná způsobilost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_Toc416867125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7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6" w:history="1">
        <w:r w:rsidR="0023353E" w:rsidRPr="003A64F9">
          <w:rPr>
            <w:rStyle w:val="Hypertextovodkaz"/>
            <w:noProof/>
          </w:rPr>
          <w:t>6.2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Časová způsobilost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_Toc416867126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7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7" w:history="1">
        <w:r w:rsidR="0023353E" w:rsidRPr="003A64F9">
          <w:rPr>
            <w:rStyle w:val="Hypertextovodkaz"/>
            <w:noProof/>
          </w:rPr>
          <w:t>6.3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křížovém financování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_Toc416867127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8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28" w:history="1">
        <w:r w:rsidR="0023353E" w:rsidRPr="003A64F9">
          <w:rPr>
            <w:rStyle w:val="Hypertextovodkaz"/>
            <w:noProof/>
          </w:rPr>
          <w:t>6.4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nepřímých nákladech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_Toc416867128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8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29" w:history="1">
        <w:r w:rsidR="0023353E" w:rsidRPr="003A64F9">
          <w:rPr>
            <w:rStyle w:val="Hypertextovodkaz"/>
          </w:rPr>
          <w:t>7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Předpokládané náležitosti budoucích žádostí o podporu, způsob podání, možnost konzultací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_Toc416867129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8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0" w:history="1">
        <w:r w:rsidR="0023353E" w:rsidRPr="003A64F9">
          <w:rPr>
            <w:rStyle w:val="Hypertextovodkaz"/>
            <w:noProof/>
          </w:rPr>
          <w:t>7.1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Povinné přílohy budoucí žádosti o podporu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_Toc416867130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8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1" w:history="1">
        <w:r w:rsidR="0023353E" w:rsidRPr="003A64F9">
          <w:rPr>
            <w:rStyle w:val="Hypertextovodkaz"/>
            <w:noProof/>
          </w:rPr>
          <w:t>7.2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způsobu podání žádosti o podporu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_Toc416867131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8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2" w:history="1">
        <w:r w:rsidR="0023353E" w:rsidRPr="003A64F9">
          <w:rPr>
            <w:rStyle w:val="Hypertextovodkaz"/>
            <w:noProof/>
          </w:rPr>
          <w:t>7.3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Informace o způsobu poskytování konzultací k přípravě žádosti o podporu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_Toc416867132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9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33" w:history="1">
        <w:r w:rsidR="0023353E" w:rsidRPr="003A64F9">
          <w:rPr>
            <w:rStyle w:val="Hypertextovodkaz"/>
          </w:rPr>
          <w:t>8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Informace o budoucím způsobu hodnocení a výběru projektů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_Toc416867133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9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34" w:history="1">
        <w:r w:rsidR="0023353E" w:rsidRPr="003A64F9">
          <w:rPr>
            <w:rStyle w:val="Hypertextovodkaz"/>
          </w:rPr>
          <w:t>9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Postup pro výzvy s dílčími alokacemi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_Toc416867134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9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35" w:history="1">
        <w:r w:rsidR="0023353E" w:rsidRPr="003A64F9">
          <w:rPr>
            <w:rStyle w:val="Hypertextovodkaz"/>
          </w:rPr>
          <w:t>10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Přehled navazující dokumentace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_Toc416867135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9</w:t>
        </w:r>
        <w:r w:rsidR="0023353E">
          <w:rPr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6" w:history="1">
        <w:r w:rsidR="0023353E" w:rsidRPr="003A64F9">
          <w:rPr>
            <w:rStyle w:val="Hypertextovodkaz"/>
            <w:noProof/>
          </w:rPr>
          <w:t>10.1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Budoucí umístění textu dosud připravované výzvy na webovém portále OPZ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_Toc416867136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9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7" w:history="1">
        <w:r w:rsidR="0023353E" w:rsidRPr="003A64F9">
          <w:rPr>
            <w:rStyle w:val="Hypertextovodkaz"/>
            <w:noProof/>
          </w:rPr>
          <w:t>10.2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Odkaz na pravidla pro žadatele a příjemce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_Toc416867137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9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8" w:history="1">
        <w:r w:rsidR="0023353E" w:rsidRPr="003A64F9">
          <w:rPr>
            <w:rStyle w:val="Hypertextovodkaz"/>
            <w:noProof/>
          </w:rPr>
          <w:t>10.3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Odkaz na vzor právního aktu o poskytnutí podpory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_Toc416867138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10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39" w:history="1">
        <w:r w:rsidR="0023353E" w:rsidRPr="003A64F9">
          <w:rPr>
            <w:rStyle w:val="Hypertextovodkaz"/>
            <w:noProof/>
          </w:rPr>
          <w:t>10.4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Odůvodnění zacílení připravované výzvy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_Toc416867139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10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2"/>
        <w:rPr>
          <w:rFonts w:eastAsiaTheme="minorEastAsia"/>
          <w:noProof/>
          <w:szCs w:val="22"/>
          <w:lang w:eastAsia="cs-CZ"/>
        </w:rPr>
      </w:pPr>
      <w:hyperlink w:anchor="_Toc416867140" w:history="1">
        <w:r w:rsidR="0023353E" w:rsidRPr="003A64F9">
          <w:rPr>
            <w:rStyle w:val="Hypertextovodkaz"/>
            <w:noProof/>
          </w:rPr>
          <w:t>10.5</w:t>
        </w:r>
        <w:r w:rsidR="0023353E">
          <w:rPr>
            <w:rFonts w:eastAsiaTheme="minorEastAsia"/>
            <w:noProof/>
            <w:szCs w:val="22"/>
            <w:lang w:eastAsia="cs-CZ"/>
          </w:rPr>
          <w:tab/>
        </w:r>
        <w:r w:rsidR="0023353E" w:rsidRPr="003A64F9">
          <w:rPr>
            <w:rStyle w:val="Hypertextovodkaz"/>
            <w:noProof/>
          </w:rPr>
          <w:t>Odkaz na případné další relevantní dokumenty</w:t>
        </w:r>
        <w:r w:rsidR="0023353E">
          <w:rPr>
            <w:noProof/>
            <w:webHidden/>
          </w:rPr>
          <w:tab/>
        </w:r>
        <w:r w:rsidR="0023353E">
          <w:rPr>
            <w:noProof/>
            <w:webHidden/>
          </w:rPr>
          <w:fldChar w:fldCharType="begin"/>
        </w:r>
        <w:r w:rsidR="0023353E">
          <w:rPr>
            <w:noProof/>
            <w:webHidden/>
          </w:rPr>
          <w:instrText xml:space="preserve"> PAGEREF _Toc416867140 \h </w:instrText>
        </w:r>
        <w:r w:rsidR="0023353E">
          <w:rPr>
            <w:noProof/>
            <w:webHidden/>
          </w:rPr>
        </w:r>
        <w:r w:rsidR="0023353E">
          <w:rPr>
            <w:noProof/>
            <w:webHidden/>
          </w:rPr>
          <w:fldChar w:fldCharType="separate"/>
        </w:r>
        <w:r w:rsidR="005F209B">
          <w:rPr>
            <w:noProof/>
            <w:webHidden/>
          </w:rPr>
          <w:t>10</w:t>
        </w:r>
        <w:r w:rsidR="0023353E">
          <w:rPr>
            <w:noProof/>
            <w:webHidden/>
          </w:rPr>
          <w:fldChar w:fldCharType="end"/>
        </w:r>
      </w:hyperlink>
    </w:p>
    <w:p w:rsidR="0023353E" w:rsidRDefault="000B2DE6">
      <w:pPr>
        <w:pStyle w:val="Obsah1"/>
        <w:rPr>
          <w:rFonts w:eastAsiaTheme="minorEastAsia"/>
          <w:b w:val="0"/>
          <w:bCs w:val="0"/>
          <w:caps w:val="0"/>
          <w:szCs w:val="22"/>
          <w:lang w:eastAsia="cs-CZ"/>
        </w:rPr>
      </w:pPr>
      <w:hyperlink w:anchor="_Toc416867141" w:history="1">
        <w:r w:rsidR="0023353E" w:rsidRPr="003A64F9">
          <w:rPr>
            <w:rStyle w:val="Hypertextovodkaz"/>
          </w:rPr>
          <w:t>11</w:t>
        </w:r>
        <w:r w:rsidR="0023353E">
          <w:rPr>
            <w:rFonts w:eastAsiaTheme="minorEastAsia"/>
            <w:b w:val="0"/>
            <w:bCs w:val="0"/>
            <w:caps w:val="0"/>
            <w:szCs w:val="22"/>
            <w:lang w:eastAsia="cs-CZ"/>
          </w:rPr>
          <w:tab/>
        </w:r>
        <w:r w:rsidR="0023353E" w:rsidRPr="003A64F9">
          <w:rPr>
            <w:rStyle w:val="Hypertextovodkaz"/>
          </w:rPr>
          <w:t>Přílohy avíza pro žadatele o parametrech výzvy</w:t>
        </w:r>
        <w:r w:rsidR="0023353E">
          <w:rPr>
            <w:webHidden/>
          </w:rPr>
          <w:tab/>
        </w:r>
        <w:r w:rsidR="0023353E">
          <w:rPr>
            <w:webHidden/>
          </w:rPr>
          <w:fldChar w:fldCharType="begin"/>
        </w:r>
        <w:r w:rsidR="0023353E">
          <w:rPr>
            <w:webHidden/>
          </w:rPr>
          <w:instrText xml:space="preserve"> PAGEREF _Toc416867141 \h </w:instrText>
        </w:r>
        <w:r w:rsidR="0023353E">
          <w:rPr>
            <w:webHidden/>
          </w:rPr>
        </w:r>
        <w:r w:rsidR="0023353E">
          <w:rPr>
            <w:webHidden/>
          </w:rPr>
          <w:fldChar w:fldCharType="separate"/>
        </w:r>
        <w:r w:rsidR="005F209B">
          <w:rPr>
            <w:webHidden/>
          </w:rPr>
          <w:t>10</w:t>
        </w:r>
        <w:r w:rsidR="0023353E">
          <w:rPr>
            <w:webHidden/>
          </w:rPr>
          <w:fldChar w:fldCharType="end"/>
        </w:r>
      </w:hyperlink>
    </w:p>
    <w:p w:rsidR="007266DF" w:rsidRDefault="007266DF" w:rsidP="0023353E">
      <w:r w:rsidRPr="0023353E">
        <w:rPr>
          <w:sz w:val="20"/>
          <w:szCs w:val="20"/>
        </w:rPr>
        <w:fldChar w:fldCharType="end"/>
      </w:r>
    </w:p>
    <w:p w:rsidR="0023353E" w:rsidRDefault="0023353E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EE591B" w:rsidRPr="00F83ECC" w:rsidRDefault="00EE591B" w:rsidP="00F83ECC">
      <w:pPr>
        <w:pStyle w:val="Nadpis1"/>
      </w:pPr>
      <w:bookmarkStart w:id="8" w:name="_Toc416867106"/>
      <w:r w:rsidRPr="00F83ECC">
        <w:t xml:space="preserve">Identifikace </w:t>
      </w:r>
      <w:r w:rsidR="003F5916">
        <w:t xml:space="preserve">připravované </w:t>
      </w:r>
      <w:r w:rsidRPr="00F83ECC">
        <w:t>výzvy</w:t>
      </w:r>
      <w:bookmarkEnd w:id="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0"/>
        <w:gridCol w:w="4530"/>
      </w:tblGrid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Prioritní osa</w:t>
            </w:r>
          </w:p>
        </w:tc>
        <w:tc>
          <w:tcPr>
            <w:tcW w:w="4530" w:type="dxa"/>
          </w:tcPr>
          <w:p w:rsidR="00B63E73" w:rsidRDefault="007D4AFB" w:rsidP="00B63E73">
            <w:pPr>
              <w:pStyle w:val="Tabulkatext"/>
            </w:pPr>
            <w:r>
              <w:t>3</w:t>
            </w:r>
            <w:r w:rsidR="00E978F7">
              <w:t xml:space="preserve"> Sociální inovace a mezinárodní spolupráce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Investiční priorita</w:t>
            </w:r>
          </w:p>
        </w:tc>
        <w:tc>
          <w:tcPr>
            <w:tcW w:w="4530" w:type="dxa"/>
          </w:tcPr>
          <w:p w:rsidR="00B63E73" w:rsidRDefault="00E978F7" w:rsidP="00B63E73">
            <w:pPr>
              <w:pStyle w:val="Tabulkatext"/>
            </w:pPr>
            <w:r>
              <w:t>3.1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Specifický cíl</w:t>
            </w:r>
          </w:p>
        </w:tc>
        <w:tc>
          <w:tcPr>
            <w:tcW w:w="4530" w:type="dxa"/>
          </w:tcPr>
          <w:p w:rsidR="00B63E73" w:rsidRPr="00E978F7" w:rsidRDefault="007D4AFB" w:rsidP="00B63E73">
            <w:pPr>
              <w:pStyle w:val="Tabulkatext"/>
            </w:pPr>
            <w:r w:rsidRPr="00E978F7">
              <w:rPr>
                <w:bCs/>
              </w:rPr>
              <w:t>3.1.1: Zvýšit kvalitu a kvantitu využívání sociálních inovací a mezinárodní spolupráce v tematických oblastech OPZ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 xml:space="preserve">Číslo </w:t>
            </w:r>
            <w:r w:rsidR="009A2E7D">
              <w:rPr>
                <w:b/>
              </w:rPr>
              <w:t xml:space="preserve">připravované </w:t>
            </w:r>
            <w:r w:rsidRPr="00B63E73">
              <w:rPr>
                <w:b/>
              </w:rPr>
              <w:t>výzvy</w:t>
            </w:r>
          </w:p>
        </w:tc>
        <w:tc>
          <w:tcPr>
            <w:tcW w:w="4530" w:type="dxa"/>
          </w:tcPr>
          <w:p w:rsidR="00B63E73" w:rsidRDefault="00A87E8F" w:rsidP="00B63E73">
            <w:pPr>
              <w:pStyle w:val="Tabulkatext"/>
            </w:pPr>
            <w:r w:rsidRPr="00DE4D4B">
              <w:t>03_15_032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 xml:space="preserve">Název </w:t>
            </w:r>
            <w:r w:rsidR="009A2E7D">
              <w:rPr>
                <w:b/>
              </w:rPr>
              <w:t xml:space="preserve">připravované </w:t>
            </w:r>
            <w:r w:rsidRPr="00B63E73">
              <w:rPr>
                <w:b/>
              </w:rPr>
              <w:t>výzvy</w:t>
            </w:r>
          </w:p>
        </w:tc>
        <w:tc>
          <w:tcPr>
            <w:tcW w:w="4530" w:type="dxa"/>
          </w:tcPr>
          <w:p w:rsidR="00B63E73" w:rsidRDefault="007D4AFB" w:rsidP="00955420">
            <w:pPr>
              <w:pStyle w:val="Tabulkatext"/>
            </w:pPr>
            <w:r w:rsidRPr="00AF04BC">
              <w:t xml:space="preserve">Mezinárodní </w:t>
            </w:r>
            <w:r w:rsidR="00955420" w:rsidRPr="00AF04BC">
              <w:t xml:space="preserve">spolupráce v oblastech: sociální začleňování, </w:t>
            </w:r>
            <w:r w:rsidRPr="00AF04BC">
              <w:t>mobilita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9156DA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 xml:space="preserve">Druh </w:t>
            </w:r>
            <w:r w:rsidR="009A2E7D">
              <w:rPr>
                <w:b/>
              </w:rPr>
              <w:t xml:space="preserve">připravované </w:t>
            </w:r>
            <w:r w:rsidRPr="00B63E73">
              <w:rPr>
                <w:b/>
              </w:rPr>
              <w:t>výzvy</w:t>
            </w:r>
          </w:p>
        </w:tc>
        <w:tc>
          <w:tcPr>
            <w:tcW w:w="4530" w:type="dxa"/>
          </w:tcPr>
          <w:p w:rsidR="00B63E73" w:rsidRDefault="00B63E73" w:rsidP="00B63E73">
            <w:pPr>
              <w:pStyle w:val="Tabulkatext"/>
            </w:pPr>
            <w:r>
              <w:t>K</w:t>
            </w:r>
            <w:r w:rsidRPr="0022777C">
              <w:t>olová</w:t>
            </w:r>
          </w:p>
        </w:tc>
      </w:tr>
      <w:tr w:rsidR="009156DA" w:rsidTr="00B63E73">
        <w:tc>
          <w:tcPr>
            <w:tcW w:w="4550" w:type="dxa"/>
          </w:tcPr>
          <w:p w:rsidR="009156DA" w:rsidRPr="00B63E73" w:rsidRDefault="009156DA" w:rsidP="009156DA">
            <w:pPr>
              <w:pStyle w:val="Tabulkatext"/>
              <w:rPr>
                <w:b/>
              </w:rPr>
            </w:pPr>
            <w:r>
              <w:rPr>
                <w:b/>
              </w:rPr>
              <w:t xml:space="preserve">Určení z hlediska </w:t>
            </w:r>
            <w:r w:rsidRPr="009156DA">
              <w:rPr>
                <w:b/>
              </w:rPr>
              <w:t>konkurence mezi projekty</w:t>
            </w:r>
          </w:p>
        </w:tc>
        <w:tc>
          <w:tcPr>
            <w:tcW w:w="4530" w:type="dxa"/>
          </w:tcPr>
          <w:p w:rsidR="009156DA" w:rsidRDefault="009156DA" w:rsidP="00955420">
            <w:pPr>
              <w:pStyle w:val="Tabulkatext"/>
            </w:pPr>
            <w:r>
              <w:t>Otevřená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Určení, zda se jedná o synergickou nebo komplementární výzvu</w:t>
            </w:r>
          </w:p>
        </w:tc>
        <w:tc>
          <w:tcPr>
            <w:tcW w:w="4530" w:type="dxa"/>
          </w:tcPr>
          <w:p w:rsidR="00B63E73" w:rsidRDefault="006705B8" w:rsidP="00B63E73">
            <w:pPr>
              <w:pStyle w:val="Tabulkatext"/>
            </w:pPr>
            <w:r>
              <w:t>Není relevantní</w:t>
            </w:r>
          </w:p>
        </w:tc>
      </w:tr>
      <w:tr w:rsidR="00B63E73" w:rsidTr="00B63E73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Model hodnocení</w:t>
            </w:r>
          </w:p>
        </w:tc>
        <w:tc>
          <w:tcPr>
            <w:tcW w:w="4530" w:type="dxa"/>
          </w:tcPr>
          <w:p w:rsidR="00B63E73" w:rsidRDefault="00B63E73" w:rsidP="00955420">
            <w:pPr>
              <w:pStyle w:val="Tabulkatext"/>
            </w:pPr>
            <w:r>
              <w:t>J</w:t>
            </w:r>
            <w:r w:rsidRPr="0022777C">
              <w:t>ednokolový</w:t>
            </w:r>
          </w:p>
        </w:tc>
      </w:tr>
    </w:tbl>
    <w:p w:rsidR="00B63E73" w:rsidRDefault="00B63E73" w:rsidP="00F83ECC"/>
    <w:p w:rsidR="00D2617D" w:rsidRPr="00F83ECC" w:rsidRDefault="00D2617D" w:rsidP="00F83ECC"/>
    <w:p w:rsidR="00EE591B" w:rsidRPr="0022777C" w:rsidRDefault="00EE591B" w:rsidP="00F83ECC">
      <w:pPr>
        <w:pStyle w:val="Nadpis1"/>
      </w:pPr>
      <w:bookmarkStart w:id="9" w:name="_Toc416867107"/>
      <w:r w:rsidRPr="0022777C">
        <w:t>Časové nastavení</w:t>
      </w:r>
      <w:r w:rsidR="003F5916">
        <w:t xml:space="preserve"> připravované výzvy</w:t>
      </w:r>
      <w:bookmarkEnd w:id="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0"/>
        <w:gridCol w:w="4530"/>
      </w:tblGrid>
      <w:tr w:rsidR="00B63E73" w:rsidTr="00AF04BC">
        <w:tc>
          <w:tcPr>
            <w:tcW w:w="4550" w:type="dxa"/>
          </w:tcPr>
          <w:p w:rsidR="00B63E73" w:rsidRPr="00B63E73" w:rsidRDefault="003F5916" w:rsidP="00B63E73">
            <w:pPr>
              <w:pStyle w:val="Tabulkatext"/>
              <w:rPr>
                <w:b/>
              </w:rPr>
            </w:pPr>
            <w:r>
              <w:rPr>
                <w:b/>
              </w:rPr>
              <w:t xml:space="preserve">Předpokládané </w:t>
            </w:r>
            <w:r w:rsidR="00B63E73" w:rsidRPr="00B63E73">
              <w:rPr>
                <w:b/>
              </w:rPr>
              <w:t xml:space="preserve">vyhlášení </w:t>
            </w:r>
            <w:r w:rsidR="00895FB3">
              <w:rPr>
                <w:b/>
              </w:rPr>
              <w:t xml:space="preserve">připravované </w:t>
            </w:r>
            <w:r w:rsidR="00B63E73" w:rsidRPr="00B63E73">
              <w:rPr>
                <w:b/>
              </w:rPr>
              <w:t>výzvy</w:t>
            </w:r>
          </w:p>
        </w:tc>
        <w:tc>
          <w:tcPr>
            <w:tcW w:w="4530" w:type="dxa"/>
            <w:vAlign w:val="center"/>
          </w:tcPr>
          <w:p w:rsidR="00B63E73" w:rsidRPr="009E22AF" w:rsidRDefault="009E22AF" w:rsidP="00AF04BC">
            <w:pPr>
              <w:pStyle w:val="Tabulkatext"/>
              <w:rPr>
                <w:highlight w:val="yellow"/>
              </w:rPr>
            </w:pPr>
            <w:r w:rsidRPr="00AF04BC">
              <w:t>1. 9.</w:t>
            </w:r>
            <w:r w:rsidR="00AF04BC">
              <w:t xml:space="preserve"> </w:t>
            </w:r>
            <w:r w:rsidRPr="00AF04BC">
              <w:t>2015</w:t>
            </w:r>
          </w:p>
        </w:tc>
      </w:tr>
      <w:tr w:rsidR="00B63E73" w:rsidTr="00AF04BC">
        <w:tc>
          <w:tcPr>
            <w:tcW w:w="4550" w:type="dxa"/>
          </w:tcPr>
          <w:p w:rsidR="00B63E73" w:rsidRPr="00B63E73" w:rsidRDefault="003F5916" w:rsidP="003F5916">
            <w:pPr>
              <w:pStyle w:val="Tabulkatext"/>
              <w:rPr>
                <w:b/>
              </w:rPr>
            </w:pPr>
            <w:r>
              <w:rPr>
                <w:b/>
              </w:rPr>
              <w:t>Předpokládané d</w:t>
            </w:r>
            <w:r w:rsidR="00B63E73" w:rsidRPr="00B63E73">
              <w:rPr>
                <w:b/>
              </w:rPr>
              <w:t>atum ukončení příjmu žádostí o podporu</w:t>
            </w:r>
          </w:p>
        </w:tc>
        <w:tc>
          <w:tcPr>
            <w:tcW w:w="4530" w:type="dxa"/>
            <w:vAlign w:val="center"/>
          </w:tcPr>
          <w:p w:rsidR="00B63E73" w:rsidRPr="009E22AF" w:rsidRDefault="00E978F7" w:rsidP="00AF04BC">
            <w:pPr>
              <w:pStyle w:val="Tabulkatext"/>
              <w:rPr>
                <w:highlight w:val="yellow"/>
              </w:rPr>
            </w:pPr>
            <w:r w:rsidRPr="00AF04BC">
              <w:t>3</w:t>
            </w:r>
            <w:r w:rsidR="0025518E" w:rsidRPr="00AF04BC">
              <w:t>0</w:t>
            </w:r>
            <w:r w:rsidRPr="00AF04BC">
              <w:t>. 1</w:t>
            </w:r>
            <w:r w:rsidR="009E22AF" w:rsidRPr="00AF04BC">
              <w:t>1</w:t>
            </w:r>
            <w:r w:rsidRPr="00AF04BC">
              <w:t>. 2015</w:t>
            </w:r>
          </w:p>
        </w:tc>
      </w:tr>
      <w:tr w:rsidR="00B63E73" w:rsidTr="00AF04BC">
        <w:tc>
          <w:tcPr>
            <w:tcW w:w="4550" w:type="dxa"/>
          </w:tcPr>
          <w:p w:rsidR="00B63E73" w:rsidRPr="00B63E73" w:rsidRDefault="00B63E73" w:rsidP="003F5916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 xml:space="preserve">Maximální délka, na kterou </w:t>
            </w:r>
            <w:r w:rsidR="003F5916">
              <w:rPr>
                <w:b/>
              </w:rPr>
              <w:t xml:space="preserve">bude </w:t>
            </w:r>
            <w:r w:rsidRPr="00B63E73">
              <w:rPr>
                <w:b/>
              </w:rPr>
              <w:t>žadatel oprávněn projekt naplánovat</w:t>
            </w:r>
          </w:p>
        </w:tc>
        <w:tc>
          <w:tcPr>
            <w:tcW w:w="4530" w:type="dxa"/>
            <w:vAlign w:val="center"/>
          </w:tcPr>
          <w:p w:rsidR="00B63E73" w:rsidRDefault="00E978F7" w:rsidP="00AF04BC">
            <w:pPr>
              <w:pStyle w:val="Tabulkatext"/>
            </w:pPr>
            <w:r>
              <w:t>2 roky</w:t>
            </w:r>
          </w:p>
        </w:tc>
      </w:tr>
      <w:tr w:rsidR="00B63E73" w:rsidTr="00AF04BC">
        <w:tc>
          <w:tcPr>
            <w:tcW w:w="4550" w:type="dxa"/>
          </w:tcPr>
          <w:p w:rsidR="00B63E73" w:rsidRPr="00B63E73" w:rsidRDefault="00B63E73" w:rsidP="00B63E73">
            <w:pPr>
              <w:pStyle w:val="Tabulkatext"/>
              <w:rPr>
                <w:b/>
              </w:rPr>
            </w:pPr>
            <w:r w:rsidRPr="00B63E73">
              <w:rPr>
                <w:b/>
              </w:rPr>
              <w:t>Nejzazší datum pro ukončení fyzické realizace projektu</w:t>
            </w:r>
          </w:p>
        </w:tc>
        <w:tc>
          <w:tcPr>
            <w:tcW w:w="4530" w:type="dxa"/>
            <w:vAlign w:val="center"/>
          </w:tcPr>
          <w:p w:rsidR="00B63E73" w:rsidRDefault="00CD7540" w:rsidP="00AF04BC">
            <w:pPr>
              <w:pStyle w:val="Tabulkatext"/>
            </w:pPr>
            <w:r>
              <w:t>31.</w:t>
            </w:r>
            <w:r w:rsidR="009E22AF">
              <w:t xml:space="preserve"> </w:t>
            </w:r>
            <w:r>
              <w:t>12.</w:t>
            </w:r>
            <w:r w:rsidR="009E22AF">
              <w:t xml:space="preserve"> </w:t>
            </w:r>
            <w:r>
              <w:t>2018</w:t>
            </w:r>
          </w:p>
        </w:tc>
      </w:tr>
    </w:tbl>
    <w:p w:rsidR="007266DF" w:rsidRDefault="007266DF" w:rsidP="007266DF"/>
    <w:p w:rsidR="00D2617D" w:rsidRDefault="00D2617D" w:rsidP="007266DF"/>
    <w:p w:rsidR="00EE591B" w:rsidRPr="0022777C" w:rsidRDefault="00EE591B" w:rsidP="00F83ECC">
      <w:pPr>
        <w:pStyle w:val="Nadpis1"/>
      </w:pPr>
      <w:bookmarkStart w:id="10" w:name="_Toc416867108"/>
      <w:r w:rsidRPr="0022777C">
        <w:t>Informace o formě podpory</w:t>
      </w:r>
      <w:r w:rsidR="008E2A07">
        <w:t xml:space="preserve"> v rámci připravované výzvy</w:t>
      </w:r>
      <w:bookmarkEnd w:id="10"/>
    </w:p>
    <w:p w:rsidR="00EE591B" w:rsidRDefault="00EE591B" w:rsidP="00F83ECC">
      <w:pPr>
        <w:pStyle w:val="Nadpis2"/>
      </w:pPr>
      <w:bookmarkStart w:id="11" w:name="_Toc416867109"/>
      <w:r>
        <w:t>A</w:t>
      </w:r>
      <w:r w:rsidRPr="0057784F">
        <w:t xml:space="preserve">lokace </w:t>
      </w:r>
      <w:r w:rsidR="008E2A07">
        <w:t xml:space="preserve">připravované </w:t>
      </w:r>
      <w:r w:rsidRPr="0057784F">
        <w:t>výzvy</w:t>
      </w:r>
      <w:bookmarkEnd w:id="11"/>
    </w:p>
    <w:p w:rsidR="003A3177" w:rsidRPr="00F83ECC" w:rsidRDefault="003A3177" w:rsidP="00F83ECC">
      <w:r>
        <w:t xml:space="preserve">75 mil. </w:t>
      </w:r>
      <w:r w:rsidR="00EC513F">
        <w:t>CZK</w:t>
      </w:r>
    </w:p>
    <w:p w:rsidR="00F83ECC" w:rsidRDefault="00EE591B" w:rsidP="00F83ECC">
      <w:pPr>
        <w:pStyle w:val="Nadpis2"/>
      </w:pPr>
      <w:bookmarkStart w:id="12" w:name="_Toc416867110"/>
      <w:r>
        <w:t>T</w:t>
      </w:r>
      <w:r w:rsidRPr="0022777C">
        <w:t>yp podporovaných operací</w:t>
      </w:r>
      <w:bookmarkEnd w:id="12"/>
    </w:p>
    <w:p w:rsidR="00163775" w:rsidRPr="007F0CD8" w:rsidRDefault="003A3177" w:rsidP="00163775">
      <w:pPr>
        <w:spacing w:after="220"/>
      </w:pPr>
      <w:r>
        <w:t>Individuální projekt</w:t>
      </w:r>
    </w:p>
    <w:p w:rsidR="00AF04BC" w:rsidRDefault="00AF04BC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sz w:val="24"/>
          <w:szCs w:val="26"/>
        </w:rPr>
      </w:pPr>
      <w:bookmarkStart w:id="13" w:name="_Toc416867111"/>
      <w:r>
        <w:br w:type="page"/>
      </w:r>
    </w:p>
    <w:p w:rsidR="00EE591B" w:rsidRDefault="00EE591B" w:rsidP="00F83ECC">
      <w:pPr>
        <w:pStyle w:val="Nadpis2"/>
      </w:pPr>
      <w:r>
        <w:lastRenderedPageBreak/>
        <w:t xml:space="preserve">Vymezení </w:t>
      </w:r>
      <w:r w:rsidRPr="0022777C">
        <w:t>oprávněných žadatelů</w:t>
      </w:r>
      <w:bookmarkEnd w:id="13"/>
    </w:p>
    <w:p w:rsidR="002714E7" w:rsidRPr="002714E7" w:rsidRDefault="002714E7" w:rsidP="002714E7">
      <w:pPr>
        <w:rPr>
          <w:rFonts w:cs="Arial"/>
        </w:rPr>
      </w:pPr>
      <w:r w:rsidRPr="002714E7">
        <w:rPr>
          <w:rFonts w:cs="Arial"/>
        </w:rPr>
        <w:t>Obecně může dle pravidel Operačního programu Zaměstnanost oprávněným žadatelem být pouze:</w:t>
      </w:r>
    </w:p>
    <w:p w:rsidR="002714E7" w:rsidRDefault="002714E7" w:rsidP="002714E7">
      <w:pPr>
        <w:pStyle w:val="Odrky1"/>
      </w:pPr>
      <w:r w:rsidRPr="007800C7">
        <w:t>osoba (právnická nebo fyzická), která je registrovaným subjektem v ČR, tj. osoba, která má vlastní identifikační číslo (tzv. IČO někdy také IČ)</w:t>
      </w:r>
      <w:r>
        <w:t>;</w:t>
      </w:r>
      <w:r w:rsidRPr="007800C7">
        <w:t xml:space="preserve"> </w:t>
      </w:r>
    </w:p>
    <w:p w:rsidR="002714E7" w:rsidRDefault="002714E7" w:rsidP="002714E7">
      <w:pPr>
        <w:pStyle w:val="Odrky1"/>
      </w:pPr>
      <w:r w:rsidRPr="007800C7">
        <w:t>osoba, která má aktivní datovou schránku</w:t>
      </w:r>
      <w:r w:rsidRPr="002714E7">
        <w:rPr>
          <w:vertAlign w:val="superscript"/>
        </w:rPr>
        <w:footnoteReference w:id="1"/>
      </w:r>
      <w:r>
        <w:t>;</w:t>
      </w:r>
      <w:r w:rsidRPr="007800C7">
        <w:t xml:space="preserve"> </w:t>
      </w:r>
    </w:p>
    <w:p w:rsidR="002714E7" w:rsidRDefault="002714E7" w:rsidP="002714E7">
      <w:pPr>
        <w:pStyle w:val="Odrky1"/>
      </w:pPr>
      <w:r>
        <w:t>osoba, která nepatří mezi subjekty, které se nemohou výzvy účastnit z důvodů insolvence, pokut, dluhu aj. dle následujícího odstavce.</w:t>
      </w:r>
    </w:p>
    <w:p w:rsidR="002714E7" w:rsidRDefault="002714E7" w:rsidP="002714E7">
      <w:pPr>
        <w:rPr>
          <w:rFonts w:cs="Arial"/>
        </w:rPr>
      </w:pPr>
    </w:p>
    <w:p w:rsidR="002714E7" w:rsidRPr="002714E7" w:rsidRDefault="002714E7" w:rsidP="002714E7">
      <w:pPr>
        <w:rPr>
          <w:rFonts w:cs="Arial"/>
        </w:rPr>
      </w:pPr>
      <w:r w:rsidRPr="002714E7">
        <w:rPr>
          <w:rFonts w:cs="Arial"/>
        </w:rPr>
        <w:t>Potenciální žadatelé a jejich partneři s finančním příspěvkem nejsou oprávněni účastnit se výzvy nebo získat podporu, pokud:</w:t>
      </w:r>
    </w:p>
    <w:p w:rsidR="002714E7" w:rsidRPr="00B5753A" w:rsidRDefault="002714E7" w:rsidP="002714E7">
      <w:pPr>
        <w:pStyle w:val="Odrky1"/>
      </w:pPr>
      <w:r w:rsidRPr="00B5753A">
        <w:t>jsou v likvidaci, v úpadku, hrozícím úpadku či je proti nim vedeno insolvenční řízení ve smyslu zákona č. 182/2006 Sb., o úpadku a způsobech jeho řešení (insolvenční zákon);</w:t>
      </w:r>
    </w:p>
    <w:p w:rsidR="002714E7" w:rsidRPr="00B5753A" w:rsidRDefault="002714E7" w:rsidP="002714E7">
      <w:pPr>
        <w:pStyle w:val="Odrky1"/>
      </w:pPr>
      <w:r w:rsidRPr="00B5753A">
        <w:t>mají v evidenci daní zachyceny daňové nedoplatky nebo mají nedoplatek na pojistném nebo na penále na veřejné zdravotní pojištění nebo na sociálním zabezpečení nebo příspěvku na státní politiku zaměstnanosti</w:t>
      </w:r>
      <w:r w:rsidRPr="00AF04BC">
        <w:rPr>
          <w:vertAlign w:val="superscript"/>
        </w:rPr>
        <w:footnoteReference w:id="2"/>
      </w:r>
      <w:r w:rsidRPr="00B5753A">
        <w:t>;</w:t>
      </w:r>
    </w:p>
    <w:p w:rsidR="002714E7" w:rsidRPr="00B5753A" w:rsidRDefault="002714E7" w:rsidP="002714E7">
      <w:pPr>
        <w:pStyle w:val="Odrky1"/>
      </w:pPr>
      <w:r w:rsidRPr="00B5753A">
        <w:t xml:space="preserve">na ně byl vydán inkasní příkaz po předcházejícím rozhodnutí </w:t>
      </w:r>
      <w:r>
        <w:t xml:space="preserve">Evropské komise </w:t>
      </w:r>
      <w:r w:rsidRPr="00B5753A">
        <w:t>prohlašujícím, že poskytnutá podpora je protiprávní a neslučitelná se společným trhem;</w:t>
      </w:r>
    </w:p>
    <w:p w:rsidR="002714E7" w:rsidRPr="00B5753A" w:rsidRDefault="002714E7" w:rsidP="002714E7">
      <w:pPr>
        <w:pStyle w:val="Odrky1"/>
      </w:pPr>
      <w:r w:rsidRPr="00B5753A">
        <w:t>jim byla v posledních 3 letech pravomocně uložena pokuta za umožnění výkonu nelegální práce podle § 5 písm. e) bod 3 zákona č. 435/2004 Sb., o zaměstnanosti, ve znění pozdějších předpisů.</w:t>
      </w:r>
    </w:p>
    <w:p w:rsidR="002714E7" w:rsidRDefault="002714E7" w:rsidP="002714E7">
      <w:pPr>
        <w:rPr>
          <w:rFonts w:cs="Arial"/>
        </w:rPr>
      </w:pPr>
      <w:r w:rsidRPr="00B5753A">
        <w:rPr>
          <w:rFonts w:cs="Arial"/>
        </w:rPr>
        <w:t xml:space="preserve">Podmínky oprávněnosti žadatele jsou posuzovány během hodnocení a výběru projektů </w:t>
      </w:r>
      <w:r>
        <w:rPr>
          <w:rFonts w:cs="Arial"/>
        </w:rPr>
        <w:br/>
      </w:r>
      <w:r w:rsidRPr="00B5753A">
        <w:rPr>
          <w:rFonts w:cs="Arial"/>
        </w:rPr>
        <w:t>a musí být splněny k datu podání žádosti o podporu.</w:t>
      </w:r>
      <w:r>
        <w:rPr>
          <w:rFonts w:cs="Arial"/>
        </w:rPr>
        <w:t xml:space="preserve"> K otázce, zda splňují body v předchozím odstavci, se žadatelé vyjadřují v rámci čestného prohlášení </w:t>
      </w:r>
      <w:r>
        <w:rPr>
          <w:rFonts w:cs="Arial"/>
        </w:rPr>
        <w:br/>
        <w:t>v žádosti o podporu, přičemž splnění potvrzují jak za sebe, tak za případné partnery s finančním příspěvkem.</w:t>
      </w:r>
    </w:p>
    <w:p w:rsidR="002714E7" w:rsidRDefault="002714E7" w:rsidP="002714E7">
      <w:pPr>
        <w:rPr>
          <w:rFonts w:cs="Arial"/>
        </w:rPr>
      </w:pPr>
    </w:p>
    <w:p w:rsidR="003A3177" w:rsidRDefault="000F742F" w:rsidP="003A3177">
      <w:pPr>
        <w:rPr>
          <w:rFonts w:cs="Arial"/>
          <w:b/>
          <w:u w:val="single"/>
        </w:rPr>
      </w:pPr>
      <w:r w:rsidRPr="00CD7540">
        <w:rPr>
          <w:rFonts w:cs="Arial"/>
          <w:b/>
          <w:u w:val="single"/>
        </w:rPr>
        <w:t xml:space="preserve">Pro </w:t>
      </w:r>
      <w:r w:rsidR="008E2A07" w:rsidRPr="00CD7540">
        <w:rPr>
          <w:rFonts w:cs="Arial"/>
          <w:b/>
          <w:u w:val="single"/>
        </w:rPr>
        <w:t xml:space="preserve">připravovanou </w:t>
      </w:r>
      <w:r w:rsidRPr="00CD7540">
        <w:rPr>
          <w:rFonts w:cs="Arial"/>
          <w:b/>
          <w:u w:val="single"/>
        </w:rPr>
        <w:t>výzvu</w:t>
      </w:r>
      <w:r w:rsidR="00895FB3" w:rsidRPr="00CD7540">
        <w:rPr>
          <w:rFonts w:cs="Arial"/>
          <w:b/>
          <w:u w:val="single"/>
        </w:rPr>
        <w:t xml:space="preserve">, k níž se vztahuje toto avízo, </w:t>
      </w:r>
      <w:r w:rsidR="008E2A07" w:rsidRPr="00CD7540">
        <w:rPr>
          <w:rFonts w:cs="Arial"/>
          <w:b/>
          <w:u w:val="single"/>
        </w:rPr>
        <w:t xml:space="preserve">budou </w:t>
      </w:r>
      <w:r w:rsidR="003A3177" w:rsidRPr="00CD7540">
        <w:rPr>
          <w:rFonts w:cs="Arial"/>
          <w:b/>
          <w:u w:val="single"/>
        </w:rPr>
        <w:t>oprávněnými žadateli:</w:t>
      </w:r>
    </w:p>
    <w:p w:rsidR="00CD7540" w:rsidRPr="00CD7540" w:rsidRDefault="00CD7540" w:rsidP="003A3177">
      <w:pPr>
        <w:rPr>
          <w:rFonts w:cs="Arial"/>
          <w:b/>
          <w:u w:val="single"/>
        </w:rPr>
      </w:pPr>
    </w:p>
    <w:p w:rsidR="003A3177" w:rsidRDefault="003A3177" w:rsidP="003A3177">
      <w:pPr>
        <w:pStyle w:val="Odrky1"/>
      </w:pPr>
      <w:r w:rsidRPr="003A3177">
        <w:t>Vzdělávací instituce včetně pedagogicko-psychologických poraden</w:t>
      </w:r>
    </w:p>
    <w:p w:rsidR="009D66FE" w:rsidRPr="003A3177" w:rsidRDefault="009D66FE" w:rsidP="003A3177">
      <w:pPr>
        <w:pStyle w:val="Odrky1"/>
      </w:pPr>
      <w:r>
        <w:t>Agentury práce</w:t>
      </w:r>
    </w:p>
    <w:p w:rsidR="003A3177" w:rsidRPr="003A3177" w:rsidRDefault="003A3177" w:rsidP="003A3177">
      <w:pPr>
        <w:pStyle w:val="Odrky1"/>
      </w:pPr>
      <w:r>
        <w:t>Nestátní neziskové organizace /</w:t>
      </w:r>
      <w:r w:rsidRPr="003A3177">
        <w:t>NNO</w:t>
      </w:r>
    </w:p>
    <w:p w:rsidR="003A3177" w:rsidRPr="003A3177" w:rsidRDefault="00955420" w:rsidP="003A3177">
      <w:pPr>
        <w:pStyle w:val="Odrky1"/>
      </w:pPr>
      <w:r>
        <w:t>Kraje a obce a jimi zřizované organizace</w:t>
      </w:r>
    </w:p>
    <w:p w:rsidR="000F742F" w:rsidRDefault="000F742F" w:rsidP="002714E7">
      <w:pPr>
        <w:rPr>
          <w:rFonts w:cs="Arial"/>
        </w:rPr>
      </w:pPr>
    </w:p>
    <w:p w:rsidR="00EE591B" w:rsidRDefault="00EE591B" w:rsidP="00522F5E">
      <w:pPr>
        <w:pStyle w:val="txt"/>
        <w:ind w:firstLine="0"/>
        <w:rPr>
          <w:b/>
        </w:rPr>
      </w:pPr>
      <w:r w:rsidRPr="00522F5E">
        <w:rPr>
          <w:b/>
        </w:rPr>
        <w:t>Definice jed</w:t>
      </w:r>
      <w:r w:rsidR="00F83ECC" w:rsidRPr="00522F5E">
        <w:rPr>
          <w:b/>
        </w:rPr>
        <w:t>notlivých oprávněných žadatelů</w:t>
      </w:r>
      <w:r w:rsidR="00895FB3">
        <w:rPr>
          <w:b/>
        </w:rPr>
        <w:t xml:space="preserve"> p</w:t>
      </w:r>
      <w:r w:rsidR="00895FB3" w:rsidRPr="00895FB3">
        <w:rPr>
          <w:b/>
        </w:rPr>
        <w:t>ro připravovanou výzvu, k níž se vztahuje toto avízo</w:t>
      </w:r>
      <w:r w:rsidR="00522F5E" w:rsidRPr="00522F5E">
        <w:rPr>
          <w:b/>
        </w:rPr>
        <w:t>:</w:t>
      </w:r>
    </w:p>
    <w:p w:rsidR="00AF14C0" w:rsidRDefault="009D66FE" w:rsidP="00AF14C0">
      <w:pPr>
        <w:pStyle w:val="txt"/>
        <w:ind w:firstLine="0"/>
      </w:pPr>
      <w:r w:rsidRPr="00CD7540">
        <w:t xml:space="preserve">Za </w:t>
      </w:r>
      <w:r w:rsidRPr="00CD7540">
        <w:rPr>
          <w:b/>
        </w:rPr>
        <w:t>vzdělávací instituce</w:t>
      </w:r>
      <w:r w:rsidRPr="00CD7540">
        <w:t xml:space="preserve"> se považují právnické a fyzické osoby (včetně právnických osob vykonávajících činnost škol a školských zařízení zapsaných ve školském rejstříku), které mají jako hlavní předmět činnosti v posledním daňovém přiznání příp. v příloze účetní závěrky uvedenou činnost v oblasti vzdělávání.</w:t>
      </w:r>
    </w:p>
    <w:p w:rsidR="00AF04BC" w:rsidRPr="00AF04BC" w:rsidRDefault="00AF14C0" w:rsidP="00AF14C0">
      <w:pPr>
        <w:pStyle w:val="Odrky1"/>
        <w:numPr>
          <w:ilvl w:val="0"/>
          <w:numId w:val="0"/>
        </w:numPr>
        <w:ind w:left="397" w:hanging="397"/>
      </w:pPr>
      <w:r>
        <w:t>Vzdělávací instituce m</w:t>
      </w:r>
      <w:r w:rsidR="00AF04BC" w:rsidRPr="00AF04BC">
        <w:t>ohou nabývat těchto forem:</w:t>
      </w:r>
    </w:p>
    <w:p w:rsidR="00B20425" w:rsidRPr="00AF14C0" w:rsidRDefault="00B20425" w:rsidP="00B20425">
      <w:pPr>
        <w:pStyle w:val="Odrky1"/>
      </w:pPr>
      <w:r w:rsidRPr="00AF14C0">
        <w:t>školy a školská zařízení</w:t>
      </w:r>
    </w:p>
    <w:p w:rsidR="00B20425" w:rsidRPr="00AF14C0" w:rsidRDefault="00B20425" w:rsidP="00B20425">
      <w:pPr>
        <w:pStyle w:val="Odrky1"/>
      </w:pPr>
      <w:r w:rsidRPr="00AF14C0">
        <w:t>vysoké školy</w:t>
      </w:r>
    </w:p>
    <w:p w:rsidR="00B20425" w:rsidRPr="00AF14C0" w:rsidRDefault="00B20425" w:rsidP="00B20425">
      <w:pPr>
        <w:pStyle w:val="Odrky1"/>
      </w:pPr>
      <w:r w:rsidRPr="00AF14C0">
        <w:t>NNO</w:t>
      </w:r>
    </w:p>
    <w:p w:rsidR="00AF04BC" w:rsidRPr="00AF14C0" w:rsidRDefault="00AF04BC" w:rsidP="00AF14C0">
      <w:pPr>
        <w:pStyle w:val="Odrky1"/>
      </w:pPr>
      <w:r w:rsidRPr="00AF14C0">
        <w:t>obchodní korporace</w:t>
      </w:r>
    </w:p>
    <w:p w:rsidR="00AF04BC" w:rsidRPr="00AF14C0" w:rsidRDefault="00AF04BC" w:rsidP="00AF14C0">
      <w:pPr>
        <w:pStyle w:val="Odrky1"/>
      </w:pPr>
      <w:r w:rsidRPr="00AF14C0">
        <w:t>OSVČ</w:t>
      </w:r>
    </w:p>
    <w:p w:rsidR="00AF04BC" w:rsidRDefault="00AF04BC" w:rsidP="009D66FE">
      <w:pPr>
        <w:pStyle w:val="txt"/>
        <w:ind w:firstLine="0"/>
        <w:rPr>
          <w:b/>
        </w:rPr>
      </w:pPr>
    </w:p>
    <w:p w:rsidR="009D66FE" w:rsidRDefault="009D66FE" w:rsidP="009D66FE">
      <w:pPr>
        <w:pStyle w:val="txt"/>
        <w:ind w:firstLine="0"/>
      </w:pPr>
      <w:r w:rsidRPr="009D66FE">
        <w:rPr>
          <w:b/>
        </w:rPr>
        <w:lastRenderedPageBreak/>
        <w:t>Agentury práce</w:t>
      </w:r>
      <w:r>
        <w:t xml:space="preserve"> </w:t>
      </w:r>
      <w:r w:rsidR="00A44C05">
        <w:t xml:space="preserve">jsou </w:t>
      </w:r>
      <w:r w:rsidR="00A44C05" w:rsidRPr="00A44C05">
        <w:t xml:space="preserve">právnické </w:t>
      </w:r>
      <w:r w:rsidR="0025518E">
        <w:t xml:space="preserve">a fyzické </w:t>
      </w:r>
      <w:r w:rsidR="00A44C05" w:rsidRPr="00A44C05">
        <w:t>osoby, které mají povolení ke zprostředkování zaměstnání</w:t>
      </w:r>
      <w:r w:rsidR="00A44C05">
        <w:t>.</w:t>
      </w:r>
    </w:p>
    <w:p w:rsidR="009D66FE" w:rsidRPr="009D66FE" w:rsidRDefault="009D66FE" w:rsidP="009D66FE">
      <w:pPr>
        <w:pStyle w:val="txt"/>
        <w:spacing w:after="0"/>
        <w:ind w:firstLine="0"/>
        <w:rPr>
          <w:b/>
        </w:rPr>
      </w:pPr>
      <w:r w:rsidRPr="009D66FE">
        <w:rPr>
          <w:b/>
        </w:rPr>
        <w:t>Nestátní neziskové organizace</w:t>
      </w:r>
      <w:r w:rsidR="00CD7540">
        <w:rPr>
          <w:b/>
        </w:rPr>
        <w:t xml:space="preserve"> (dále NNO)</w:t>
      </w:r>
    </w:p>
    <w:p w:rsidR="009D66FE" w:rsidRPr="009D66FE" w:rsidRDefault="009D66FE" w:rsidP="009D66FE">
      <w:pPr>
        <w:pStyle w:val="Odrky1"/>
      </w:pPr>
      <w:r w:rsidRPr="009D66FE">
        <w:t>spolky dle § 214-302 zákona č. 89/2012 Sb., občanský zákoník</w:t>
      </w:r>
    </w:p>
    <w:p w:rsidR="009D66FE" w:rsidRPr="009D66FE" w:rsidRDefault="009D66FE" w:rsidP="009D66FE">
      <w:pPr>
        <w:pStyle w:val="Odrky1"/>
      </w:pPr>
      <w:r w:rsidRPr="009D66FE">
        <w:t>obecně prospěšné společnosti zřízené podle zákona č. 248/1995 Sb., o obecně prospěšných společnostech</w:t>
      </w:r>
    </w:p>
    <w:p w:rsidR="009D66FE" w:rsidRPr="009D66FE" w:rsidRDefault="009D66FE" w:rsidP="009D66FE">
      <w:pPr>
        <w:pStyle w:val="Odrky1"/>
      </w:pPr>
      <w:r w:rsidRPr="009D66FE">
        <w:t>ústavy dle § 402-418 zákona č. 89/2012 Sb., občanský zákoník</w:t>
      </w:r>
    </w:p>
    <w:p w:rsidR="009D66FE" w:rsidRPr="009D66FE" w:rsidRDefault="009D66FE" w:rsidP="009D66FE">
      <w:pPr>
        <w:pStyle w:val="Odrky1"/>
      </w:pPr>
      <w:r w:rsidRPr="009D66FE">
        <w:t>církevní právnické osoby zřízené podle zákona č. 3/2002 Sb., o církvích a náboženských společnostech, pokud poskytují zdravotní, kulturní, vzdělávací a sociální služby nebo sociálně právní ochranu dětí</w:t>
      </w:r>
    </w:p>
    <w:p w:rsidR="009D66FE" w:rsidRDefault="009D66FE" w:rsidP="0062278B">
      <w:pPr>
        <w:pStyle w:val="Odrky1"/>
      </w:pPr>
      <w:r w:rsidRPr="009D66FE">
        <w:t>nadace (§ 306-393) a nadační fondy (§394-401) zřízené podle zákona č. 89/2012 Sb., občanský zákoník</w:t>
      </w:r>
    </w:p>
    <w:p w:rsidR="0062278B" w:rsidRDefault="0062278B" w:rsidP="0062278B">
      <w:pPr>
        <w:pStyle w:val="Odrky1"/>
        <w:numPr>
          <w:ilvl w:val="0"/>
          <w:numId w:val="0"/>
        </w:numPr>
      </w:pPr>
    </w:p>
    <w:p w:rsidR="00AF14C0" w:rsidRDefault="00A44C05" w:rsidP="007F1961">
      <w:pPr>
        <w:pStyle w:val="txt"/>
        <w:spacing w:after="0"/>
        <w:ind w:firstLine="0"/>
      </w:pPr>
      <w:r>
        <w:rPr>
          <w:b/>
        </w:rPr>
        <w:t>Kraje a obce a jimi zřizované organizace</w:t>
      </w:r>
    </w:p>
    <w:p w:rsidR="00AF14C0" w:rsidRPr="00AF14C0" w:rsidRDefault="00AF14C0" w:rsidP="00AF14C0">
      <w:pPr>
        <w:pStyle w:val="Odrky1"/>
        <w:rPr>
          <w:b/>
        </w:rPr>
      </w:pPr>
      <w:r w:rsidRPr="00AF14C0">
        <w:rPr>
          <w:b/>
        </w:rPr>
        <w:t>Kraje</w:t>
      </w:r>
    </w:p>
    <w:p w:rsidR="00AF14C0" w:rsidRDefault="00AF14C0" w:rsidP="00AF14C0">
      <w:pPr>
        <w:pStyle w:val="Odrky1"/>
        <w:numPr>
          <w:ilvl w:val="0"/>
          <w:numId w:val="0"/>
        </w:numPr>
      </w:pPr>
      <w:r w:rsidRPr="00AF14C0">
        <w:t>Kraje dle ústavního zákona č. 347/1997 Sb., o vytvoření vyšších územních samosprávních celků a zákona č. 129/2000 Sb., o krajích – krajské zřízení, včetně hlavního města Prahy podle zákona č. 131/2000 Sb., o hlavním městě Praze</w:t>
      </w:r>
    </w:p>
    <w:p w:rsidR="00AF14C0" w:rsidRPr="00AF14C0" w:rsidRDefault="00AF14C0" w:rsidP="00AF14C0">
      <w:pPr>
        <w:pStyle w:val="Odrky1"/>
        <w:rPr>
          <w:b/>
        </w:rPr>
      </w:pPr>
      <w:r w:rsidRPr="00AF14C0">
        <w:rPr>
          <w:b/>
        </w:rPr>
        <w:t>Obce</w:t>
      </w:r>
    </w:p>
    <w:p w:rsidR="00AF14C0" w:rsidRDefault="00AF14C0" w:rsidP="00AF14C0">
      <w:pPr>
        <w:pStyle w:val="Odrky1"/>
        <w:numPr>
          <w:ilvl w:val="0"/>
          <w:numId w:val="0"/>
        </w:numPr>
      </w:pPr>
      <w:r w:rsidRPr="00AF14C0">
        <w:t>Obce dle zákona č. 128/2000 Sb., o obcích (obecní zřízení), včetně zákona č. 131/2000 Sb., o hlavním městě Praze a zákona č. 314/2002 Sb., o stanovení obcí s pověřeným obecním úřadem a stanovení obcí s rozšířenou působností</w:t>
      </w:r>
    </w:p>
    <w:p w:rsidR="00AF14C0" w:rsidRPr="00C431CC" w:rsidRDefault="00AF14C0" w:rsidP="00AF14C0">
      <w:pPr>
        <w:pStyle w:val="Odrky1"/>
        <w:rPr>
          <w:b/>
        </w:rPr>
      </w:pPr>
      <w:r w:rsidRPr="00C431CC">
        <w:rPr>
          <w:b/>
        </w:rPr>
        <w:t>Organizace zřizované kraji</w:t>
      </w:r>
    </w:p>
    <w:p w:rsidR="00AF14C0" w:rsidRDefault="00AF14C0" w:rsidP="00AF14C0">
      <w:pPr>
        <w:pStyle w:val="Odrky1"/>
        <w:numPr>
          <w:ilvl w:val="0"/>
          <w:numId w:val="0"/>
        </w:numPr>
      </w:pPr>
      <w:r w:rsidRPr="00AF14C0">
        <w:t>Organizace zřizované kraji (příspěvkové organizace, obchodní společnosti, obecně prospěšné společnosti, školy a školská zařízení)</w:t>
      </w:r>
    </w:p>
    <w:p w:rsidR="00AF14C0" w:rsidRPr="00C431CC" w:rsidRDefault="00AF14C0" w:rsidP="00AF14C0">
      <w:pPr>
        <w:pStyle w:val="Odrky1"/>
        <w:rPr>
          <w:b/>
        </w:rPr>
      </w:pPr>
      <w:r w:rsidRPr="00C431CC">
        <w:rPr>
          <w:b/>
        </w:rPr>
        <w:t>Organizace zřizované obcemi</w:t>
      </w:r>
    </w:p>
    <w:p w:rsidR="00F83ECC" w:rsidRDefault="00AF14C0" w:rsidP="00D2617D">
      <w:pPr>
        <w:pStyle w:val="Odrky1"/>
        <w:numPr>
          <w:ilvl w:val="0"/>
          <w:numId w:val="0"/>
        </w:numPr>
      </w:pPr>
      <w:r w:rsidRPr="00AF14C0">
        <w:t>Organizace zřizované obcemi (příspěvkové organizace, obchodní společnosti, obecně prospěšné společnosti, školy a školská zařízení)</w:t>
      </w:r>
    </w:p>
    <w:p w:rsidR="00D2617D" w:rsidRPr="00F83ECC" w:rsidRDefault="00D2617D" w:rsidP="00D2617D">
      <w:pPr>
        <w:pStyle w:val="Odrky1"/>
        <w:numPr>
          <w:ilvl w:val="0"/>
          <w:numId w:val="0"/>
        </w:numPr>
      </w:pPr>
    </w:p>
    <w:p w:rsidR="00EE591B" w:rsidRDefault="00F83ECC" w:rsidP="00F83ECC">
      <w:pPr>
        <w:pStyle w:val="Nadpis2"/>
      </w:pPr>
      <w:bookmarkStart w:id="14" w:name="_Toc416867112"/>
      <w:r>
        <w:t>Vymezení oprávněných partnerů</w:t>
      </w:r>
      <w:bookmarkEnd w:id="14"/>
    </w:p>
    <w:p w:rsidR="0054383B" w:rsidRDefault="002714E7" w:rsidP="0054383B">
      <w:r w:rsidRPr="002714E7">
        <w:rPr>
          <w:rFonts w:cs="Arial"/>
        </w:rPr>
        <w:t xml:space="preserve">Obecně může dle pravidel Operačního programu Zaměstnanost oprávněným </w:t>
      </w:r>
      <w:r>
        <w:rPr>
          <w:rFonts w:cs="Arial"/>
        </w:rPr>
        <w:t xml:space="preserve">partnerem s finančním příspěvkem </w:t>
      </w:r>
      <w:r w:rsidRPr="002714E7">
        <w:rPr>
          <w:rFonts w:cs="Arial"/>
        </w:rPr>
        <w:t>být pouze</w:t>
      </w:r>
      <w:r w:rsidR="0054383B">
        <w:rPr>
          <w:rFonts w:cs="Arial"/>
        </w:rPr>
        <w:t xml:space="preserve"> </w:t>
      </w:r>
      <w:r>
        <w:t xml:space="preserve">osoba, která nepatří mezi subjekty, které se nemohou výzvy účastnit z důvodů insolvence, pokut, dluhu </w:t>
      </w:r>
      <w:r w:rsidR="0054383B">
        <w:t xml:space="preserve">(viz vymezení v rámci části 3.3 </w:t>
      </w:r>
      <w:r w:rsidR="00895FB3">
        <w:t>tohoto avíza</w:t>
      </w:r>
      <w:r w:rsidR="0054383B">
        <w:t>).</w:t>
      </w:r>
    </w:p>
    <w:p w:rsidR="002714E7" w:rsidRDefault="002714E7" w:rsidP="00522F5E">
      <w:pPr>
        <w:pStyle w:val="txt"/>
        <w:ind w:firstLine="0"/>
        <w:rPr>
          <w:b/>
        </w:rPr>
      </w:pPr>
    </w:p>
    <w:p w:rsidR="00EE591B" w:rsidRDefault="00EE591B" w:rsidP="00522F5E">
      <w:pPr>
        <w:pStyle w:val="txt"/>
        <w:ind w:firstLine="0"/>
        <w:rPr>
          <w:b/>
        </w:rPr>
      </w:pPr>
      <w:r w:rsidRPr="00522F5E">
        <w:rPr>
          <w:b/>
        </w:rPr>
        <w:t>Definice jed</w:t>
      </w:r>
      <w:r w:rsidR="00F83ECC" w:rsidRPr="00522F5E">
        <w:rPr>
          <w:b/>
        </w:rPr>
        <w:t>notlivých oprávněných partnerů</w:t>
      </w:r>
      <w:r w:rsidR="00895FB3">
        <w:rPr>
          <w:b/>
        </w:rPr>
        <w:t xml:space="preserve"> p</w:t>
      </w:r>
      <w:r w:rsidR="00895FB3" w:rsidRPr="00895FB3">
        <w:rPr>
          <w:b/>
        </w:rPr>
        <w:t>ro připravovanou výzvu, k níž se vztahuje toto avíz</w:t>
      </w:r>
      <w:r w:rsidR="00895FB3">
        <w:rPr>
          <w:b/>
        </w:rPr>
        <w:t>o</w:t>
      </w:r>
      <w:r w:rsidR="007266DF">
        <w:rPr>
          <w:b/>
        </w:rPr>
        <w:t>:</w:t>
      </w:r>
    </w:p>
    <w:p w:rsidR="00EB4BE7" w:rsidRDefault="00EB4BE7" w:rsidP="000710C0">
      <w:pPr>
        <w:pStyle w:val="txt"/>
        <w:ind w:firstLine="0"/>
      </w:pPr>
      <w:r w:rsidRPr="00EB4BE7">
        <w:t xml:space="preserve">Povinný </w:t>
      </w:r>
      <w:r w:rsidR="00A85FC7">
        <w:t xml:space="preserve">je </w:t>
      </w:r>
      <w:r w:rsidRPr="00EB4BE7">
        <w:rPr>
          <w:b/>
        </w:rPr>
        <w:t>minimálně 1 zahraniční partner</w:t>
      </w:r>
      <w:r w:rsidRPr="00EB4BE7">
        <w:t xml:space="preserve"> z každé země, ve které budou probíhat stáže</w:t>
      </w:r>
      <w:r w:rsidR="00A85FC7">
        <w:t xml:space="preserve"> cílové skupiny</w:t>
      </w:r>
      <w:r w:rsidRPr="00EB4BE7">
        <w:t xml:space="preserve">. Minimálně 1 zahraniční partner </w:t>
      </w:r>
      <w:r>
        <w:t xml:space="preserve">bude pocházet </w:t>
      </w:r>
      <w:r w:rsidRPr="00EB4BE7">
        <w:t xml:space="preserve">ze země </w:t>
      </w:r>
      <w:r w:rsidR="000710C0">
        <w:t>Evropské unie (EU)</w:t>
      </w:r>
      <w:r w:rsidRPr="00EB4BE7">
        <w:t xml:space="preserve">, ostatní </w:t>
      </w:r>
      <w:r>
        <w:t xml:space="preserve">zahraniční </w:t>
      </w:r>
      <w:r w:rsidRPr="00EB4BE7">
        <w:t xml:space="preserve">partneři mohou být i ze zemí </w:t>
      </w:r>
      <w:r w:rsidR="000710C0" w:rsidRPr="000710C0">
        <w:t>Evropského sdružení volného obchodu (ESVO)</w:t>
      </w:r>
      <w:r w:rsidRPr="000710C0">
        <w:t>.</w:t>
      </w:r>
    </w:p>
    <w:p w:rsidR="00791FC5" w:rsidRPr="00F83ECC" w:rsidRDefault="00791FC5" w:rsidP="000710C0">
      <w:pPr>
        <w:pStyle w:val="txt"/>
        <w:ind w:firstLine="0"/>
      </w:pPr>
      <w:r w:rsidRPr="00867861">
        <w:t>Podrobnější požadavky a informace k partner</w:t>
      </w:r>
      <w:r w:rsidR="00277990" w:rsidRPr="00867861">
        <w:t xml:space="preserve">ství jsou uvedeny </w:t>
      </w:r>
      <w:r w:rsidR="00277990" w:rsidRPr="000B2DE6">
        <w:rPr>
          <w:b/>
        </w:rPr>
        <w:t>v příloze č. 1</w:t>
      </w:r>
      <w:r w:rsidRPr="00867861">
        <w:t xml:space="preserve"> tohoto avíza výzvy.</w:t>
      </w:r>
    </w:p>
    <w:p w:rsidR="00F83ECC" w:rsidRDefault="00EE591B" w:rsidP="00F83ECC">
      <w:pPr>
        <w:pStyle w:val="Nadpis2"/>
      </w:pPr>
      <w:bookmarkStart w:id="15" w:name="_Toc416867113"/>
      <w:r>
        <w:t>M</w:t>
      </w:r>
      <w:r w:rsidRPr="0022777C">
        <w:t>íra podpory – rozpad zdrojů financování</w:t>
      </w:r>
      <w:bookmarkEnd w:id="15"/>
    </w:p>
    <w:p w:rsidR="00450875" w:rsidRPr="00A022E7" w:rsidRDefault="002117F6" w:rsidP="00D472DB">
      <w:pPr>
        <w:pStyle w:val="txt"/>
        <w:numPr>
          <w:ilvl w:val="0"/>
          <w:numId w:val="38"/>
        </w:numPr>
      </w:pPr>
      <w:r w:rsidRPr="00A022E7">
        <w:t xml:space="preserve">90,86 % </w:t>
      </w:r>
      <w:r w:rsidR="00D472DB" w:rsidRPr="00A022E7">
        <w:t>evropský podíl</w:t>
      </w:r>
    </w:p>
    <w:p w:rsidR="00EE591B" w:rsidRPr="00A022E7" w:rsidRDefault="00450875" w:rsidP="00D472DB">
      <w:pPr>
        <w:pStyle w:val="txt"/>
        <w:numPr>
          <w:ilvl w:val="0"/>
          <w:numId w:val="38"/>
        </w:numPr>
      </w:pPr>
      <w:r w:rsidRPr="00A022E7">
        <w:t xml:space="preserve">9,14 % </w:t>
      </w:r>
      <w:r w:rsidR="00EE591B" w:rsidRPr="00A022E7">
        <w:t>státní rozpočet</w:t>
      </w:r>
      <w:r w:rsidR="00F83ECC" w:rsidRPr="00A022E7">
        <w:t xml:space="preserve"> </w:t>
      </w:r>
      <w:r w:rsidR="00D472DB" w:rsidRPr="00A022E7">
        <w:t>– národní podíl</w:t>
      </w:r>
    </w:p>
    <w:p w:rsidR="002117F6" w:rsidRDefault="002117F6" w:rsidP="00F83ECC">
      <w:pPr>
        <w:pStyle w:val="txt"/>
        <w:ind w:firstLine="0"/>
        <w:rPr>
          <w:szCs w:val="22"/>
        </w:rPr>
      </w:pPr>
      <w:r>
        <w:rPr>
          <w:szCs w:val="22"/>
        </w:rPr>
        <w:t>Pravidla spolufinancování Evropských strukturálních a investičních fondů v programovém období 2014–2020, které schválila vláda ČR svým usnesením č. 583 ze dne 14. července 2014, stanovují minimální zapojení zdrojů příjemce do financování způsobilých výdajů projektu.</w:t>
      </w:r>
    </w:p>
    <w:p w:rsidR="002117F6" w:rsidRDefault="002117F6" w:rsidP="00F83ECC">
      <w:pPr>
        <w:pStyle w:val="txt"/>
        <w:ind w:firstLine="0"/>
        <w:rPr>
          <w:szCs w:val="22"/>
        </w:rPr>
      </w:pPr>
      <w:r>
        <w:rPr>
          <w:szCs w:val="22"/>
        </w:rPr>
        <w:lastRenderedPageBreak/>
        <w:t>Minimální podíly spolufinancování pro tuto výzvu:</w:t>
      </w:r>
    </w:p>
    <w:tbl>
      <w:tblPr>
        <w:tblStyle w:val="Svtlseznamzvraznn51"/>
        <w:tblW w:w="7637" w:type="dxa"/>
        <w:tblInd w:w="108" w:type="dxa"/>
        <w:tblBorders>
          <w:top w:val="single" w:sz="4" w:space="0" w:color="D2D2D2" w:themeColor="accent2"/>
          <w:left w:val="single" w:sz="4" w:space="0" w:color="D2D2D2" w:themeColor="accent2"/>
          <w:bottom w:val="single" w:sz="4" w:space="0" w:color="D2D2D2" w:themeColor="accent2"/>
          <w:right w:val="single" w:sz="4" w:space="0" w:color="D2D2D2" w:themeColor="accent2"/>
          <w:insideH w:val="single" w:sz="4" w:space="0" w:color="D2D2D2" w:themeColor="accent2"/>
          <w:insideV w:val="single" w:sz="4" w:space="0" w:color="D2D2D2" w:themeColor="accent2"/>
        </w:tblBorders>
        <w:tblLook w:val="0420" w:firstRow="1" w:lastRow="0" w:firstColumn="0" w:lastColumn="0" w:noHBand="0" w:noVBand="1"/>
      </w:tblPr>
      <w:tblGrid>
        <w:gridCol w:w="4395"/>
        <w:gridCol w:w="2011"/>
        <w:gridCol w:w="1231"/>
      </w:tblGrid>
      <w:tr w:rsidR="00806DAC" w:rsidRPr="002117F6" w:rsidTr="00806D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</w:trPr>
        <w:tc>
          <w:tcPr>
            <w:tcW w:w="4395" w:type="dxa"/>
            <w:vMerge w:val="restart"/>
            <w:hideMark/>
          </w:tcPr>
          <w:p w:rsidR="00806DAC" w:rsidRPr="002117F6" w:rsidRDefault="00806DAC" w:rsidP="002117F6">
            <w:pPr>
              <w:spacing w:before="60" w:after="60"/>
              <w:ind w:left="57" w:right="57"/>
              <w:jc w:val="left"/>
              <w:rPr>
                <w:rFonts w:ascii="Arial" w:eastAsia="Arial" w:hAnsi="Arial" w:cs="Times New Roman"/>
                <w:b w:val="0"/>
                <w:bCs w:val="0"/>
                <w:color w:val="084A8B"/>
                <w:sz w:val="20"/>
              </w:rPr>
            </w:pPr>
            <w:r w:rsidRPr="002117F6">
              <w:rPr>
                <w:rFonts w:ascii="Arial" w:eastAsia="Arial" w:hAnsi="Arial" w:cs="Times New Roman"/>
                <w:bCs w:val="0"/>
                <w:color w:val="084A8B"/>
                <w:sz w:val="20"/>
              </w:rPr>
              <w:t>Typ příjemce dle pravidel spolufinancování</w:t>
            </w:r>
          </w:p>
        </w:tc>
        <w:tc>
          <w:tcPr>
            <w:tcW w:w="3242" w:type="dxa"/>
            <w:gridSpan w:val="2"/>
            <w:hideMark/>
          </w:tcPr>
          <w:p w:rsidR="00806DAC" w:rsidRPr="002117F6" w:rsidRDefault="00806DAC" w:rsidP="002117F6">
            <w:pPr>
              <w:spacing w:before="60" w:after="60"/>
              <w:ind w:left="57" w:right="57"/>
              <w:jc w:val="left"/>
              <w:rPr>
                <w:rFonts w:ascii="Arial" w:eastAsia="Arial" w:hAnsi="Arial" w:cs="Times New Roman"/>
                <w:b w:val="0"/>
                <w:bCs w:val="0"/>
                <w:color w:val="084A8B"/>
                <w:sz w:val="20"/>
              </w:rPr>
            </w:pPr>
            <w:r w:rsidRPr="002117F6">
              <w:rPr>
                <w:rFonts w:ascii="Arial" w:eastAsia="Arial" w:hAnsi="Arial" w:cs="Times New Roman"/>
                <w:bCs w:val="0"/>
                <w:color w:val="084A8B"/>
                <w:sz w:val="20"/>
              </w:rPr>
              <w:t>Zajištění národního podílu</w:t>
            </w:r>
          </w:p>
        </w:tc>
      </w:tr>
      <w:tr w:rsidR="00806DAC" w:rsidRPr="002117F6" w:rsidTr="00806D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</w:trPr>
        <w:tc>
          <w:tcPr>
            <w:tcW w:w="4395" w:type="dxa"/>
            <w:vMerge/>
            <w:hideMark/>
          </w:tcPr>
          <w:p w:rsidR="00806DAC" w:rsidRPr="002117F6" w:rsidRDefault="00806DAC" w:rsidP="002117F6">
            <w:pPr>
              <w:spacing w:before="60" w:after="60"/>
              <w:ind w:left="57" w:right="57"/>
              <w:jc w:val="left"/>
              <w:rPr>
                <w:rFonts w:ascii="Arial" w:eastAsia="Arial" w:hAnsi="Arial" w:cs="Times New Roman"/>
                <w:bCs w:val="0"/>
                <w:color w:val="auto"/>
                <w:sz w:val="20"/>
              </w:rPr>
            </w:pPr>
          </w:p>
        </w:tc>
        <w:tc>
          <w:tcPr>
            <w:tcW w:w="2011" w:type="dxa"/>
            <w:hideMark/>
          </w:tcPr>
          <w:p w:rsidR="00806DAC" w:rsidRPr="002117F6" w:rsidRDefault="00806DAC" w:rsidP="002117F6">
            <w:pPr>
              <w:spacing w:before="60" w:after="60"/>
              <w:ind w:left="57" w:right="57"/>
              <w:jc w:val="left"/>
              <w:rPr>
                <w:rFonts w:ascii="Arial" w:eastAsia="Arial" w:hAnsi="Arial" w:cs="Times New Roman"/>
                <w:b w:val="0"/>
                <w:bCs w:val="0"/>
                <w:color w:val="084A8B"/>
                <w:sz w:val="20"/>
              </w:rPr>
            </w:pPr>
            <w:r w:rsidRPr="002117F6">
              <w:rPr>
                <w:rFonts w:ascii="Arial" w:eastAsia="Arial" w:hAnsi="Arial" w:cs="Times New Roman"/>
                <w:bCs w:val="0"/>
                <w:color w:val="084A8B"/>
                <w:sz w:val="20"/>
              </w:rPr>
              <w:t>Příjemce</w:t>
            </w: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spacing w:before="60" w:after="60"/>
              <w:ind w:left="57" w:right="57"/>
              <w:jc w:val="left"/>
              <w:rPr>
                <w:rFonts w:ascii="Arial" w:eastAsia="Arial" w:hAnsi="Arial" w:cs="Times New Roman"/>
                <w:b w:val="0"/>
                <w:bCs w:val="0"/>
                <w:color w:val="084A8B"/>
                <w:sz w:val="20"/>
              </w:rPr>
            </w:pPr>
            <w:r w:rsidRPr="002117F6">
              <w:rPr>
                <w:rFonts w:ascii="Arial" w:eastAsia="Arial" w:hAnsi="Arial" w:cs="Times New Roman"/>
                <w:bCs w:val="0"/>
                <w:color w:val="084A8B"/>
                <w:sz w:val="20"/>
              </w:rPr>
              <w:t>Státní rozpočet</w:t>
            </w:r>
          </w:p>
        </w:tc>
      </w:tr>
      <w:tr w:rsidR="00806DAC" w:rsidRPr="002117F6" w:rsidTr="00806D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tcW w:w="4395" w:type="dxa"/>
            <w:hideMark/>
          </w:tcPr>
          <w:p w:rsidR="00806DAC" w:rsidRPr="002117F6" w:rsidRDefault="00806DAC" w:rsidP="00E82E67">
            <w:pPr>
              <w:numPr>
                <w:ilvl w:val="0"/>
                <w:numId w:val="28"/>
              </w:numPr>
              <w:ind w:right="57" w:hanging="3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Školy a školská zařízení zřizovaná ministerstvy dle školského zákona (č. 561/2004 Sb.)</w:t>
            </w:r>
          </w:p>
          <w:p w:rsidR="00806DAC" w:rsidRPr="002117F6" w:rsidRDefault="00806DAC" w:rsidP="00E82E67">
            <w:pPr>
              <w:numPr>
                <w:ilvl w:val="0"/>
                <w:numId w:val="28"/>
              </w:numPr>
              <w:ind w:right="57" w:hanging="3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Státní vysoké školy</w:t>
            </w:r>
          </w:p>
        </w:tc>
        <w:tc>
          <w:tcPr>
            <w:tcW w:w="201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0 %</w:t>
            </w: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celý národní podíl</w:t>
            </w:r>
          </w:p>
        </w:tc>
      </w:tr>
      <w:tr w:rsidR="00806DAC" w:rsidRPr="002117F6" w:rsidTr="00806DAC">
        <w:trPr>
          <w:cantSplit/>
          <w:trHeight w:val="20"/>
        </w:trPr>
        <w:tc>
          <w:tcPr>
            <w:tcW w:w="4395" w:type="dxa"/>
            <w:hideMark/>
          </w:tcPr>
          <w:p w:rsidR="00806DAC" w:rsidRPr="002117F6" w:rsidRDefault="00806DAC" w:rsidP="00E82E67">
            <w:pPr>
              <w:numPr>
                <w:ilvl w:val="0"/>
                <w:numId w:val="29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Kraje </w:t>
            </w:r>
          </w:p>
          <w:p w:rsidR="00806DAC" w:rsidRPr="002117F6" w:rsidRDefault="00806DAC" w:rsidP="00E82E67">
            <w:pPr>
              <w:numPr>
                <w:ilvl w:val="0"/>
                <w:numId w:val="29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Obce </w:t>
            </w:r>
          </w:p>
          <w:p w:rsidR="00806DAC" w:rsidRPr="002117F6" w:rsidRDefault="00806DAC" w:rsidP="00E82E67">
            <w:pPr>
              <w:numPr>
                <w:ilvl w:val="0"/>
                <w:numId w:val="29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Příspěvkové organizace zřizované kraji</w:t>
            </w:r>
          </w:p>
          <w:p w:rsidR="00806DAC" w:rsidRPr="00806DAC" w:rsidRDefault="00806DAC" w:rsidP="00806DAC">
            <w:pPr>
              <w:numPr>
                <w:ilvl w:val="0"/>
                <w:numId w:val="29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a obcemi (s výjimkou škol a školských zařízení)</w:t>
            </w:r>
          </w:p>
        </w:tc>
        <w:tc>
          <w:tcPr>
            <w:tcW w:w="201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5 %</w:t>
            </w: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zbytek národního podílu</w:t>
            </w:r>
          </w:p>
        </w:tc>
      </w:tr>
      <w:tr w:rsidR="00806DAC" w:rsidRPr="002117F6" w:rsidTr="00806D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"/>
        </w:trPr>
        <w:tc>
          <w:tcPr>
            <w:tcW w:w="4395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Právnické osoby vykonávající činnost škol a školských zařízení (zapsané ve školském rejstříku)</w:t>
            </w:r>
          </w:p>
        </w:tc>
        <w:tc>
          <w:tcPr>
            <w:tcW w:w="201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5 %</w:t>
            </w:r>
          </w:p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zbytek národního podílu</w:t>
            </w:r>
          </w:p>
        </w:tc>
      </w:tr>
      <w:tr w:rsidR="00806DAC" w:rsidRPr="002117F6" w:rsidTr="00A022E7">
        <w:trPr>
          <w:cantSplit/>
          <w:trHeight w:val="774"/>
        </w:trPr>
        <w:tc>
          <w:tcPr>
            <w:tcW w:w="4395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Veřejné vysoké školy (kromě státních vysokých škol) a výzkumné organizace (dle zákona č. 130/2002 Sb.)</w:t>
            </w:r>
          </w:p>
        </w:tc>
        <w:tc>
          <w:tcPr>
            <w:tcW w:w="201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5 %</w:t>
            </w: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zbytek národního podílu</w:t>
            </w:r>
          </w:p>
        </w:tc>
      </w:tr>
      <w:tr w:rsidR="00D2617D" w:rsidRPr="002117F6" w:rsidTr="00A02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74"/>
        </w:trPr>
        <w:tc>
          <w:tcPr>
            <w:tcW w:w="4395" w:type="dxa"/>
          </w:tcPr>
          <w:p w:rsidR="00D2617D" w:rsidRPr="002117F6" w:rsidRDefault="00D2617D" w:rsidP="00D2617D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Soukromoprávní subjekty vykonávající veřejně prospěšnou činnost:</w:t>
            </w:r>
            <w:r w:rsidRPr="00D2617D">
              <w:rPr>
                <w:rFonts w:ascii="Arial" w:eastAsia="Arial" w:hAnsi="Arial" w:cs="Times New Roman"/>
                <w:sz w:val="20"/>
                <w:vertAlign w:val="superscript"/>
              </w:rPr>
              <w:footnoteReference w:id="3"/>
            </w:r>
          </w:p>
          <w:p w:rsidR="00D2617D" w:rsidRPr="002117F6" w:rsidRDefault="00D2617D" w:rsidP="00D2617D">
            <w:pPr>
              <w:keepNext/>
              <w:numPr>
                <w:ilvl w:val="0"/>
                <w:numId w:val="30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Obecně prospěšné společnosti</w:t>
            </w:r>
          </w:p>
          <w:p w:rsidR="00D2617D" w:rsidRPr="002117F6" w:rsidRDefault="00D2617D" w:rsidP="00D2617D">
            <w:pPr>
              <w:keepNext/>
              <w:numPr>
                <w:ilvl w:val="0"/>
                <w:numId w:val="30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Spolky</w:t>
            </w:r>
          </w:p>
          <w:p w:rsidR="00D2617D" w:rsidRPr="002117F6" w:rsidRDefault="00D2617D" w:rsidP="00D2617D">
            <w:pPr>
              <w:keepNext/>
              <w:numPr>
                <w:ilvl w:val="0"/>
                <w:numId w:val="30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Ústavy</w:t>
            </w:r>
          </w:p>
          <w:p w:rsidR="00D2617D" w:rsidRDefault="00D2617D" w:rsidP="00D2617D">
            <w:pPr>
              <w:keepNext/>
              <w:numPr>
                <w:ilvl w:val="0"/>
                <w:numId w:val="30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Církve a náboženské společnosti</w:t>
            </w:r>
          </w:p>
          <w:p w:rsidR="00D2617D" w:rsidRPr="00D2617D" w:rsidRDefault="00D2617D" w:rsidP="00D2617D">
            <w:pPr>
              <w:keepNext/>
              <w:numPr>
                <w:ilvl w:val="0"/>
                <w:numId w:val="30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D2617D">
              <w:rPr>
                <w:rFonts w:ascii="Arial" w:eastAsia="Arial" w:hAnsi="Arial" w:cs="Times New Roman"/>
                <w:sz w:val="20"/>
              </w:rPr>
              <w:t>Nadace a nadační fondy</w:t>
            </w:r>
          </w:p>
        </w:tc>
        <w:tc>
          <w:tcPr>
            <w:tcW w:w="2011" w:type="dxa"/>
          </w:tcPr>
          <w:p w:rsidR="00D2617D" w:rsidRPr="002117F6" w:rsidRDefault="00D2617D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0 %</w:t>
            </w:r>
          </w:p>
        </w:tc>
        <w:tc>
          <w:tcPr>
            <w:tcW w:w="1231" w:type="dxa"/>
          </w:tcPr>
          <w:p w:rsidR="00D2617D" w:rsidRPr="002117F6" w:rsidRDefault="00D2617D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celý národní podíl</w:t>
            </w:r>
          </w:p>
        </w:tc>
      </w:tr>
      <w:tr w:rsidR="00806DAC" w:rsidRPr="002117F6" w:rsidTr="00806DAC">
        <w:trPr>
          <w:cantSplit/>
          <w:trHeight w:val="20"/>
        </w:trPr>
        <w:tc>
          <w:tcPr>
            <w:tcW w:w="4395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Ostatní subjekty neobsažené ve výše uvedených kategoriích:</w:t>
            </w:r>
          </w:p>
          <w:p w:rsidR="00806DAC" w:rsidRPr="002117F6" w:rsidRDefault="00806DAC" w:rsidP="00E82E67">
            <w:pPr>
              <w:numPr>
                <w:ilvl w:val="0"/>
                <w:numId w:val="31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Obchodní společnosti: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veřejná obchodní společnost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komanditní společnost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společnost s ručením omezeným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akciová společnost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evropská společnost 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evropské hospodářské zájmové sdružení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Státní podniky</w:t>
            </w:r>
          </w:p>
          <w:p w:rsidR="00806DAC" w:rsidRPr="002117F6" w:rsidRDefault="00806DAC" w:rsidP="00E82E67">
            <w:pPr>
              <w:numPr>
                <w:ilvl w:val="0"/>
                <w:numId w:val="31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Družstva: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 xml:space="preserve">družstvo </w:t>
            </w:r>
          </w:p>
          <w:p w:rsidR="00806DAC" w:rsidRPr="002117F6" w:rsidRDefault="00806DAC" w:rsidP="00A022E7">
            <w:pPr>
              <w:numPr>
                <w:ilvl w:val="1"/>
                <w:numId w:val="31"/>
              </w:numPr>
              <w:ind w:left="1168" w:right="57" w:hanging="283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evropská družstevní společnost</w:t>
            </w:r>
          </w:p>
          <w:p w:rsidR="00806DAC" w:rsidRPr="002117F6" w:rsidRDefault="00806DAC" w:rsidP="00E82E67">
            <w:pPr>
              <w:numPr>
                <w:ilvl w:val="0"/>
                <w:numId w:val="31"/>
              </w:numPr>
              <w:ind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OSVČ</w:t>
            </w:r>
          </w:p>
        </w:tc>
        <w:tc>
          <w:tcPr>
            <w:tcW w:w="2011" w:type="dxa"/>
            <w:hideMark/>
          </w:tcPr>
          <w:p w:rsidR="00806DAC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celý národní podíl</w:t>
            </w:r>
          </w:p>
          <w:p w:rsidR="00450875" w:rsidRPr="002117F6" w:rsidRDefault="00450875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231" w:type="dxa"/>
            <w:hideMark/>
          </w:tcPr>
          <w:p w:rsidR="00806DAC" w:rsidRPr="002117F6" w:rsidRDefault="00806DAC" w:rsidP="002117F6">
            <w:pPr>
              <w:ind w:left="57" w:right="57"/>
              <w:jc w:val="left"/>
              <w:rPr>
                <w:rFonts w:ascii="Arial" w:eastAsia="Arial" w:hAnsi="Arial" w:cs="Times New Roman"/>
                <w:sz w:val="20"/>
              </w:rPr>
            </w:pPr>
            <w:r w:rsidRPr="002117F6">
              <w:rPr>
                <w:rFonts w:ascii="Arial" w:eastAsia="Arial" w:hAnsi="Arial" w:cs="Times New Roman"/>
                <w:sz w:val="20"/>
              </w:rPr>
              <w:t>0 %</w:t>
            </w:r>
          </w:p>
        </w:tc>
      </w:tr>
    </w:tbl>
    <w:p w:rsidR="005C0CCA" w:rsidRDefault="005C0CCA" w:rsidP="00F83ECC">
      <w:pPr>
        <w:pStyle w:val="txt"/>
        <w:ind w:firstLine="0"/>
      </w:pPr>
    </w:p>
    <w:p w:rsidR="005C0CCA" w:rsidRPr="000710C0" w:rsidRDefault="00E82E67" w:rsidP="00F83ECC">
      <w:pPr>
        <w:pStyle w:val="txt"/>
        <w:ind w:firstLine="0"/>
        <w:rPr>
          <w:szCs w:val="22"/>
        </w:rPr>
      </w:pPr>
      <w:r>
        <w:rPr>
          <w:szCs w:val="22"/>
        </w:rPr>
        <w:t>Pokud jsou do projektu zapojeny další subjekty (a to v roli partnerů nebo mimo partnerství), je rozhodující pouze příjemce podpory, tj. minimální podíl příjemce a případný příspěvek státního rozpočtu se určuje vždy dle příjemce podpory.</w:t>
      </w:r>
    </w:p>
    <w:p w:rsidR="00EE591B" w:rsidRDefault="00EE591B" w:rsidP="00F83ECC">
      <w:pPr>
        <w:pStyle w:val="Nadpis2"/>
      </w:pPr>
      <w:bookmarkStart w:id="16" w:name="_Toc416867114"/>
      <w:r w:rsidRPr="00F83ECC">
        <w:t>Maximální a minim</w:t>
      </w:r>
      <w:r w:rsidRPr="0022777C">
        <w:t>ální výše celkových způsobilých výdajů projektu</w:t>
      </w:r>
      <w:bookmarkEnd w:id="16"/>
    </w:p>
    <w:p w:rsidR="00EC513F" w:rsidRDefault="00EC513F" w:rsidP="00EC513F">
      <w:pPr>
        <w:pStyle w:val="Odrky1"/>
      </w:pPr>
      <w:r>
        <w:t xml:space="preserve">Minimální výše celkových způsobilých výdajů projektu: </w:t>
      </w:r>
      <w:r w:rsidR="002117F6">
        <w:t xml:space="preserve">1. mil. </w:t>
      </w:r>
      <w:r>
        <w:t>CZK</w:t>
      </w:r>
    </w:p>
    <w:p w:rsidR="00EC513F" w:rsidRDefault="00EC513F" w:rsidP="00EC513F">
      <w:pPr>
        <w:pStyle w:val="Odrky1"/>
      </w:pPr>
      <w:r>
        <w:t xml:space="preserve">Maximální výše celkových způsobilých výdajů projektu: </w:t>
      </w:r>
      <w:r w:rsidR="002117F6">
        <w:t xml:space="preserve">10 mil. </w:t>
      </w:r>
      <w:r>
        <w:t>CZK</w:t>
      </w:r>
    </w:p>
    <w:p w:rsidR="00F83ECC" w:rsidRDefault="00EE591B" w:rsidP="00F83ECC">
      <w:pPr>
        <w:pStyle w:val="Nadpis2"/>
      </w:pPr>
      <w:bookmarkStart w:id="17" w:name="_Toc416867115"/>
      <w:r w:rsidRPr="00F83ECC">
        <w:t>Forma financování</w:t>
      </w:r>
      <w:bookmarkEnd w:id="17"/>
    </w:p>
    <w:p w:rsidR="00565787" w:rsidRDefault="00F83ECC" w:rsidP="00F83ECC">
      <w:pPr>
        <w:pStyle w:val="txt"/>
        <w:ind w:firstLine="0"/>
      </w:pPr>
      <w:r>
        <w:t>E</w:t>
      </w:r>
      <w:r w:rsidR="00EE591B" w:rsidRPr="00050599">
        <w:t>x</w:t>
      </w:r>
      <w:r>
        <w:t xml:space="preserve"> </w:t>
      </w:r>
      <w:r w:rsidR="00EE591B" w:rsidRPr="00050599">
        <w:t>ante</w:t>
      </w:r>
    </w:p>
    <w:p w:rsidR="00EE591B" w:rsidRPr="00F83ECC" w:rsidRDefault="00565787" w:rsidP="00F83ECC">
      <w:pPr>
        <w:pStyle w:val="txt"/>
        <w:ind w:firstLine="0"/>
      </w:pPr>
      <w:r>
        <w:lastRenderedPageBreak/>
        <w:t xml:space="preserve">Vysvětlení kategorií je k dispozici v </w:t>
      </w:r>
      <w:r w:rsidRPr="00631894">
        <w:t>Obecn</w:t>
      </w:r>
      <w:r>
        <w:t>é</w:t>
      </w:r>
      <w:r w:rsidRPr="00631894">
        <w:t xml:space="preserve"> část</w:t>
      </w:r>
      <w:r>
        <w:t>i</w:t>
      </w:r>
      <w:r w:rsidRPr="00631894">
        <w:t xml:space="preserve"> 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>Operačního programu</w:t>
      </w:r>
      <w:r w:rsidR="00813750">
        <w:t xml:space="preserve"> </w:t>
      </w:r>
      <w:r w:rsidR="000548EA">
        <w:t>Z</w:t>
      </w:r>
      <w:r w:rsidR="000E277F">
        <w:t xml:space="preserve">aměstnanost </w:t>
      </w:r>
      <w:r w:rsidR="00813750">
        <w:t>(</w:t>
      </w:r>
      <w:r>
        <w:t xml:space="preserve">konkrétní </w:t>
      </w:r>
      <w:r w:rsidR="006078C8">
        <w:t xml:space="preserve">odkaz </w:t>
      </w:r>
      <w:r>
        <w:t xml:space="preserve">na elektronickou verzi tohoto dokumentu viz část 10.2 </w:t>
      </w:r>
      <w:r w:rsidR="00895FB3">
        <w:t>tohoto avíza</w:t>
      </w:r>
      <w:r>
        <w:t>).</w:t>
      </w:r>
    </w:p>
    <w:p w:rsidR="00EE591B" w:rsidRPr="00F83ECC" w:rsidRDefault="00EE591B" w:rsidP="00F83ECC">
      <w:pPr>
        <w:pStyle w:val="Nadpis2"/>
      </w:pPr>
      <w:bookmarkStart w:id="18" w:name="_Toc416867116"/>
      <w:r>
        <w:t>I</w:t>
      </w:r>
      <w:r w:rsidRPr="0022777C">
        <w:t>nformace o podmínkách veřejné podpory</w:t>
      </w:r>
      <w:bookmarkEnd w:id="18"/>
    </w:p>
    <w:p w:rsidR="005016A6" w:rsidRDefault="005016A6" w:rsidP="005016A6">
      <w:r>
        <w:t xml:space="preserve">Informace o veřejné podpoře (včetně podpory de minimis) jsou k dispozici v </w:t>
      </w:r>
      <w:r w:rsidRPr="00631894">
        <w:t>Obecn</w:t>
      </w:r>
      <w:r>
        <w:t>é</w:t>
      </w:r>
      <w:r w:rsidRPr="00631894">
        <w:t xml:space="preserve"> část</w:t>
      </w:r>
      <w:r>
        <w:t>i</w:t>
      </w:r>
      <w:r w:rsidRPr="00631894">
        <w:t xml:space="preserve"> 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 xml:space="preserve">Operačního programu </w:t>
      </w:r>
      <w:r w:rsidR="000548EA">
        <w:t>Z</w:t>
      </w:r>
      <w:r w:rsidR="000E277F">
        <w:t xml:space="preserve">aměstnanost </w:t>
      </w:r>
      <w:r>
        <w:t xml:space="preserve">(konkrétní </w:t>
      </w:r>
      <w:r w:rsidR="006078C8">
        <w:t>odkaz</w:t>
      </w:r>
      <w:r>
        <w:t xml:space="preserve"> na elektronickou verzi tohoto dokumentu viz část 10.2 </w:t>
      </w:r>
      <w:r w:rsidR="00895FB3">
        <w:t>tohoto avíza</w:t>
      </w:r>
      <w:r>
        <w:t>).</w:t>
      </w:r>
    </w:p>
    <w:p w:rsidR="005016A6" w:rsidRDefault="005016A6" w:rsidP="005016A6"/>
    <w:p w:rsidR="003B7E9C" w:rsidRDefault="003B7E9C" w:rsidP="003B7E9C">
      <w:r w:rsidRPr="009E22AF">
        <w:t xml:space="preserve">Podporované aktivity </w:t>
      </w:r>
      <w:r w:rsidR="004D16BA" w:rsidRPr="009E22AF">
        <w:rPr>
          <w:b/>
          <w:bCs/>
        </w:rPr>
        <w:t>nemají</w:t>
      </w:r>
      <w:r w:rsidRPr="009E22AF">
        <w:rPr>
          <w:b/>
          <w:bCs/>
        </w:rPr>
        <w:t xml:space="preserve"> charakter veřejné podpory</w:t>
      </w:r>
      <w:r w:rsidRPr="009E22AF">
        <w:t xml:space="preserve">. </w:t>
      </w:r>
      <w:r w:rsidR="004D16BA" w:rsidRPr="009E22AF">
        <w:t>Předkladatel</w:t>
      </w:r>
      <w:r w:rsidRPr="009E22AF">
        <w:t xml:space="preserve"> projektu </w:t>
      </w:r>
      <w:r w:rsidR="004D16BA" w:rsidRPr="009E22AF">
        <w:t xml:space="preserve">musí </w:t>
      </w:r>
      <w:r w:rsidRPr="009E22AF">
        <w:t>zajistit, aby plánovaná podpora aktivit projektu ne</w:t>
      </w:r>
      <w:r w:rsidR="002F689F">
        <w:t>naplňovala</w:t>
      </w:r>
      <w:r w:rsidRPr="009E22AF">
        <w:t xml:space="preserve"> znaky veřejné podpory podle čl. 107 odst. 1 Smlouvy o fungování EU.</w:t>
      </w:r>
    </w:p>
    <w:p w:rsidR="00F83ECC" w:rsidRPr="00FD5D1B" w:rsidRDefault="003B7E9C" w:rsidP="00F83ECC">
      <w:r>
        <w:t xml:space="preserve"> </w:t>
      </w:r>
    </w:p>
    <w:p w:rsidR="00EE591B" w:rsidRPr="0022777C" w:rsidRDefault="00EE591B" w:rsidP="00F83ECC">
      <w:pPr>
        <w:pStyle w:val="Nadpis1"/>
      </w:pPr>
      <w:bookmarkStart w:id="19" w:name="_Toc416867117"/>
      <w:r w:rsidRPr="0022777C">
        <w:t>Věcné zaměření</w:t>
      </w:r>
      <w:r w:rsidR="008E2A07">
        <w:t xml:space="preserve"> připravované výzvy</w:t>
      </w:r>
      <w:bookmarkEnd w:id="19"/>
    </w:p>
    <w:p w:rsidR="00EE591B" w:rsidRDefault="00EE591B" w:rsidP="00F83ECC">
      <w:pPr>
        <w:pStyle w:val="Nadpis2"/>
      </w:pPr>
      <w:bookmarkStart w:id="20" w:name="_Toc416867118"/>
      <w:r>
        <w:t>P</w:t>
      </w:r>
      <w:r w:rsidRPr="0022777C">
        <w:t>opis podporovaných aktivit</w:t>
      </w:r>
      <w:bookmarkEnd w:id="20"/>
    </w:p>
    <w:p w:rsidR="00120A3C" w:rsidRDefault="00503408" w:rsidP="00A55A4A">
      <w:r>
        <w:t xml:space="preserve">Podporovanou aktivitou je mezinárodní mobilita pro znevýhodněnou mládež, která zahrnuje </w:t>
      </w:r>
      <w:r w:rsidRPr="00503408">
        <w:t xml:space="preserve">vzdělávací a motivační aktivity, zahraniční stáže pro cílovou skupinu, </w:t>
      </w:r>
      <w:r>
        <w:t>poradenství a intenzivní následnou podporu</w:t>
      </w:r>
      <w:r w:rsidRPr="00503408">
        <w:t xml:space="preserve"> </w:t>
      </w:r>
      <w:r>
        <w:t>cílové skupiny</w:t>
      </w:r>
      <w:r w:rsidRPr="00503408">
        <w:t xml:space="preserve"> </w:t>
      </w:r>
      <w:r>
        <w:t>pro vstup na trh práce nebo do dalšího vzdělávání</w:t>
      </w:r>
      <w:r w:rsidR="00205A8F">
        <w:t xml:space="preserve"> či odborné přípravy</w:t>
      </w:r>
      <w:r w:rsidRPr="00503408">
        <w:t xml:space="preserve"> po jej</w:t>
      </w:r>
      <w:r>
        <w:t>ím</w:t>
      </w:r>
      <w:r w:rsidRPr="00503408">
        <w:t xml:space="preserve"> návratu do </w:t>
      </w:r>
      <w:r w:rsidR="000710C0">
        <w:t>České republiky</w:t>
      </w:r>
      <w:r w:rsidRPr="00503408">
        <w:t>.</w:t>
      </w:r>
    </w:p>
    <w:p w:rsidR="00791FC5" w:rsidRDefault="00791FC5" w:rsidP="00A55A4A"/>
    <w:p w:rsidR="00791FC5" w:rsidRDefault="00791FC5" w:rsidP="00A55A4A">
      <w:r w:rsidRPr="00867861">
        <w:t>Podrobnější požadavky na klíčové aktivity proj</w:t>
      </w:r>
      <w:r w:rsidR="00277990" w:rsidRPr="00867861">
        <w:t xml:space="preserve">ektu jsou uvedeny </w:t>
      </w:r>
      <w:r w:rsidR="00277990" w:rsidRPr="000B2DE6">
        <w:rPr>
          <w:b/>
        </w:rPr>
        <w:t>v příloze č. 2</w:t>
      </w:r>
      <w:r w:rsidRPr="00867861">
        <w:t xml:space="preserve"> </w:t>
      </w:r>
      <w:proofErr w:type="gramStart"/>
      <w:r w:rsidRPr="00867861">
        <w:t>tohoto</w:t>
      </w:r>
      <w:proofErr w:type="gramEnd"/>
      <w:r w:rsidRPr="00867861">
        <w:t xml:space="preserve"> avíza výzvy.</w:t>
      </w:r>
      <w:bookmarkStart w:id="21" w:name="_GoBack"/>
      <w:bookmarkEnd w:id="21"/>
    </w:p>
    <w:p w:rsidR="00EE591B" w:rsidRDefault="00EE591B" w:rsidP="00F83ECC">
      <w:pPr>
        <w:pStyle w:val="Nadpis2"/>
      </w:pPr>
      <w:bookmarkStart w:id="22" w:name="_Toc416867119"/>
      <w:r>
        <w:t>I</w:t>
      </w:r>
      <w:r w:rsidRPr="0022777C">
        <w:t>ndikátory</w:t>
      </w:r>
      <w:bookmarkEnd w:id="22"/>
    </w:p>
    <w:p w:rsidR="00F83ECC" w:rsidRDefault="00EC513F" w:rsidP="00F83ECC">
      <w:r>
        <w:t xml:space="preserve">Pravidla týkající se monitorovacích indikátorů, včetně definic jednotlivých indikátorů, jsou k dispozici v </w:t>
      </w:r>
      <w:r w:rsidRPr="00631894">
        <w:t>Obecn</w:t>
      </w:r>
      <w:r>
        <w:t>é</w:t>
      </w:r>
      <w:r w:rsidRPr="00631894">
        <w:t xml:space="preserve"> část</w:t>
      </w:r>
      <w:r>
        <w:t>i</w:t>
      </w:r>
      <w:r w:rsidRPr="00631894">
        <w:t xml:space="preserve"> 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 xml:space="preserve">Operačního programu </w:t>
      </w:r>
      <w:r w:rsidR="000548EA">
        <w:t>Z</w:t>
      </w:r>
      <w:r w:rsidR="000E277F">
        <w:t xml:space="preserve">aměstnanost </w:t>
      </w:r>
      <w:r>
        <w:t xml:space="preserve">(konkrétní </w:t>
      </w:r>
      <w:r w:rsidR="006078C8">
        <w:t>odkaz</w:t>
      </w:r>
      <w:r>
        <w:t xml:space="preserve"> na elektronickou verzi tohoto dokumentu viz část 10.2 </w:t>
      </w:r>
      <w:r w:rsidR="00895FB3">
        <w:t>tohoto avíza</w:t>
      </w:r>
      <w:r>
        <w:t>).</w:t>
      </w:r>
    </w:p>
    <w:p w:rsidR="00EC513F" w:rsidRDefault="00EC513F" w:rsidP="00F83ECC"/>
    <w:p w:rsidR="00EC513F" w:rsidRDefault="00EC513F" w:rsidP="00EC513F">
      <w:pPr>
        <w:spacing w:after="120"/>
      </w:pPr>
      <w:r>
        <w:t>V žádosti o podporu žadatel uvede cílovou hodnotu (tj. hodnotu, která se chápe jako závazek žadatele, kterého má dosáhnout díky realizaci projektu uvedeného v žádosti o podporu) k následujícím monitorovacím indikátorům: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38"/>
        <w:gridCol w:w="5586"/>
        <w:gridCol w:w="1147"/>
        <w:gridCol w:w="1509"/>
      </w:tblGrid>
      <w:tr w:rsidR="00EC513F" w:rsidTr="003B7E9C">
        <w:trPr>
          <w:tblHeader/>
        </w:trPr>
        <w:tc>
          <w:tcPr>
            <w:tcW w:w="838" w:type="dxa"/>
          </w:tcPr>
          <w:p w:rsidR="00EC513F" w:rsidRPr="00EC513F" w:rsidRDefault="00EC513F" w:rsidP="000E277F">
            <w:pPr>
              <w:pStyle w:val="Tabulkazhlav"/>
            </w:pPr>
            <w:r>
              <w:t>Kód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5586" w:type="dxa"/>
          </w:tcPr>
          <w:p w:rsidR="00EC513F" w:rsidRPr="00EC513F" w:rsidRDefault="00EC513F" w:rsidP="000E277F">
            <w:pPr>
              <w:pStyle w:val="Tabulkazhlav"/>
            </w:pPr>
            <w:r w:rsidRPr="00EC513F">
              <w:t>Název indikátoru</w:t>
            </w:r>
          </w:p>
        </w:tc>
        <w:tc>
          <w:tcPr>
            <w:tcW w:w="1147" w:type="dxa"/>
          </w:tcPr>
          <w:p w:rsidR="00EC513F" w:rsidRPr="00EC513F" w:rsidRDefault="00EC513F" w:rsidP="000E277F">
            <w:pPr>
              <w:pStyle w:val="Tabulkazhlav"/>
            </w:pPr>
            <w:r w:rsidRPr="00EC513F">
              <w:t>Měrná jednotka</w:t>
            </w:r>
          </w:p>
        </w:tc>
        <w:tc>
          <w:tcPr>
            <w:tcW w:w="1509" w:type="dxa"/>
          </w:tcPr>
          <w:p w:rsidR="00EC513F" w:rsidRPr="00EC513F" w:rsidRDefault="00EC513F" w:rsidP="000E277F">
            <w:pPr>
              <w:pStyle w:val="Tabulkazhlav"/>
            </w:pPr>
            <w:r w:rsidRPr="00EC513F">
              <w:t>Typ indikátoru</w:t>
            </w:r>
          </w:p>
        </w:tc>
      </w:tr>
      <w:tr w:rsidR="00EC513F" w:rsidTr="003B7E9C">
        <w:tc>
          <w:tcPr>
            <w:tcW w:w="838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6 00 00</w:t>
            </w:r>
          </w:p>
        </w:tc>
        <w:tc>
          <w:tcPr>
            <w:tcW w:w="5586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Celkový počet účastníků</w:t>
            </w:r>
          </w:p>
        </w:tc>
        <w:tc>
          <w:tcPr>
            <w:tcW w:w="1147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Účastníci</w:t>
            </w:r>
          </w:p>
        </w:tc>
        <w:tc>
          <w:tcPr>
            <w:tcW w:w="1509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Výstup</w:t>
            </w:r>
          </w:p>
        </w:tc>
      </w:tr>
      <w:tr w:rsidR="00EC513F" w:rsidTr="003B7E9C">
        <w:tc>
          <w:tcPr>
            <w:tcW w:w="838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6 26 00</w:t>
            </w:r>
          </w:p>
        </w:tc>
        <w:tc>
          <w:tcPr>
            <w:tcW w:w="5586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Účastníci, kteří získali kvalifikaci po ukončení své účasti</w:t>
            </w:r>
          </w:p>
        </w:tc>
        <w:tc>
          <w:tcPr>
            <w:tcW w:w="1147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Účastníci</w:t>
            </w:r>
          </w:p>
        </w:tc>
        <w:tc>
          <w:tcPr>
            <w:tcW w:w="1509" w:type="dxa"/>
          </w:tcPr>
          <w:p w:rsidR="00EC513F" w:rsidRPr="00EC513F" w:rsidRDefault="00EC513F" w:rsidP="000E277F">
            <w:pPr>
              <w:pStyle w:val="Tabulkatext"/>
            </w:pPr>
            <w:r w:rsidRPr="00EC513F">
              <w:t>Výsledek</w:t>
            </w:r>
          </w:p>
        </w:tc>
      </w:tr>
    </w:tbl>
    <w:p w:rsidR="00EC513F" w:rsidRDefault="00EC513F" w:rsidP="00F83ECC"/>
    <w:p w:rsidR="003B7E9C" w:rsidRPr="000B2DE6" w:rsidRDefault="003B7E9C" w:rsidP="00F83ECC">
      <w:pPr>
        <w:rPr>
          <w:b/>
        </w:rPr>
      </w:pPr>
      <w:r w:rsidRPr="000B2DE6">
        <w:rPr>
          <w:b/>
        </w:rPr>
        <w:t xml:space="preserve">Minimální cílová hodnota </w:t>
      </w:r>
      <w:r w:rsidR="000710C0" w:rsidRPr="000B2DE6">
        <w:rPr>
          <w:b/>
        </w:rPr>
        <w:t>monitorovacího indikátoru</w:t>
      </w:r>
      <w:r w:rsidRPr="000B2DE6">
        <w:rPr>
          <w:b/>
        </w:rPr>
        <w:t xml:space="preserve"> 6 26 00 </w:t>
      </w:r>
      <w:r w:rsidR="00867861" w:rsidRPr="000B2DE6">
        <w:rPr>
          <w:b/>
        </w:rPr>
        <w:t>musí</w:t>
      </w:r>
      <w:r w:rsidRPr="000B2DE6">
        <w:rPr>
          <w:b/>
        </w:rPr>
        <w:t xml:space="preserve"> činit 10 </w:t>
      </w:r>
      <w:r w:rsidR="009E22AF" w:rsidRPr="000B2DE6">
        <w:rPr>
          <w:b/>
        </w:rPr>
        <w:t xml:space="preserve">osob </w:t>
      </w:r>
      <w:r w:rsidR="005C0CCA" w:rsidRPr="000B2DE6">
        <w:rPr>
          <w:b/>
        </w:rPr>
        <w:t>pro každý projekt</w:t>
      </w:r>
      <w:r w:rsidRPr="000B2DE6">
        <w:rPr>
          <w:b/>
        </w:rPr>
        <w:t>.</w:t>
      </w:r>
    </w:p>
    <w:p w:rsidR="003B7E9C" w:rsidRDefault="003B7E9C" w:rsidP="00F83ECC"/>
    <w:p w:rsidR="003B7E9C" w:rsidRPr="00F83ECC" w:rsidRDefault="003B7E9C" w:rsidP="00F83ECC">
      <w:r>
        <w:t xml:space="preserve">Účastníkem, který získal kvalifikaci po ukončení své účasti, je osoba z cílové skupiny projektu, která ukončila stáž v zahraničí a </w:t>
      </w:r>
      <w:r w:rsidRPr="009A607B">
        <w:t>získala osvědčení o ukončení stáže.</w:t>
      </w:r>
    </w:p>
    <w:p w:rsidR="00EE591B" w:rsidRDefault="00EE591B" w:rsidP="00F83ECC">
      <w:pPr>
        <w:pStyle w:val="Nadpis2"/>
      </w:pPr>
      <w:bookmarkStart w:id="23" w:name="_Toc416867120"/>
      <w:r>
        <w:t>C</w:t>
      </w:r>
      <w:r w:rsidRPr="0022777C">
        <w:t>ílov</w:t>
      </w:r>
      <w:r w:rsidR="007266DF">
        <w:t>é</w:t>
      </w:r>
      <w:r w:rsidRPr="0022777C">
        <w:t xml:space="preserve"> skupin</w:t>
      </w:r>
      <w:r w:rsidR="007266DF">
        <w:t>y</w:t>
      </w:r>
      <w:bookmarkEnd w:id="23"/>
    </w:p>
    <w:p w:rsidR="00A218EC" w:rsidRPr="00A218EC" w:rsidRDefault="00A218EC" w:rsidP="00A218EC">
      <w:r>
        <w:t xml:space="preserve">Cílovou skupinou je </w:t>
      </w:r>
      <w:r w:rsidRPr="00A218EC">
        <w:rPr>
          <w:b/>
        </w:rPr>
        <w:t>znevýhodněná mládež pro mezinárodní mobilitu</w:t>
      </w:r>
      <w:r>
        <w:t>:</w:t>
      </w:r>
    </w:p>
    <w:p w:rsidR="007F04E2" w:rsidRDefault="00746497" w:rsidP="007F04E2">
      <w:r w:rsidRPr="00746497">
        <w:t>Osoby ve věku 15 – 30 let, evidované na ÚP ČR jako uchazeči o zaměstnání, jež jejich další níže uvedená specifika řadí mezi osoby sociálně vyloučené nebo ohrožené sociálním vyloučením:</w:t>
      </w:r>
    </w:p>
    <w:p w:rsidR="005C0CCA" w:rsidRDefault="00746497" w:rsidP="007F04E2">
      <w:pPr>
        <w:pStyle w:val="Odstavecseseznamem"/>
        <w:numPr>
          <w:ilvl w:val="0"/>
          <w:numId w:val="39"/>
        </w:numPr>
        <w:ind w:left="426" w:hanging="426"/>
      </w:pPr>
      <w:r w:rsidRPr="00746497">
        <w:t>osoby bez kvalifikace nebo s nízkou úrovní kvalifikace (ISCED 0 až 2) – bez limitu pro minimální dobu evidence na ÚP ČR,</w:t>
      </w:r>
    </w:p>
    <w:p w:rsidR="005C0CCA" w:rsidRDefault="00746497" w:rsidP="007F04E2">
      <w:pPr>
        <w:pStyle w:val="Odstavecseseznamem"/>
        <w:numPr>
          <w:ilvl w:val="0"/>
          <w:numId w:val="39"/>
        </w:numPr>
        <w:ind w:left="426" w:hanging="426"/>
      </w:pPr>
      <w:r w:rsidRPr="00746497">
        <w:lastRenderedPageBreak/>
        <w:t>osoby s kvalifikací ISCED 3 až 4 – s minimální dobou evidence na ÚP ČR po dobu 3 měsíců,</w:t>
      </w:r>
    </w:p>
    <w:p w:rsidR="005C0CCA" w:rsidRDefault="00746497" w:rsidP="007F04E2">
      <w:pPr>
        <w:pStyle w:val="Odstavecseseznamem"/>
        <w:numPr>
          <w:ilvl w:val="0"/>
          <w:numId w:val="39"/>
        </w:numPr>
        <w:ind w:left="426" w:hanging="426"/>
      </w:pPr>
      <w:r w:rsidRPr="00746497">
        <w:t>osoby s dosaženým vyšším odborným vzděláním (ISCED 5 až 6) – s minimální dobou evidence na ÚP ČR po dobu 6 měsíců,</w:t>
      </w:r>
    </w:p>
    <w:p w:rsidR="005C0CCA" w:rsidRDefault="00746497" w:rsidP="007F04E2">
      <w:pPr>
        <w:pStyle w:val="Odstavecseseznamem"/>
        <w:numPr>
          <w:ilvl w:val="0"/>
          <w:numId w:val="39"/>
        </w:numPr>
        <w:ind w:left="426" w:hanging="426"/>
      </w:pPr>
      <w:r w:rsidRPr="00746497">
        <w:t>národnostní menšiny a osoby z jiného sociokulturního prostředí – bez limitu maximálního dosaženého vzdělání a bez limitu pro minimální dobu evidence na ÚP ČR,</w:t>
      </w:r>
    </w:p>
    <w:p w:rsidR="00F83ECC" w:rsidRDefault="00746497" w:rsidP="007F04E2">
      <w:pPr>
        <w:pStyle w:val="Odstavecseseznamem"/>
        <w:numPr>
          <w:ilvl w:val="0"/>
          <w:numId w:val="39"/>
        </w:numPr>
        <w:ind w:left="426" w:hanging="426"/>
      </w:pPr>
      <w:r w:rsidRPr="00746497">
        <w:t>osoby se zdravotním postižením – bez limitu maximálního dosaženého vzdělání a bez limitu pro m</w:t>
      </w:r>
      <w:r>
        <w:t>inimální dobu evidence na ÚP ČR</w:t>
      </w:r>
      <w:r w:rsidR="007F04E2">
        <w:t>.</w:t>
      </w:r>
    </w:p>
    <w:p w:rsidR="008C28D3" w:rsidRDefault="008C28D3" w:rsidP="008C28D3"/>
    <w:p w:rsidR="008C28D3" w:rsidRPr="008C28D3" w:rsidRDefault="008C28D3" w:rsidP="008C28D3">
      <w:pPr>
        <w:rPr>
          <w:b/>
        </w:rPr>
      </w:pPr>
      <w:r w:rsidRPr="008C28D3">
        <w:rPr>
          <w:b/>
        </w:rPr>
        <w:t>Národnostní menšiny</w:t>
      </w:r>
    </w:p>
    <w:p w:rsidR="008C28D3" w:rsidRDefault="008C28D3" w:rsidP="008C28D3">
      <w:r w:rsidRPr="008C28D3">
        <w:t>Národnostní menšina je společenství občanů ČR žijících na území současné ČR, kteří se odlišují od ostatních občanů zpravidla společným etnickým původem, jazykem, kulturou a tradicemi, tvoří početní menšinu obyvatelstva a zároveň projevují vůli být považováni za národnostní menšinu. Příslušníkem národnostní menšiny je občan ČR, který se hlásí k jiné než české národnosti a projevuje přání být považován za příslušníka národnostní menšiny spolu s dalšími, kteří se hlásí ke stejné národnosti.</w:t>
      </w:r>
    </w:p>
    <w:p w:rsidR="008C28D3" w:rsidRDefault="008C28D3" w:rsidP="008C28D3">
      <w:pPr>
        <w:rPr>
          <w:b/>
        </w:rPr>
      </w:pPr>
    </w:p>
    <w:p w:rsidR="008C28D3" w:rsidRPr="008C28D3" w:rsidRDefault="008C28D3" w:rsidP="008C28D3">
      <w:pPr>
        <w:rPr>
          <w:b/>
        </w:rPr>
      </w:pPr>
      <w:r w:rsidRPr="008C28D3">
        <w:rPr>
          <w:b/>
        </w:rPr>
        <w:t>Osoby se zdravotním postižením</w:t>
      </w:r>
    </w:p>
    <w:p w:rsidR="008C28D3" w:rsidRDefault="008C28D3" w:rsidP="008C28D3">
      <w:r w:rsidRPr="008C28D3">
        <w:t>Osoby s tělesným, mentálním, duševním, smyslovým nebo kombinovaným postižením, jehož dopady činí nebo mohou činit osobu závislou na pomoci jiné osoby.</w:t>
      </w:r>
    </w:p>
    <w:p w:rsidR="008C28D3" w:rsidRPr="00F83ECC" w:rsidRDefault="008C28D3" w:rsidP="008C28D3"/>
    <w:p w:rsidR="00F83ECC" w:rsidRDefault="00EE591B" w:rsidP="00F83ECC">
      <w:pPr>
        <w:pStyle w:val="Nadpis2"/>
      </w:pPr>
      <w:bookmarkStart w:id="24" w:name="_Toc416867121"/>
      <w:r>
        <w:t>I</w:t>
      </w:r>
      <w:r w:rsidRPr="0022777C">
        <w:t>nformace o počátečních / navazujících synergických výzvách</w:t>
      </w:r>
      <w:bookmarkEnd w:id="24"/>
    </w:p>
    <w:p w:rsidR="000D51CA" w:rsidRDefault="00EC513F" w:rsidP="00F83ECC">
      <w:r>
        <w:t>Není relevantní.</w:t>
      </w:r>
    </w:p>
    <w:p w:rsidR="009A607B" w:rsidRPr="00F83ECC" w:rsidRDefault="009A607B" w:rsidP="00F83ECC"/>
    <w:p w:rsidR="00EE591B" w:rsidRDefault="00EE591B" w:rsidP="00B63E73">
      <w:pPr>
        <w:pStyle w:val="Nadpis1"/>
      </w:pPr>
      <w:bookmarkStart w:id="25" w:name="_Toc416867122"/>
      <w:r w:rsidRPr="0022777C">
        <w:t>Územní zaměření</w:t>
      </w:r>
      <w:bookmarkEnd w:id="25"/>
    </w:p>
    <w:p w:rsidR="009A0FC1" w:rsidRPr="009A0FC1" w:rsidRDefault="009A0FC1" w:rsidP="009A607B">
      <w:pPr>
        <w:pStyle w:val="Nadpis2"/>
      </w:pPr>
      <w:bookmarkStart w:id="26" w:name="_Toc416867123"/>
      <w:r w:rsidRPr="009A0FC1">
        <w:t>Programová oblast a území dopadu</w:t>
      </w:r>
    </w:p>
    <w:p w:rsidR="009A0FC1" w:rsidRPr="004F4722" w:rsidRDefault="009A0FC1" w:rsidP="009A0FC1">
      <w:r w:rsidRPr="004F4722">
        <w:t>Programová oblast a území dopadu:</w:t>
      </w:r>
      <w:r>
        <w:t xml:space="preserve"> </w:t>
      </w:r>
      <w:r w:rsidRPr="004F4722">
        <w:t>celá ČR včetně hl. m. Prahy</w:t>
      </w:r>
      <w:r>
        <w:t>.</w:t>
      </w:r>
    </w:p>
    <w:p w:rsidR="009A0FC1" w:rsidRDefault="009A0FC1" w:rsidP="009A0FC1"/>
    <w:p w:rsidR="009A0FC1" w:rsidRPr="004F4722" w:rsidRDefault="009A0FC1" w:rsidP="009A0FC1">
      <w:r w:rsidRPr="004F4722">
        <w:t xml:space="preserve">Definice programové oblasti a definice území dopadu jsou </w:t>
      </w:r>
      <w:r w:rsidRPr="00114710">
        <w:t>k dispozici v Obecné části pravidel pro žadatele a příjemce v rámci Operačního programu Zaměstnanost (konkrétní odkaz na elektronickou verzi tohoto dokumentu viz část 10.2 této výzvy).</w:t>
      </w:r>
      <w:r w:rsidRPr="004F4722">
        <w:t xml:space="preserve"> </w:t>
      </w:r>
    </w:p>
    <w:p w:rsidR="009A0FC1" w:rsidRPr="00510A36" w:rsidRDefault="009A0FC1" w:rsidP="009A0FC1"/>
    <w:p w:rsidR="009A0FC1" w:rsidRPr="009A0FC1" w:rsidRDefault="009A0FC1" w:rsidP="009A607B">
      <w:pPr>
        <w:pStyle w:val="Nadpis2"/>
      </w:pPr>
      <w:r w:rsidRPr="009A0FC1">
        <w:t>Místo realizace</w:t>
      </w:r>
    </w:p>
    <w:p w:rsidR="009A0FC1" w:rsidRPr="004F4722" w:rsidRDefault="009A0FC1" w:rsidP="009A0FC1">
      <w:r w:rsidRPr="004F4722">
        <w:t>Místo realizace:</w:t>
      </w:r>
      <w:r>
        <w:t xml:space="preserve"> </w:t>
      </w:r>
      <w:r w:rsidRPr="001C23CE">
        <w:t xml:space="preserve">celá ČR </w:t>
      </w:r>
      <w:r>
        <w:t>a EU</w:t>
      </w:r>
    </w:p>
    <w:p w:rsidR="009A0FC1" w:rsidRPr="004F4722" w:rsidRDefault="009A0FC1" w:rsidP="009A0FC1">
      <w:r w:rsidRPr="004F4722">
        <w:t xml:space="preserve">Definice </w:t>
      </w:r>
      <w:r>
        <w:t xml:space="preserve">místa realizace </w:t>
      </w:r>
      <w:r w:rsidRPr="004F4722">
        <w:t>j</w:t>
      </w:r>
      <w:r>
        <w:t>e</w:t>
      </w:r>
      <w:r w:rsidRPr="004F4722">
        <w:t xml:space="preserve"> </w:t>
      </w:r>
      <w:r w:rsidRPr="00114710">
        <w:t>k dispozici v Obecné části pravidel pro žadatele a příjemce v rámci Operačního programu Zaměstnanost (konkrétní odkaz na elektronickou verzi tohoto dokumentu viz část 10.2 této výzvy).</w:t>
      </w:r>
      <w:r w:rsidRPr="004F4722">
        <w:t xml:space="preserve"> </w:t>
      </w:r>
    </w:p>
    <w:bookmarkEnd w:id="26"/>
    <w:p w:rsidR="00B63E73" w:rsidRPr="000E277F" w:rsidRDefault="00B63E73" w:rsidP="00F83ECC">
      <w:pPr>
        <w:rPr>
          <w:b/>
        </w:rPr>
      </w:pPr>
    </w:p>
    <w:p w:rsidR="00EE591B" w:rsidRDefault="00F83ECC" w:rsidP="00B63E73">
      <w:pPr>
        <w:pStyle w:val="Nadpis1"/>
      </w:pPr>
      <w:bookmarkStart w:id="27" w:name="_Toc416867124"/>
      <w:r>
        <w:t>Informace o způsobilosti výdajů</w:t>
      </w:r>
      <w:bookmarkEnd w:id="27"/>
    </w:p>
    <w:p w:rsidR="00EE591B" w:rsidRDefault="00EE591B" w:rsidP="00F83ECC">
      <w:pPr>
        <w:pStyle w:val="Nadpis2"/>
      </w:pPr>
      <w:bookmarkStart w:id="28" w:name="_Toc416867125"/>
      <w:r>
        <w:t>V</w:t>
      </w:r>
      <w:r w:rsidRPr="0022777C">
        <w:t>ěcná způsobilost</w:t>
      </w:r>
      <w:bookmarkEnd w:id="28"/>
    </w:p>
    <w:p w:rsidR="000E277F" w:rsidRDefault="000E277F" w:rsidP="000E277F">
      <w:pPr>
        <w:tabs>
          <w:tab w:val="num" w:pos="1440"/>
        </w:tabs>
      </w:pPr>
      <w:r>
        <w:t xml:space="preserve">Pravidla, jaké kategorie výdajů jsou způsobilé, jsou k dispozici ve Specifické části </w:t>
      </w:r>
      <w:r w:rsidRPr="00631894">
        <w:t xml:space="preserve">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 w:rsidR="00EA6BD7">
        <w:t>OPZ</w:t>
      </w:r>
      <w:r>
        <w:t xml:space="preserve"> </w:t>
      </w:r>
      <w:r w:rsidR="00EA6BD7" w:rsidRPr="0003564B">
        <w:t>pro projekty</w:t>
      </w:r>
      <w:r w:rsidR="00EA6BD7">
        <w:t xml:space="preserve"> </w:t>
      </w:r>
      <w:r w:rsidR="00EA6BD7" w:rsidRPr="0003564B">
        <w:t xml:space="preserve">se skutečně vzniklými výdaji </w:t>
      </w:r>
      <w:r w:rsidR="00EA6BD7">
        <w:t>a</w:t>
      </w:r>
      <w:r w:rsidR="00EA6BD7" w:rsidRPr="0003564B">
        <w:t xml:space="preserve"> případně také</w:t>
      </w:r>
      <w:r w:rsidR="00EA6BD7">
        <w:t xml:space="preserve"> </w:t>
      </w:r>
      <w:r w:rsidR="00EA6BD7" w:rsidRPr="0003564B">
        <w:t>s nepřímými náklady</w:t>
      </w:r>
      <w:r w:rsidR="00EA6BD7">
        <w:t xml:space="preserve"> </w:t>
      </w:r>
      <w:r>
        <w:t xml:space="preserve">(konkrétní </w:t>
      </w:r>
      <w:r w:rsidR="006078C8">
        <w:t>odkaz</w:t>
      </w:r>
      <w:r>
        <w:t xml:space="preserve"> na elektronickou verzi tohoto dokumentu viz část 10.2 </w:t>
      </w:r>
      <w:r w:rsidR="00895FB3">
        <w:t>tohoto avíza</w:t>
      </w:r>
      <w:r>
        <w:t xml:space="preserve">). </w:t>
      </w:r>
    </w:p>
    <w:p w:rsidR="00EE591B" w:rsidRDefault="00EE591B" w:rsidP="00F83ECC">
      <w:pPr>
        <w:pStyle w:val="Nadpis2"/>
      </w:pPr>
      <w:bookmarkStart w:id="29" w:name="_Toc416867126"/>
      <w:r>
        <w:t>Č</w:t>
      </w:r>
      <w:r w:rsidRPr="0022777C">
        <w:t>asová způsobilost</w:t>
      </w:r>
      <w:bookmarkEnd w:id="29"/>
    </w:p>
    <w:p w:rsidR="00EB0260" w:rsidRDefault="00FF1669" w:rsidP="00C501B0">
      <w:pPr>
        <w:tabs>
          <w:tab w:val="num" w:pos="1440"/>
        </w:tabs>
      </w:pPr>
      <w:r w:rsidRPr="00C501B0">
        <w:t>Časově způsobilé jsou náklady vzniklé v době realizace projektu</w:t>
      </w:r>
      <w:r w:rsidR="00C501B0">
        <w:t xml:space="preserve">. </w:t>
      </w:r>
    </w:p>
    <w:p w:rsidR="00EB0260" w:rsidRDefault="00FF1669" w:rsidP="00C501B0">
      <w:pPr>
        <w:tabs>
          <w:tab w:val="num" w:pos="1440"/>
        </w:tabs>
      </w:pPr>
      <w:r w:rsidRPr="00C501B0">
        <w:t>Datum zahájení realizace nesmí předcházet datu vyhlášení výzvy</w:t>
      </w:r>
      <w:r w:rsidR="00366F94">
        <w:t>.</w:t>
      </w:r>
    </w:p>
    <w:p w:rsidR="00366F94" w:rsidRDefault="00366F94" w:rsidP="00C501B0">
      <w:pPr>
        <w:tabs>
          <w:tab w:val="num" w:pos="1440"/>
        </w:tabs>
      </w:pPr>
      <w:r w:rsidRPr="00474531">
        <w:t xml:space="preserve">Doporučené datum zahájení realizace projektu: 1. </w:t>
      </w:r>
      <w:r w:rsidR="001C103C">
        <w:t>5</w:t>
      </w:r>
      <w:r w:rsidRPr="00474531">
        <w:t>. 2016</w:t>
      </w:r>
    </w:p>
    <w:p w:rsidR="00EB0260" w:rsidRDefault="00EB0260" w:rsidP="00C501B0">
      <w:pPr>
        <w:tabs>
          <w:tab w:val="num" w:pos="1440"/>
        </w:tabs>
      </w:pPr>
    </w:p>
    <w:p w:rsidR="00EE591B" w:rsidRPr="00F83ECC" w:rsidRDefault="00EE591B" w:rsidP="00F83ECC">
      <w:pPr>
        <w:pStyle w:val="Nadpis2"/>
      </w:pPr>
      <w:bookmarkStart w:id="30" w:name="_Toc416867127"/>
      <w:r>
        <w:lastRenderedPageBreak/>
        <w:t>I</w:t>
      </w:r>
      <w:r w:rsidRPr="0022777C">
        <w:t>nformace o křížovém financování</w:t>
      </w:r>
      <w:bookmarkEnd w:id="30"/>
    </w:p>
    <w:p w:rsidR="00EE591B" w:rsidRPr="00F83ECC" w:rsidRDefault="00EE591B" w:rsidP="00F83ECC">
      <w:pPr>
        <w:pStyle w:val="Odrky1"/>
      </w:pPr>
      <w:r w:rsidRPr="00F83ECC">
        <w:t xml:space="preserve">Maximální objem prostředků v Kč, které mohou být v rámci </w:t>
      </w:r>
      <w:r w:rsidR="00EB0260">
        <w:t xml:space="preserve">připravované </w:t>
      </w:r>
      <w:r w:rsidRPr="00F83ECC">
        <w:t>výzvy přiděleny pro křížové fina</w:t>
      </w:r>
      <w:r w:rsidR="00D57FE0">
        <w:t>ncování</w:t>
      </w:r>
      <w:r w:rsidRPr="00F83ECC">
        <w:t>:</w:t>
      </w:r>
      <w:r w:rsidR="007266DF">
        <w:t xml:space="preserve"> </w:t>
      </w:r>
      <w:r w:rsidR="005D6DC0">
        <w:t>7</w:t>
      </w:r>
      <w:r w:rsidR="009A607B">
        <w:t>,5 mil.</w:t>
      </w:r>
      <w:r w:rsidR="00DF6A19">
        <w:t xml:space="preserve"> </w:t>
      </w:r>
      <w:r w:rsidR="00D57FE0">
        <w:t>CZK</w:t>
      </w:r>
    </w:p>
    <w:p w:rsidR="00EE591B" w:rsidRDefault="00D57FE0" w:rsidP="00F83ECC">
      <w:pPr>
        <w:pStyle w:val="Odrky1"/>
      </w:pPr>
      <w:r w:rsidRPr="00F83ECC">
        <w:t xml:space="preserve">Maximální podíl nákladů na křížové financování na celkových </w:t>
      </w:r>
      <w:r w:rsidR="009A0FC1">
        <w:t xml:space="preserve">přímých </w:t>
      </w:r>
      <w:r>
        <w:t>způsobilých nákladech projektu</w:t>
      </w:r>
      <w:r w:rsidRPr="00F83ECC">
        <w:t>:</w:t>
      </w:r>
      <w:r>
        <w:t xml:space="preserve"> </w:t>
      </w:r>
      <w:r w:rsidR="005D6DC0">
        <w:t>10</w:t>
      </w:r>
      <w:r>
        <w:t xml:space="preserve">% </w:t>
      </w:r>
    </w:p>
    <w:p w:rsidR="00F83ECC" w:rsidRDefault="00EE591B" w:rsidP="00F83ECC">
      <w:pPr>
        <w:pStyle w:val="Nadpis2"/>
      </w:pPr>
      <w:bookmarkStart w:id="31" w:name="_Toc416867128"/>
      <w:r>
        <w:t>I</w:t>
      </w:r>
      <w:r w:rsidRPr="0022777C">
        <w:t xml:space="preserve">nformace o </w:t>
      </w:r>
      <w:r w:rsidR="00B63E73">
        <w:t>nepřímých nákladech</w:t>
      </w:r>
      <w:bookmarkEnd w:id="31"/>
    </w:p>
    <w:p w:rsidR="009B0AFD" w:rsidRDefault="009B0AFD" w:rsidP="009B0AFD">
      <w:pPr>
        <w:tabs>
          <w:tab w:val="num" w:pos="1440"/>
        </w:tabs>
      </w:pPr>
      <w:r>
        <w:t xml:space="preserve">Pravidla týkající se nepřímých nákladů jsou k dispozici ve Specifické části </w:t>
      </w:r>
      <w:r w:rsidRPr="00631894">
        <w:t xml:space="preserve">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 xml:space="preserve">OPZ </w:t>
      </w:r>
      <w:r w:rsidRPr="0003564B">
        <w:t>pro projekty</w:t>
      </w:r>
      <w:r>
        <w:t xml:space="preserve"> </w:t>
      </w:r>
      <w:r w:rsidRPr="0003564B">
        <w:t xml:space="preserve">se skutečně vzniklými výdaji </w:t>
      </w:r>
      <w:r>
        <w:t>a</w:t>
      </w:r>
      <w:r w:rsidRPr="0003564B">
        <w:t xml:space="preserve"> případně také</w:t>
      </w:r>
      <w:r>
        <w:t xml:space="preserve"> </w:t>
      </w:r>
      <w:r w:rsidRPr="0003564B">
        <w:t>s nepřímými náklady</w:t>
      </w:r>
      <w:r>
        <w:t xml:space="preserve"> (konkrétní </w:t>
      </w:r>
      <w:r w:rsidR="006078C8">
        <w:t>odkaz</w:t>
      </w:r>
      <w:r>
        <w:t xml:space="preserve"> na elektronickou verzi tohoto dokumentu viz část 10.2 </w:t>
      </w:r>
      <w:r w:rsidR="00895FB3">
        <w:t>tohoto avíza</w:t>
      </w:r>
      <w:r>
        <w:t xml:space="preserve">). </w:t>
      </w:r>
    </w:p>
    <w:p w:rsidR="009B0AFD" w:rsidRDefault="009B0AFD" w:rsidP="00F83ECC"/>
    <w:p w:rsidR="00EE591B" w:rsidRDefault="00EE591B" w:rsidP="009B0AFD">
      <w:pPr>
        <w:spacing w:after="120"/>
      </w:pPr>
      <w:r>
        <w:t>Projekty</w:t>
      </w:r>
      <w:r w:rsidR="00EB0260">
        <w:t xml:space="preserve">, které budou podpořeny v rámci připravované výzvě, budou </w:t>
      </w:r>
      <w:r>
        <w:t>aplik</w:t>
      </w:r>
      <w:r w:rsidR="00EB0260">
        <w:t xml:space="preserve">ovat </w:t>
      </w:r>
      <w:r>
        <w:t>nepřímé náklady, přičemž základní stanovené podíly nepřímých nákladů jsou stanoveny na: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74"/>
        <w:gridCol w:w="5103"/>
      </w:tblGrid>
      <w:tr w:rsidR="009B0AFD" w:rsidTr="009B0AFD">
        <w:trPr>
          <w:tblHeader/>
        </w:trPr>
        <w:tc>
          <w:tcPr>
            <w:tcW w:w="3974" w:type="dxa"/>
          </w:tcPr>
          <w:p w:rsidR="009B0AFD" w:rsidRPr="00EC513F" w:rsidRDefault="009B0AFD" w:rsidP="00FF1669">
            <w:pPr>
              <w:pStyle w:val="Tabulkazhlav"/>
            </w:pPr>
            <w:r w:rsidRPr="00563DFB">
              <w:t>Objem přímých nákladů</w:t>
            </w:r>
          </w:p>
        </w:tc>
        <w:tc>
          <w:tcPr>
            <w:tcW w:w="5103" w:type="dxa"/>
          </w:tcPr>
          <w:p w:rsidR="009B0AFD" w:rsidRPr="00EC513F" w:rsidRDefault="009B0AFD" w:rsidP="00FF1669">
            <w:pPr>
              <w:pStyle w:val="Tabulkazhlav"/>
            </w:pPr>
            <w:r w:rsidRPr="00563DFB">
              <w:t>% nepřímých nákladů</w:t>
            </w:r>
          </w:p>
        </w:tc>
      </w:tr>
      <w:tr w:rsidR="009B0AFD" w:rsidTr="009B0AFD">
        <w:tc>
          <w:tcPr>
            <w:tcW w:w="3974" w:type="dxa"/>
          </w:tcPr>
          <w:p w:rsidR="009B0AFD" w:rsidRPr="001D12DB" w:rsidRDefault="009B0AFD" w:rsidP="00FF1669">
            <w:pPr>
              <w:pStyle w:val="Tabulkatext"/>
            </w:pPr>
            <w:r w:rsidRPr="001D12DB">
              <w:t>Do 10 mil. Kč včetně</w:t>
            </w:r>
          </w:p>
        </w:tc>
        <w:tc>
          <w:tcPr>
            <w:tcW w:w="5103" w:type="dxa"/>
          </w:tcPr>
          <w:p w:rsidR="009B0AFD" w:rsidRPr="001D12DB" w:rsidRDefault="009B0AFD" w:rsidP="00FF1669">
            <w:pPr>
              <w:pStyle w:val="Tabulkatext"/>
            </w:pPr>
            <w:r w:rsidRPr="001D12DB">
              <w:t>25 %</w:t>
            </w:r>
          </w:p>
        </w:tc>
      </w:tr>
    </w:tbl>
    <w:p w:rsidR="009B0AFD" w:rsidRDefault="009B0AFD" w:rsidP="009B0AFD">
      <w:pPr>
        <w:pStyle w:val="VZTabulkyagrafy"/>
        <w:keepNext/>
        <w:rPr>
          <w:sz w:val="20"/>
        </w:rPr>
      </w:pPr>
    </w:p>
    <w:p w:rsidR="009B0AFD" w:rsidRDefault="009B0AFD" w:rsidP="009B0AFD">
      <w:pPr>
        <w:spacing w:after="120"/>
      </w:pPr>
      <w:r w:rsidRPr="0003462A">
        <w:t xml:space="preserve">Pro projekty, u nichž podstatná většina nákladů vznikne formou nákupu služeb od externích dodavatelů, </w:t>
      </w:r>
      <w:r w:rsidR="00EB0260">
        <w:t xml:space="preserve">budou </w:t>
      </w:r>
      <w:r w:rsidRPr="0003462A">
        <w:t xml:space="preserve">způsobilá procenta nepřímých nákladů snížena. Podíly pro nepřímé náklady </w:t>
      </w:r>
      <w:r w:rsidR="00EB0260">
        <w:t xml:space="preserve">budou </w:t>
      </w:r>
      <w:r w:rsidRPr="0003462A">
        <w:t>sníženy pro projekty s objemem ná</w:t>
      </w:r>
      <w:r>
        <w:t>kupu služeb v těchto intencích: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8"/>
        <w:gridCol w:w="4539"/>
      </w:tblGrid>
      <w:tr w:rsidR="009B0AFD" w:rsidTr="002714E7">
        <w:trPr>
          <w:tblHeader/>
        </w:trPr>
        <w:tc>
          <w:tcPr>
            <w:tcW w:w="4538" w:type="dxa"/>
          </w:tcPr>
          <w:p w:rsidR="009B0AFD" w:rsidRPr="00EC513F" w:rsidRDefault="009B0AFD" w:rsidP="0023353E">
            <w:pPr>
              <w:pStyle w:val="Tabulkazhlav"/>
              <w:keepNext/>
            </w:pPr>
            <w:r w:rsidRPr="0003462A">
              <w:t>Podíl nákupu služeb na celkových přímých způsobilých nákladech projektu</w:t>
            </w:r>
          </w:p>
        </w:tc>
        <w:tc>
          <w:tcPr>
            <w:tcW w:w="4539" w:type="dxa"/>
          </w:tcPr>
          <w:p w:rsidR="009B0AFD" w:rsidRPr="00EC513F" w:rsidRDefault="009B0AFD" w:rsidP="0023353E">
            <w:pPr>
              <w:pStyle w:val="Tabulkazhlav"/>
              <w:keepNext/>
            </w:pPr>
            <w:r w:rsidRPr="0003462A">
              <w:t xml:space="preserve">Snížení podílu nepřímých nákladů </w:t>
            </w:r>
            <w:r>
              <w:t>oproti výše uvedené tabulce</w:t>
            </w:r>
          </w:p>
        </w:tc>
      </w:tr>
      <w:tr w:rsidR="009B0AFD" w:rsidTr="002714E7">
        <w:tc>
          <w:tcPr>
            <w:tcW w:w="4538" w:type="dxa"/>
          </w:tcPr>
          <w:p w:rsidR="009B0AFD" w:rsidRPr="0003462A" w:rsidRDefault="009B0AFD" w:rsidP="0023353E">
            <w:pPr>
              <w:pStyle w:val="Tabulkatext"/>
              <w:keepNext/>
            </w:pPr>
            <w:r w:rsidRPr="0003462A">
              <w:t>Do 60 % včetně</w:t>
            </w:r>
          </w:p>
        </w:tc>
        <w:tc>
          <w:tcPr>
            <w:tcW w:w="4539" w:type="dxa"/>
          </w:tcPr>
          <w:p w:rsidR="009B0AFD" w:rsidRPr="0003462A" w:rsidRDefault="009B0AFD" w:rsidP="0023353E">
            <w:pPr>
              <w:pStyle w:val="Tabulkatext"/>
              <w:keepNext/>
            </w:pPr>
            <w:r w:rsidRPr="00563DFB">
              <w:t xml:space="preserve">Platí </w:t>
            </w:r>
            <w:r>
              <w:t xml:space="preserve">základní </w:t>
            </w:r>
            <w:r w:rsidRPr="00563DFB">
              <w:t xml:space="preserve">podíly nepřímých nákladů </w:t>
            </w:r>
          </w:p>
        </w:tc>
      </w:tr>
      <w:tr w:rsidR="009B0AFD" w:rsidTr="002714E7">
        <w:tc>
          <w:tcPr>
            <w:tcW w:w="4538" w:type="dxa"/>
          </w:tcPr>
          <w:p w:rsidR="009B0AFD" w:rsidRPr="0003462A" w:rsidRDefault="009B0AFD" w:rsidP="0023353E">
            <w:pPr>
              <w:pStyle w:val="Tabulkatext"/>
              <w:keepNext/>
            </w:pPr>
            <w:r w:rsidRPr="0003462A">
              <w:t>Více než 60 % a méně než 90 %</w:t>
            </w:r>
          </w:p>
        </w:tc>
        <w:tc>
          <w:tcPr>
            <w:tcW w:w="4539" w:type="dxa"/>
          </w:tcPr>
          <w:p w:rsidR="009B0AFD" w:rsidRPr="0003462A" w:rsidRDefault="009B0AFD" w:rsidP="009A607B">
            <w:pPr>
              <w:pStyle w:val="Tabulkatext"/>
              <w:keepNext/>
            </w:pPr>
            <w:r w:rsidRPr="00563DFB">
              <w:t xml:space="preserve">Snížení na 3/5 (60 %) </w:t>
            </w:r>
            <w:r>
              <w:t xml:space="preserve">základního </w:t>
            </w:r>
            <w:r w:rsidRPr="00563DFB">
              <w:t>podílu, tj. 15 %</w:t>
            </w:r>
          </w:p>
        </w:tc>
      </w:tr>
      <w:tr w:rsidR="009B0AFD" w:rsidTr="002714E7">
        <w:tc>
          <w:tcPr>
            <w:tcW w:w="4538" w:type="dxa"/>
          </w:tcPr>
          <w:p w:rsidR="009B0AFD" w:rsidRPr="0003462A" w:rsidRDefault="009B0AFD" w:rsidP="0023353E">
            <w:pPr>
              <w:pStyle w:val="Tabulkatext"/>
              <w:keepNext/>
            </w:pPr>
            <w:r w:rsidRPr="0003462A">
              <w:t>90 % a výše</w:t>
            </w:r>
          </w:p>
        </w:tc>
        <w:tc>
          <w:tcPr>
            <w:tcW w:w="4539" w:type="dxa"/>
          </w:tcPr>
          <w:p w:rsidR="009B0AFD" w:rsidRPr="0003462A" w:rsidRDefault="009B0AFD" w:rsidP="009A0FC1">
            <w:pPr>
              <w:pStyle w:val="Tabulkatext"/>
              <w:keepNext/>
            </w:pPr>
            <w:r w:rsidRPr="00563DFB">
              <w:t xml:space="preserve">Snížení na 1/5 (20 %) </w:t>
            </w:r>
            <w:r>
              <w:t xml:space="preserve">základního </w:t>
            </w:r>
            <w:r w:rsidRPr="00563DFB">
              <w:t>podílu, tj. 5 %</w:t>
            </w:r>
            <w:r w:rsidR="009A0FC1">
              <w:t xml:space="preserve"> </w:t>
            </w:r>
          </w:p>
        </w:tc>
      </w:tr>
    </w:tbl>
    <w:p w:rsidR="00EE591B" w:rsidRDefault="00EE591B" w:rsidP="00F83ECC"/>
    <w:p w:rsidR="0078105C" w:rsidRDefault="0078105C" w:rsidP="0078105C">
      <w:pPr>
        <w:tabs>
          <w:tab w:val="num" w:pos="1440"/>
        </w:tabs>
      </w:pPr>
      <w:r>
        <w:t>Procento nepřímých nákladů je závazné a pevně stanovené, není ho tedy možné měnit. Žadatel není oprávněn stanovit si vlastní procentní sazbu.</w:t>
      </w:r>
    </w:p>
    <w:p w:rsidR="00EB0260" w:rsidRDefault="00EB0260" w:rsidP="0078105C">
      <w:pPr>
        <w:tabs>
          <w:tab w:val="num" w:pos="1440"/>
        </w:tabs>
      </w:pPr>
    </w:p>
    <w:p w:rsidR="00EE591B" w:rsidRDefault="00DA643B" w:rsidP="00B63E73">
      <w:pPr>
        <w:pStyle w:val="Nadpis1"/>
      </w:pPr>
      <w:bookmarkStart w:id="32" w:name="_Toc416867129"/>
      <w:r>
        <w:t>Předpokládané n</w:t>
      </w:r>
      <w:r w:rsidR="00EE591B" w:rsidRPr="0022777C">
        <w:t xml:space="preserve">áležitosti </w:t>
      </w:r>
      <w:r>
        <w:t xml:space="preserve">budoucích </w:t>
      </w:r>
      <w:r w:rsidR="00EE591B" w:rsidRPr="0022777C">
        <w:t>žádost</w:t>
      </w:r>
      <w:r>
        <w:t>í</w:t>
      </w:r>
      <w:r w:rsidR="00EE591B" w:rsidRPr="0022777C">
        <w:t xml:space="preserve"> o podporu, způsob podání, možnost konzultací</w:t>
      </w:r>
      <w:bookmarkEnd w:id="3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80"/>
      </w:tblGrid>
      <w:tr w:rsidR="00502749" w:rsidRPr="00502749" w:rsidTr="00DA643B">
        <w:tc>
          <w:tcPr>
            <w:tcW w:w="9210" w:type="dxa"/>
          </w:tcPr>
          <w:p w:rsidR="00DA643B" w:rsidRPr="00502749" w:rsidRDefault="00DA643B" w:rsidP="00DA643B">
            <w:pPr>
              <w:pStyle w:val="Tabulkatext"/>
              <w:rPr>
                <w:b/>
                <w:color w:val="FF0000"/>
              </w:rPr>
            </w:pPr>
            <w:r w:rsidRPr="00502749">
              <w:rPr>
                <w:b/>
                <w:color w:val="FF0000"/>
              </w:rPr>
              <w:t xml:space="preserve">TENTO DOKUMENT NENÍ VÝZVOU K PŘEDKLÁDÁNÍ ŽÁDOSTÍ O PODPORU. </w:t>
            </w:r>
          </w:p>
          <w:p w:rsidR="00DA643B" w:rsidRPr="00502749" w:rsidRDefault="00DA643B" w:rsidP="00DA643B">
            <w:pPr>
              <w:pStyle w:val="Tabulkatext"/>
              <w:rPr>
                <w:b/>
                <w:color w:val="FF0000"/>
              </w:rPr>
            </w:pPr>
            <w:r w:rsidRPr="00502749">
              <w:rPr>
                <w:b/>
                <w:color w:val="FF0000"/>
              </w:rPr>
              <w:t>NA ZÁKLADĚ TOHOTO AVÍZA NENÍ MOŽNÉ PŘEDKLÁDAT ŽÁDOSTI O PODPORU.</w:t>
            </w:r>
          </w:p>
        </w:tc>
      </w:tr>
    </w:tbl>
    <w:p w:rsidR="00EE591B" w:rsidRDefault="00EE591B" w:rsidP="00B63E73">
      <w:pPr>
        <w:pStyle w:val="Nadpis2"/>
      </w:pPr>
      <w:bookmarkStart w:id="33" w:name="_Toc416867130"/>
      <w:r>
        <w:t>P</w:t>
      </w:r>
      <w:r w:rsidRPr="0022777C">
        <w:t>ovinné přílohy</w:t>
      </w:r>
      <w:r w:rsidR="00EA43FD">
        <w:t xml:space="preserve"> </w:t>
      </w:r>
      <w:r w:rsidR="00DA643B">
        <w:t xml:space="preserve">budoucí </w:t>
      </w:r>
      <w:r w:rsidR="00EA43FD">
        <w:t>žádosti o podporu</w:t>
      </w:r>
      <w:bookmarkEnd w:id="33"/>
    </w:p>
    <w:p w:rsidR="00D22637" w:rsidRDefault="00D22637" w:rsidP="00366F94">
      <w:pPr>
        <w:pStyle w:val="Odstavecseseznamem"/>
        <w:numPr>
          <w:ilvl w:val="0"/>
          <w:numId w:val="13"/>
        </w:numPr>
        <w:rPr>
          <w:bCs/>
        </w:rPr>
      </w:pPr>
      <w:r>
        <w:rPr>
          <w:bCs/>
        </w:rPr>
        <w:t xml:space="preserve">Pro všechny žadatele, kteří jsou právnickou osobou a zároveň nejsou organizační složkou státu, </w:t>
      </w:r>
      <w:r w:rsidR="00EB0260">
        <w:rPr>
          <w:bCs/>
        </w:rPr>
        <w:t xml:space="preserve">bude </w:t>
      </w:r>
      <w:r>
        <w:rPr>
          <w:bCs/>
        </w:rPr>
        <w:t xml:space="preserve">povinnou přílohou </w:t>
      </w:r>
      <w:r w:rsidRPr="00D22637">
        <w:rPr>
          <w:bCs/>
        </w:rPr>
        <w:t>žádost</w:t>
      </w:r>
      <w:r w:rsidR="00EB0260">
        <w:rPr>
          <w:bCs/>
        </w:rPr>
        <w:t>i</w:t>
      </w:r>
      <w:r w:rsidRPr="00D22637">
        <w:rPr>
          <w:bCs/>
        </w:rPr>
        <w:t xml:space="preserve"> </w:t>
      </w:r>
      <w:r w:rsidRPr="00D22637">
        <w:rPr>
          <w:b/>
          <w:bCs/>
        </w:rPr>
        <w:t xml:space="preserve">Identifikace vlastnické struktury žadatele dle § 14 odst. 3 zákona č. 218/2000 Sb., o rozpočtových pravidlech, </w:t>
      </w:r>
      <w:r>
        <w:rPr>
          <w:b/>
          <w:bCs/>
        </w:rPr>
        <w:t xml:space="preserve">včetně jeho relevantních příloh. </w:t>
      </w:r>
      <w:r w:rsidRPr="00D22637">
        <w:rPr>
          <w:bCs/>
        </w:rPr>
        <w:t xml:space="preserve">Formulář této přílohy je v elektronické podobě k dispozici </w:t>
      </w:r>
      <w:r>
        <w:rPr>
          <w:bCs/>
        </w:rPr>
        <w:t xml:space="preserve">v IS KP14+, v němž žadatel zpracovává žádost o podporu, a dále je k dispozici na webových stránkách Operačního programu Zaměstnanost: </w:t>
      </w:r>
      <w:hyperlink r:id="rId9" w:history="1">
        <w:r w:rsidR="00EB0260" w:rsidRPr="00793C85">
          <w:rPr>
            <w:rStyle w:val="Hypertextovodkaz"/>
            <w:bCs/>
          </w:rPr>
          <w:t>http://www.esfcr.cz/file/9005/</w:t>
        </w:r>
      </w:hyperlink>
      <w:r w:rsidR="00EB0260">
        <w:rPr>
          <w:bCs/>
        </w:rPr>
        <w:t>.</w:t>
      </w:r>
    </w:p>
    <w:p w:rsidR="00DF6A19" w:rsidRPr="00867861" w:rsidRDefault="00DF6A19" w:rsidP="00366F94">
      <w:pPr>
        <w:pStyle w:val="Odstavecseseznamem"/>
        <w:numPr>
          <w:ilvl w:val="0"/>
          <w:numId w:val="13"/>
        </w:numPr>
        <w:rPr>
          <w:bCs/>
        </w:rPr>
      </w:pPr>
      <w:proofErr w:type="spellStart"/>
      <w:r w:rsidRPr="009A607B">
        <w:rPr>
          <w:b/>
          <w:bCs/>
        </w:rPr>
        <w:t>Letter</w:t>
      </w:r>
      <w:proofErr w:type="spellEnd"/>
      <w:r w:rsidRPr="009A607B">
        <w:rPr>
          <w:b/>
          <w:bCs/>
        </w:rPr>
        <w:t xml:space="preserve"> </w:t>
      </w:r>
      <w:proofErr w:type="spellStart"/>
      <w:r w:rsidRPr="009A607B">
        <w:rPr>
          <w:b/>
          <w:bCs/>
        </w:rPr>
        <w:t>of</w:t>
      </w:r>
      <w:proofErr w:type="spellEnd"/>
      <w:r w:rsidRPr="009A607B">
        <w:rPr>
          <w:b/>
          <w:bCs/>
        </w:rPr>
        <w:t xml:space="preserve"> </w:t>
      </w:r>
      <w:proofErr w:type="spellStart"/>
      <w:r w:rsidRPr="009A607B">
        <w:rPr>
          <w:b/>
          <w:bCs/>
        </w:rPr>
        <w:t>Intent</w:t>
      </w:r>
      <w:proofErr w:type="spellEnd"/>
      <w:r w:rsidRPr="00867861">
        <w:rPr>
          <w:bCs/>
        </w:rPr>
        <w:t xml:space="preserve"> – Potvrzení záměru mezinárodní spolupráce se zahraničním partnerem</w:t>
      </w:r>
      <w:r w:rsidR="00191740" w:rsidRPr="00867861">
        <w:rPr>
          <w:bCs/>
        </w:rPr>
        <w:t xml:space="preserve"> (</w:t>
      </w:r>
      <w:r w:rsidR="00E43E1D" w:rsidRPr="00867861">
        <w:rPr>
          <w:bCs/>
        </w:rPr>
        <w:t>ve výzvě bude zveřejněn odkaz na vzorový formulář</w:t>
      </w:r>
      <w:r w:rsidR="00191740" w:rsidRPr="00867861">
        <w:rPr>
          <w:bCs/>
        </w:rPr>
        <w:t>)</w:t>
      </w:r>
      <w:r w:rsidR="009A607B">
        <w:rPr>
          <w:bCs/>
        </w:rPr>
        <w:t>.</w:t>
      </w:r>
    </w:p>
    <w:p w:rsidR="00DF6A19" w:rsidRPr="00DF6A19" w:rsidRDefault="00DF6A19" w:rsidP="00DF6A19">
      <w:pPr>
        <w:rPr>
          <w:bCs/>
        </w:rPr>
      </w:pPr>
    </w:p>
    <w:p w:rsidR="00EE591B" w:rsidRDefault="00EE591B" w:rsidP="00B63E73">
      <w:pPr>
        <w:pStyle w:val="Nadpis2"/>
      </w:pPr>
      <w:bookmarkStart w:id="34" w:name="_Toc416867131"/>
      <w:r>
        <w:t>I</w:t>
      </w:r>
      <w:r w:rsidRPr="0022777C">
        <w:t>nformace o způsobu podání žádosti o podporu</w:t>
      </w:r>
      <w:bookmarkEnd w:id="34"/>
    </w:p>
    <w:p w:rsidR="00684B64" w:rsidRDefault="0054383B" w:rsidP="0023353E">
      <w:pPr>
        <w:tabs>
          <w:tab w:val="left" w:pos="540"/>
          <w:tab w:val="left" w:pos="720"/>
          <w:tab w:val="left" w:pos="900"/>
        </w:tabs>
        <w:rPr>
          <w:b/>
        </w:rPr>
      </w:pPr>
      <w:r>
        <w:t xml:space="preserve">Žádost o podporu z OPZ se </w:t>
      </w:r>
      <w:r w:rsidR="00DA643B">
        <w:t xml:space="preserve">bude (po vyhlášení výzvy k předkládání žádostí o podporu) </w:t>
      </w:r>
      <w:r>
        <w:t>zpracová</w:t>
      </w:r>
      <w:r w:rsidR="00DA643B">
        <w:t>vat</w:t>
      </w:r>
      <w:r>
        <w:t xml:space="preserve"> v elektronickém formuláři v IS KP14+</w:t>
      </w:r>
      <w:r w:rsidR="00DA643B">
        <w:t xml:space="preserve"> dostupném </w:t>
      </w:r>
      <w:r>
        <w:t xml:space="preserve">na adrese </w:t>
      </w:r>
      <w:hyperlink r:id="rId10" w:history="1">
        <w:r w:rsidRPr="00EE3098">
          <w:rPr>
            <w:rStyle w:val="Hypertextovodkaz"/>
          </w:rPr>
          <w:t>https://mseu.mssf.cz</w:t>
        </w:r>
      </w:hyperlink>
      <w:r w:rsidR="00DA643B">
        <w:rPr>
          <w:rStyle w:val="Hypertextovodkaz"/>
        </w:rPr>
        <w:t xml:space="preserve">. </w:t>
      </w:r>
      <w:r w:rsidR="00684B64">
        <w:t>Žádost</w:t>
      </w:r>
      <w:r w:rsidR="0023353E">
        <w:t>i</w:t>
      </w:r>
      <w:r w:rsidR="00684B64">
        <w:t xml:space="preserve"> o podporu </w:t>
      </w:r>
      <w:r w:rsidR="00DA643B">
        <w:t xml:space="preserve">se budou zpracovávat </w:t>
      </w:r>
      <w:r w:rsidR="00684B64">
        <w:t xml:space="preserve">v českém jazyce. </w:t>
      </w:r>
      <w:r w:rsidR="0023353E" w:rsidRPr="00D57416">
        <w:rPr>
          <w:b/>
        </w:rPr>
        <w:t xml:space="preserve">Žádost se </w:t>
      </w:r>
      <w:r w:rsidR="0023353E">
        <w:rPr>
          <w:b/>
        </w:rPr>
        <w:t xml:space="preserve">bude podávat </w:t>
      </w:r>
      <w:r w:rsidR="0023353E" w:rsidRPr="00D57416">
        <w:rPr>
          <w:b/>
        </w:rPr>
        <w:t xml:space="preserve">pouze elektronicky a pouze prostřednictvím </w:t>
      </w:r>
      <w:r w:rsidR="0023353E">
        <w:rPr>
          <w:b/>
        </w:rPr>
        <w:t xml:space="preserve">IS </w:t>
      </w:r>
      <w:r w:rsidR="0023353E" w:rsidRPr="00D57416">
        <w:rPr>
          <w:b/>
        </w:rPr>
        <w:t>KP14+</w:t>
      </w:r>
      <w:r w:rsidR="0023353E">
        <w:rPr>
          <w:b/>
        </w:rPr>
        <w:t>.</w:t>
      </w:r>
      <w:r w:rsidR="0023353E" w:rsidRPr="00D57416">
        <w:rPr>
          <w:b/>
        </w:rPr>
        <w:t xml:space="preserve"> </w:t>
      </w:r>
    </w:p>
    <w:p w:rsidR="0023353E" w:rsidRDefault="0023353E" w:rsidP="0023353E">
      <w:pPr>
        <w:tabs>
          <w:tab w:val="left" w:pos="540"/>
          <w:tab w:val="left" w:pos="720"/>
          <w:tab w:val="left" w:pos="900"/>
        </w:tabs>
      </w:pPr>
    </w:p>
    <w:p w:rsidR="00684B64" w:rsidRDefault="00FF1669" w:rsidP="00684B64">
      <w:r>
        <w:t xml:space="preserve">Před podáním </w:t>
      </w:r>
      <w:r w:rsidR="00DA643B">
        <w:t xml:space="preserve">bude </w:t>
      </w:r>
      <w:r>
        <w:t>nutné žádost opatřit pod</w:t>
      </w:r>
      <w:r w:rsidR="00684B64">
        <w:t xml:space="preserve">pisem </w:t>
      </w:r>
      <w:r w:rsidR="00684B64" w:rsidRPr="001B1451">
        <w:t>statutární</w:t>
      </w:r>
      <w:r w:rsidR="00684B64">
        <w:t xml:space="preserve">ho </w:t>
      </w:r>
      <w:r w:rsidR="00684B64" w:rsidRPr="001B1451">
        <w:t xml:space="preserve">zástupce žadatele, případně odpovědnou osobou, kterou k takovému úkonu statutární zástupce zmocnil; v tomto případě </w:t>
      </w:r>
      <w:r w:rsidR="00DA643B">
        <w:t xml:space="preserve">bude </w:t>
      </w:r>
      <w:r w:rsidR="00684B64" w:rsidRPr="001B1451">
        <w:t>nutné, aby k žádosti byl</w:t>
      </w:r>
      <w:r w:rsidR="00684B64">
        <w:t xml:space="preserve">a připojena plná moc podepsaná v IS KP14+ nebo jiný </w:t>
      </w:r>
      <w:r w:rsidR="00684B64" w:rsidRPr="001B1451">
        <w:t>dokument dokládající toto zmocnění.</w:t>
      </w:r>
      <w:r w:rsidR="00684B64">
        <w:t xml:space="preserve"> Podpis </w:t>
      </w:r>
      <w:r w:rsidR="00DA643B">
        <w:t xml:space="preserve">bude muset </w:t>
      </w:r>
      <w:r w:rsidR="00684B64">
        <w:t xml:space="preserve">být k žádosti připojen přímo v IS KP14+, proto statutární zástupce / osoba oprávněná k podpisu žádosti </w:t>
      </w:r>
      <w:r w:rsidR="00DA643B">
        <w:t xml:space="preserve">bude muset být </w:t>
      </w:r>
      <w:r w:rsidR="00684B64">
        <w:t xml:space="preserve">registrovaným uživatelem této aplikace. </w:t>
      </w:r>
      <w:r w:rsidR="00684B64" w:rsidRPr="00684B64">
        <w:rPr>
          <w:b/>
        </w:rPr>
        <w:t xml:space="preserve">Dále tato osoba </w:t>
      </w:r>
      <w:r w:rsidR="00DA643B">
        <w:rPr>
          <w:b/>
        </w:rPr>
        <w:t xml:space="preserve">bude muset </w:t>
      </w:r>
      <w:r w:rsidR="00684B64" w:rsidRPr="00684B64">
        <w:rPr>
          <w:b/>
        </w:rPr>
        <w:t>disponovat kvalifikovaným elektronickým podpisem</w:t>
      </w:r>
      <w:r w:rsidR="00684B64">
        <w:t xml:space="preserve">. V IS KP14+ </w:t>
      </w:r>
      <w:r w:rsidR="00DA643B">
        <w:t xml:space="preserve">bude uživatel </w:t>
      </w:r>
      <w:r w:rsidR="00684B64">
        <w:t>vybír</w:t>
      </w:r>
      <w:r w:rsidR="00DA643B">
        <w:t>at</w:t>
      </w:r>
      <w:r w:rsidR="00684B64">
        <w:t xml:space="preserve"> konkrétní certifikát pro podepisování, kterým disponuje. Úspěšné ověření platnosti elektronického podpisu </w:t>
      </w:r>
      <w:r w:rsidR="00DA643B">
        <w:t xml:space="preserve">bude </w:t>
      </w:r>
      <w:r w:rsidR="00684B64">
        <w:t>podmínkou pro podání žádosti</w:t>
      </w:r>
      <w:r w:rsidR="00DA643B">
        <w:t>.</w:t>
      </w:r>
    </w:p>
    <w:p w:rsidR="00EE591B" w:rsidRPr="00B63E73" w:rsidRDefault="00EE591B" w:rsidP="00B63E73">
      <w:pPr>
        <w:pStyle w:val="Nadpis2"/>
      </w:pPr>
      <w:bookmarkStart w:id="35" w:name="_Toc416867132"/>
      <w:r>
        <w:t>I</w:t>
      </w:r>
      <w:r w:rsidRPr="0022777C">
        <w:t>nformace o způsobu poskytování konzultací k přípravě žádosti o podporu</w:t>
      </w:r>
      <w:bookmarkEnd w:id="35"/>
    </w:p>
    <w:p w:rsidR="00EE591B" w:rsidRPr="007266DF" w:rsidRDefault="00EE591B" w:rsidP="00F83ECC">
      <w:pPr>
        <w:rPr>
          <w:b/>
          <w:noProof/>
          <w:vertAlign w:val="superscript"/>
        </w:rPr>
      </w:pPr>
      <w:r w:rsidRPr="007266DF">
        <w:rPr>
          <w:b/>
          <w:noProof/>
        </w:rPr>
        <w:t xml:space="preserve">Kontakt na </w:t>
      </w:r>
      <w:r w:rsidR="00DA643B">
        <w:rPr>
          <w:b/>
          <w:noProof/>
        </w:rPr>
        <w:t>útvar, který připravuje budoucí výzvu</w:t>
      </w:r>
      <w:r w:rsidRPr="007266DF">
        <w:rPr>
          <w:b/>
          <w:noProof/>
        </w:rPr>
        <w:t>:</w:t>
      </w:r>
      <w:r w:rsidRPr="007266DF">
        <w:rPr>
          <w:b/>
          <w:noProof/>
          <w:vertAlign w:val="superscript"/>
        </w:rPr>
        <w:footnoteReference w:id="5"/>
      </w:r>
      <w:r w:rsidRPr="007266DF">
        <w:rPr>
          <w:b/>
          <w:noProof/>
          <w:vertAlign w:val="superscript"/>
        </w:rPr>
        <w:t xml:space="preserve"> </w:t>
      </w:r>
    </w:p>
    <w:p w:rsidR="00EE591B" w:rsidRPr="00AD4719" w:rsidRDefault="00EE591B" w:rsidP="00F83ECC">
      <w:pPr>
        <w:rPr>
          <w:noProof/>
        </w:rPr>
      </w:pPr>
      <w:r w:rsidRPr="00AD4719">
        <w:rPr>
          <w:noProof/>
        </w:rPr>
        <w:t>Adresa</w:t>
      </w:r>
      <w:r>
        <w:rPr>
          <w:noProof/>
        </w:rPr>
        <w:t>:</w:t>
      </w:r>
      <w:r w:rsidRPr="00AD4719">
        <w:rPr>
          <w:noProof/>
        </w:rPr>
        <w:t xml:space="preserve"> </w:t>
      </w:r>
      <w:r w:rsidR="0069014B">
        <w:rPr>
          <w:noProof/>
        </w:rPr>
        <w:t>MPSV, Kartouzská 4, 150 00 Praha 5</w:t>
      </w:r>
    </w:p>
    <w:p w:rsidR="0069014B" w:rsidRPr="0069014B" w:rsidRDefault="00EE591B" w:rsidP="0069014B">
      <w:pPr>
        <w:rPr>
          <w:noProof/>
        </w:rPr>
      </w:pPr>
      <w:r w:rsidRPr="00AD4719">
        <w:rPr>
          <w:noProof/>
        </w:rPr>
        <w:t>Kontaktní místo</w:t>
      </w:r>
      <w:r>
        <w:rPr>
          <w:noProof/>
        </w:rPr>
        <w:t>:</w:t>
      </w:r>
      <w:r w:rsidR="0069014B">
        <w:rPr>
          <w:noProof/>
        </w:rPr>
        <w:t xml:space="preserve"> </w:t>
      </w:r>
      <w:r w:rsidR="0069014B" w:rsidRPr="0069014B">
        <w:rPr>
          <w:noProof/>
        </w:rPr>
        <w:t>Odbor realizace programů ESF – veřejná správa a sociální inovace</w:t>
      </w:r>
      <w:r w:rsidR="0069014B">
        <w:rPr>
          <w:noProof/>
        </w:rPr>
        <w:t xml:space="preserve">, </w:t>
      </w:r>
      <w:r w:rsidR="0069014B" w:rsidRPr="0069014B">
        <w:rPr>
          <w:noProof/>
        </w:rPr>
        <w:t>Oddělení projektů sociálních inovací a mezinárodní spolupráce</w:t>
      </w:r>
    </w:p>
    <w:p w:rsidR="00EE591B" w:rsidRDefault="00EE591B" w:rsidP="00F83ECC">
      <w:pPr>
        <w:rPr>
          <w:noProof/>
        </w:rPr>
      </w:pPr>
      <w:r w:rsidRPr="00AD4719">
        <w:rPr>
          <w:noProof/>
        </w:rPr>
        <w:t xml:space="preserve">Spojení na </w:t>
      </w:r>
      <w:r w:rsidRPr="00474531">
        <w:rPr>
          <w:noProof/>
        </w:rPr>
        <w:t xml:space="preserve">vyhlašovatele </w:t>
      </w:r>
      <w:r w:rsidR="0069014B" w:rsidRPr="00474531">
        <w:rPr>
          <w:noProof/>
        </w:rPr>
        <w:t xml:space="preserve">Ing. Eva Kalinová </w:t>
      </w:r>
      <w:r w:rsidRPr="00474531">
        <w:rPr>
          <w:noProof/>
        </w:rPr>
        <w:t>(</w:t>
      </w:r>
      <w:hyperlink r:id="rId11" w:history="1">
        <w:r w:rsidR="0069014B" w:rsidRPr="00474531">
          <w:rPr>
            <w:rStyle w:val="Hypertextovodkaz"/>
            <w:noProof/>
          </w:rPr>
          <w:t>eva.kalinova@mpsv.cz</w:t>
        </w:r>
      </w:hyperlink>
      <w:r w:rsidR="0069014B" w:rsidRPr="00474531">
        <w:rPr>
          <w:noProof/>
        </w:rPr>
        <w:t>, +420 950 195 718</w:t>
      </w:r>
      <w:r w:rsidRPr="00474531">
        <w:rPr>
          <w:noProof/>
        </w:rPr>
        <w:t>)</w:t>
      </w:r>
      <w:r w:rsidR="0069014B" w:rsidRPr="00474531">
        <w:rPr>
          <w:noProof/>
        </w:rPr>
        <w:t>, telefonické konzultační hodiny hodiny PO 13:00-15:00, ÚT 9:00-11:00</w:t>
      </w:r>
    </w:p>
    <w:p w:rsidR="00EE591B" w:rsidRDefault="00EE591B" w:rsidP="00F83ECC">
      <w:pPr>
        <w:pStyle w:val="Textpoznpodarou"/>
      </w:pPr>
    </w:p>
    <w:p w:rsidR="00E12509" w:rsidRPr="00E12509" w:rsidRDefault="00E12509" w:rsidP="006078C8">
      <w:pPr>
        <w:rPr>
          <w:b/>
          <w:noProof/>
        </w:rPr>
      </w:pPr>
      <w:r w:rsidRPr="00E12509">
        <w:rPr>
          <w:b/>
          <w:noProof/>
        </w:rPr>
        <w:t>Otázky a odpovědi k</w:t>
      </w:r>
      <w:r w:rsidR="00DA643B">
        <w:rPr>
          <w:b/>
          <w:noProof/>
        </w:rPr>
        <w:t xml:space="preserve"> připravované </w:t>
      </w:r>
      <w:r w:rsidRPr="00E12509">
        <w:rPr>
          <w:b/>
          <w:noProof/>
        </w:rPr>
        <w:t>výzvě:</w:t>
      </w:r>
    </w:p>
    <w:p w:rsidR="009A2E7D" w:rsidRPr="00DF6A19" w:rsidRDefault="006078C8" w:rsidP="006078C8">
      <w:pPr>
        <w:rPr>
          <w:noProof/>
          <w:highlight w:val="yellow"/>
        </w:rPr>
      </w:pPr>
      <w:r>
        <w:rPr>
          <w:noProof/>
        </w:rPr>
        <w:t xml:space="preserve">Dotazy k této výzvě </w:t>
      </w:r>
      <w:r w:rsidR="00DA643B">
        <w:rPr>
          <w:noProof/>
        </w:rPr>
        <w:t xml:space="preserve">budou </w:t>
      </w:r>
      <w:r>
        <w:rPr>
          <w:noProof/>
        </w:rPr>
        <w:t xml:space="preserve">zodpovídány </w:t>
      </w:r>
      <w:r w:rsidR="00D447BE">
        <w:rPr>
          <w:noProof/>
        </w:rPr>
        <w:t xml:space="preserve">hlavně </w:t>
      </w:r>
      <w:r>
        <w:rPr>
          <w:noProof/>
        </w:rPr>
        <w:t xml:space="preserve">prostřednictvím elektronického komunikačního nástroje „ESF Fórum“. </w:t>
      </w:r>
      <w:r w:rsidRPr="009A607B">
        <w:rPr>
          <w:noProof/>
        </w:rPr>
        <w:t xml:space="preserve">K výzvě </w:t>
      </w:r>
      <w:r w:rsidR="00DA643B" w:rsidRPr="009A607B">
        <w:rPr>
          <w:noProof/>
        </w:rPr>
        <w:t xml:space="preserve">bude </w:t>
      </w:r>
      <w:r w:rsidR="00D447BE" w:rsidRPr="009A607B">
        <w:rPr>
          <w:noProof/>
        </w:rPr>
        <w:t>v rám</w:t>
      </w:r>
      <w:r w:rsidR="00DA643B" w:rsidRPr="009A607B">
        <w:rPr>
          <w:noProof/>
        </w:rPr>
        <w:t>c</w:t>
      </w:r>
      <w:r w:rsidR="00D447BE" w:rsidRPr="009A607B">
        <w:rPr>
          <w:noProof/>
        </w:rPr>
        <w:t xml:space="preserve">i ESF Fóra </w:t>
      </w:r>
      <w:r w:rsidRPr="009A607B">
        <w:rPr>
          <w:noProof/>
        </w:rPr>
        <w:t>zřízen diskusní klub, k</w:t>
      </w:r>
      <w:r w:rsidR="009A2E7D" w:rsidRPr="009A607B">
        <w:rPr>
          <w:noProof/>
        </w:rPr>
        <w:t>onkrétní link bude poskytnut při vyhlášení připravované výzvy.</w:t>
      </w:r>
    </w:p>
    <w:p w:rsidR="00D447BE" w:rsidRPr="00474531" w:rsidRDefault="00D447BE" w:rsidP="006078C8">
      <w:pPr>
        <w:rPr>
          <w:noProof/>
        </w:rPr>
      </w:pPr>
      <w:r w:rsidRPr="00474531">
        <w:rPr>
          <w:noProof/>
        </w:rPr>
        <w:t xml:space="preserve">Dotazy lze pokládat poté, co se zaregistrujete </w:t>
      </w:r>
      <w:r w:rsidR="006078C8" w:rsidRPr="00474531">
        <w:rPr>
          <w:noProof/>
        </w:rPr>
        <w:t>(uživatelské jméno musí obsahovat alespoň příjmení)</w:t>
      </w:r>
      <w:r w:rsidRPr="00474531">
        <w:rPr>
          <w:noProof/>
        </w:rPr>
        <w:t xml:space="preserve">, registrace je dostupná na úvodní stránce ESF Fóra: </w:t>
      </w:r>
      <w:hyperlink r:id="rId12" w:history="1">
        <w:r w:rsidRPr="00474531">
          <w:rPr>
            <w:rStyle w:val="Hypertextovodkaz"/>
            <w:noProof/>
          </w:rPr>
          <w:t>https://forum.esfcr.cz/</w:t>
        </w:r>
      </w:hyperlink>
      <w:r w:rsidRPr="00474531">
        <w:rPr>
          <w:noProof/>
        </w:rPr>
        <w:t>.</w:t>
      </w:r>
    </w:p>
    <w:p w:rsidR="000D51CA" w:rsidRDefault="00D447BE" w:rsidP="005778B2">
      <w:pPr>
        <w:rPr>
          <w:noProof/>
        </w:rPr>
      </w:pPr>
      <w:r w:rsidRPr="00474531">
        <w:rPr>
          <w:noProof/>
        </w:rPr>
        <w:t>Doporučejeme před položením dotazu vyhledáváním ověřit, zda už požadovaná odpověď není v diskusním klubu k dispozici, protože si ji vyžádal nějaký tazatel dříve.</w:t>
      </w:r>
      <w:r>
        <w:rPr>
          <w:noProof/>
        </w:rPr>
        <w:t xml:space="preserve"> </w:t>
      </w:r>
    </w:p>
    <w:p w:rsidR="000D51CA" w:rsidRDefault="000D51CA" w:rsidP="005778B2"/>
    <w:p w:rsidR="00EE591B" w:rsidRPr="0022777C" w:rsidRDefault="00EE591B" w:rsidP="00B63E73">
      <w:pPr>
        <w:pStyle w:val="Nadpis1"/>
      </w:pPr>
      <w:bookmarkStart w:id="36" w:name="_Toc416867133"/>
      <w:r w:rsidRPr="0022777C">
        <w:t xml:space="preserve">Informace o </w:t>
      </w:r>
      <w:r w:rsidR="009A2E7D">
        <w:t xml:space="preserve">budoucím </w:t>
      </w:r>
      <w:r w:rsidRPr="0022777C">
        <w:t>způsobu hodnocení a výběru projektů</w:t>
      </w:r>
      <w:bookmarkEnd w:id="36"/>
    </w:p>
    <w:p w:rsidR="00895FB3" w:rsidRDefault="00895FB3" w:rsidP="00895FB3">
      <w:r>
        <w:t xml:space="preserve">Metodiku </w:t>
      </w:r>
      <w:r w:rsidRPr="00895FB3">
        <w:t>a kritéria výbě</w:t>
      </w:r>
      <w:r>
        <w:t xml:space="preserve">ru projektů musí na základě čl. 110, odst. 2 písm. a) nařízení </w:t>
      </w:r>
      <w:r>
        <w:br/>
        <w:t>č. 1303/2013 schválit Monitorovací výbor Operačního programu Zaměstnanost, k čemuž ovšem může dojít až poté, co bude tento program schválen ze strany Evropské komise.</w:t>
      </w:r>
    </w:p>
    <w:p w:rsidR="00895FB3" w:rsidRDefault="00895FB3" w:rsidP="00895FB3">
      <w:r>
        <w:t>Potřebné údaje budou uvedeny v textu připravované výzvy k předkládání žádostí o podporu, s ohledem na výše uvedené nejsou podrobnosti zahrnuty do tohoto avíza.</w:t>
      </w:r>
    </w:p>
    <w:p w:rsidR="00522F5E" w:rsidRPr="0073462E" w:rsidRDefault="00522F5E" w:rsidP="00B63E73"/>
    <w:p w:rsidR="00EE591B" w:rsidRPr="0022777C" w:rsidRDefault="00EE591B" w:rsidP="00B63E73">
      <w:pPr>
        <w:pStyle w:val="Nadpis1"/>
      </w:pPr>
      <w:bookmarkStart w:id="37" w:name="_Toc416867134"/>
      <w:r w:rsidRPr="0022777C">
        <w:t>Postup pro výzvy s dílčími alokacemi</w:t>
      </w:r>
      <w:r w:rsidRPr="00B63E73">
        <w:rPr>
          <w:vertAlign w:val="superscript"/>
        </w:rPr>
        <w:footnoteReference w:id="6"/>
      </w:r>
      <w:bookmarkEnd w:id="37"/>
      <w:r w:rsidRPr="00B63E73">
        <w:t xml:space="preserve"> </w:t>
      </w:r>
    </w:p>
    <w:p w:rsidR="00297334" w:rsidRPr="00297334" w:rsidRDefault="00366F94" w:rsidP="00366F94">
      <w:r>
        <w:t>Není relevantní.</w:t>
      </w:r>
    </w:p>
    <w:p w:rsidR="000D51CA" w:rsidRDefault="000D51CA" w:rsidP="00B63E73"/>
    <w:p w:rsidR="00EE591B" w:rsidRPr="0022777C" w:rsidRDefault="00EE591B" w:rsidP="00B63E73">
      <w:pPr>
        <w:pStyle w:val="Nadpis1"/>
      </w:pPr>
      <w:bookmarkStart w:id="38" w:name="_Toc416867135"/>
      <w:r w:rsidRPr="0022777C">
        <w:t>Přehled navazující dokumentace</w:t>
      </w:r>
      <w:bookmarkEnd w:id="38"/>
    </w:p>
    <w:p w:rsidR="00B63E73" w:rsidRDefault="009A2E7D" w:rsidP="00B63E73">
      <w:pPr>
        <w:pStyle w:val="Nadpis2"/>
      </w:pPr>
      <w:bookmarkStart w:id="39" w:name="_Toc416867136"/>
      <w:r>
        <w:t>Budoucí u</w:t>
      </w:r>
      <w:r w:rsidR="00EE591B">
        <w:t xml:space="preserve">místění textu </w:t>
      </w:r>
      <w:r>
        <w:t xml:space="preserve">dosud připravované </w:t>
      </w:r>
      <w:r w:rsidR="00EE591B">
        <w:t>výzvy na webovém portále OPZ</w:t>
      </w:r>
      <w:bookmarkEnd w:id="39"/>
      <w:r w:rsidR="00EE591B">
        <w:t xml:space="preserve"> </w:t>
      </w:r>
    </w:p>
    <w:p w:rsidR="00EE591B" w:rsidRDefault="007266DF" w:rsidP="00B63E73">
      <w:r>
        <w:t>URL adresa</w:t>
      </w:r>
      <w:r w:rsidR="001768F6">
        <w:t xml:space="preserve">: </w:t>
      </w:r>
      <w:hyperlink r:id="rId13" w:history="1">
        <w:r w:rsidR="001768F6" w:rsidRPr="001E1347">
          <w:rPr>
            <w:rStyle w:val="Hypertextovodkaz"/>
          </w:rPr>
          <w:t>http://www.esfcr.cz/modules/calls/</w:t>
        </w:r>
      </w:hyperlink>
    </w:p>
    <w:p w:rsidR="00B63E73" w:rsidRPr="00B63E73" w:rsidRDefault="00EE591B" w:rsidP="00B63E73">
      <w:pPr>
        <w:pStyle w:val="Nadpis2"/>
      </w:pPr>
      <w:bookmarkStart w:id="40" w:name="_Toc416867137"/>
      <w:r>
        <w:t>O</w:t>
      </w:r>
      <w:r w:rsidRPr="0022777C">
        <w:t>dkaz na pravidla pro žadatele a příjemce</w:t>
      </w:r>
      <w:bookmarkEnd w:id="40"/>
    </w:p>
    <w:p w:rsidR="001768F6" w:rsidRDefault="001768F6" w:rsidP="00B63E73">
      <w:r>
        <w:t xml:space="preserve">Pro žádosti o podporu a následně také pro </w:t>
      </w:r>
      <w:r w:rsidR="000F3F97">
        <w:t>r</w:t>
      </w:r>
      <w:r w:rsidR="00F00376">
        <w:t>e</w:t>
      </w:r>
      <w:r w:rsidR="000F3F97">
        <w:t>alizaci podpořených projektů platí pravidla obsažená v:</w:t>
      </w:r>
    </w:p>
    <w:p w:rsidR="000F3F97" w:rsidRDefault="000F3F97" w:rsidP="00895FB3">
      <w:pPr>
        <w:pStyle w:val="Odstavecseseznamem"/>
        <w:numPr>
          <w:ilvl w:val="0"/>
          <w:numId w:val="15"/>
        </w:numPr>
      </w:pPr>
      <w:r w:rsidRPr="00631894">
        <w:t>Obecn</w:t>
      </w:r>
      <w:r>
        <w:t>é</w:t>
      </w:r>
      <w:r w:rsidRPr="00631894">
        <w:t xml:space="preserve"> část</w:t>
      </w:r>
      <w:r>
        <w:t>i</w:t>
      </w:r>
      <w:r w:rsidRPr="00631894">
        <w:t xml:space="preserve"> 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 xml:space="preserve">Operačního programu Zaměstnanost (odkaz na elektronickou verzi: </w:t>
      </w:r>
      <w:hyperlink r:id="rId14" w:history="1">
        <w:r w:rsidR="00895FB3" w:rsidRPr="00793C85">
          <w:rPr>
            <w:rStyle w:val="Hypertextovodkaz"/>
          </w:rPr>
          <w:t>http://www.esfcr.cz/file/9002/</w:t>
        </w:r>
      </w:hyperlink>
      <w:r>
        <w:t>)</w:t>
      </w:r>
      <w:r w:rsidR="00895FB3">
        <w:t>;</w:t>
      </w:r>
    </w:p>
    <w:p w:rsidR="000F3F97" w:rsidRDefault="000F3F97" w:rsidP="00895FB3">
      <w:pPr>
        <w:pStyle w:val="Odstavecseseznamem"/>
        <w:numPr>
          <w:ilvl w:val="0"/>
          <w:numId w:val="15"/>
        </w:numPr>
      </w:pPr>
      <w:r>
        <w:lastRenderedPageBreak/>
        <w:t xml:space="preserve">Specifické části </w:t>
      </w:r>
      <w:r w:rsidRPr="00631894">
        <w:t xml:space="preserve">pravidel </w:t>
      </w:r>
      <w:r>
        <w:t xml:space="preserve">pro </w:t>
      </w:r>
      <w:r w:rsidRPr="00631894">
        <w:t>žadatele a příjemce</w:t>
      </w:r>
      <w:r>
        <w:t xml:space="preserve"> </w:t>
      </w:r>
      <w:r w:rsidRPr="00631894">
        <w:t xml:space="preserve">v rámci </w:t>
      </w:r>
      <w:r>
        <w:t xml:space="preserve">OPZ </w:t>
      </w:r>
      <w:r w:rsidRPr="0003564B">
        <w:t>pro projekty</w:t>
      </w:r>
      <w:r>
        <w:t xml:space="preserve"> </w:t>
      </w:r>
      <w:r w:rsidRPr="0003564B">
        <w:t xml:space="preserve">se skutečně vzniklými výdaji </w:t>
      </w:r>
      <w:r>
        <w:t>a</w:t>
      </w:r>
      <w:r w:rsidRPr="0003564B">
        <w:t xml:space="preserve"> případně také</w:t>
      </w:r>
      <w:r>
        <w:t xml:space="preserve"> </w:t>
      </w:r>
      <w:r w:rsidRPr="0003564B">
        <w:t>s nepřímými náklady</w:t>
      </w:r>
      <w:r>
        <w:t xml:space="preserve"> (odkaz na elektronickou verzi: </w:t>
      </w:r>
      <w:hyperlink r:id="rId15" w:history="1">
        <w:r w:rsidR="00895FB3" w:rsidRPr="00793C85">
          <w:rPr>
            <w:rStyle w:val="Hypertextovodkaz"/>
          </w:rPr>
          <w:t>http://www.esfcr.cz/file/9003/</w:t>
        </w:r>
      </w:hyperlink>
      <w:r>
        <w:t>)</w:t>
      </w:r>
      <w:r w:rsidR="00895FB3">
        <w:t>.</w:t>
      </w:r>
    </w:p>
    <w:p w:rsidR="00EE591B" w:rsidRDefault="000F3F97" w:rsidP="000F3F97">
      <w:r>
        <w:t xml:space="preserve">Řídicí orgán </w:t>
      </w:r>
      <w:r w:rsidR="00EE591B">
        <w:t xml:space="preserve">Operačního programu </w:t>
      </w:r>
      <w:r w:rsidR="000548EA">
        <w:t>Z</w:t>
      </w:r>
      <w:r w:rsidR="00EE591B">
        <w:t xml:space="preserve">aměstnanost </w:t>
      </w:r>
      <w:r>
        <w:t xml:space="preserve">upozorňuje, že </w:t>
      </w:r>
      <w:r w:rsidR="00EE591B" w:rsidRPr="00331544">
        <w:t xml:space="preserve">je oprávněn </w:t>
      </w:r>
      <w:r>
        <w:t xml:space="preserve">pravidla </w:t>
      </w:r>
      <w:r w:rsidR="00B63E73">
        <w:t>aktualizovat.</w:t>
      </w:r>
      <w:r>
        <w:t xml:space="preserve"> </w:t>
      </w:r>
    </w:p>
    <w:p w:rsidR="00895FB3" w:rsidRDefault="00895FB3" w:rsidP="000F3F97"/>
    <w:p w:rsidR="00B63E73" w:rsidRPr="00B63E73" w:rsidRDefault="00EE591B" w:rsidP="00B63E73">
      <w:pPr>
        <w:pStyle w:val="Nadpis2"/>
      </w:pPr>
      <w:bookmarkStart w:id="41" w:name="_Toc416867138"/>
      <w:r w:rsidRPr="00653754">
        <w:t>O</w:t>
      </w:r>
      <w:r w:rsidRPr="0022777C">
        <w:t>dkaz na vzor právního aktu o poskytnutí podpory</w:t>
      </w:r>
      <w:bookmarkEnd w:id="41"/>
    </w:p>
    <w:p w:rsidR="00F00376" w:rsidRDefault="00F00376" w:rsidP="00F00376">
      <w:r>
        <w:t xml:space="preserve">S ohledem na </w:t>
      </w:r>
      <w:r w:rsidR="009A2E7D">
        <w:t xml:space="preserve">předpokládané vymezení </w:t>
      </w:r>
      <w:r>
        <w:t xml:space="preserve">oprávněných žadatelů </w:t>
      </w:r>
      <w:r w:rsidR="009A2E7D">
        <w:t xml:space="preserve">o podporu </w:t>
      </w:r>
      <w:r>
        <w:t>jsou relevantní níže uvedené vzory právních aktů o poskytnutí podpory:</w:t>
      </w:r>
    </w:p>
    <w:p w:rsidR="00F00376" w:rsidRDefault="00F00376" w:rsidP="009A2E7D">
      <w:pPr>
        <w:pStyle w:val="Odstavecseseznamem"/>
        <w:numPr>
          <w:ilvl w:val="0"/>
          <w:numId w:val="15"/>
        </w:numPr>
      </w:pPr>
      <w:r>
        <w:t xml:space="preserve">Vzor rozhodnutí o poskytnutí dotace (odkaz na elektronickou verzi: </w:t>
      </w:r>
      <w:hyperlink r:id="rId16" w:history="1">
        <w:r w:rsidR="009A2E7D" w:rsidRPr="00793C85">
          <w:rPr>
            <w:rStyle w:val="Hypertextovodkaz"/>
          </w:rPr>
          <w:t>http://www.esfcr.cz/file/9019/</w:t>
        </w:r>
      </w:hyperlink>
      <w:r w:rsidR="009A2E7D">
        <w:t>)</w:t>
      </w:r>
    </w:p>
    <w:p w:rsidR="00F00376" w:rsidRDefault="00F00376" w:rsidP="009A2E7D">
      <w:pPr>
        <w:pStyle w:val="Odstavecseseznamem"/>
        <w:numPr>
          <w:ilvl w:val="0"/>
          <w:numId w:val="15"/>
        </w:numPr>
      </w:pPr>
      <w:r>
        <w:t xml:space="preserve">Vzor podmínek použití podpory, kdy příjemcem je organizační složku státu a nejedná se o Ministerstvo práce a sociálních věcí (odkaz na elektronickou verzi: </w:t>
      </w:r>
      <w:hyperlink r:id="rId17" w:history="1">
        <w:r w:rsidR="009A2E7D" w:rsidRPr="00793C85">
          <w:rPr>
            <w:rStyle w:val="Hypertextovodkaz"/>
          </w:rPr>
          <w:t>http://www.esfcr.cz/file/9020/</w:t>
        </w:r>
      </w:hyperlink>
      <w:r>
        <w:t>)</w:t>
      </w:r>
    </w:p>
    <w:p w:rsidR="00F00376" w:rsidRDefault="00F00376" w:rsidP="009A2E7D">
      <w:pPr>
        <w:pStyle w:val="Odstavecseseznamem"/>
        <w:numPr>
          <w:ilvl w:val="0"/>
          <w:numId w:val="15"/>
        </w:numPr>
      </w:pPr>
      <w:r>
        <w:t xml:space="preserve">Vzor podmínek použití podpory, kdy příjemcem je útvar v rámci Ministerstva práce a sociálních věcí (odkaz na elektronickou verzi: </w:t>
      </w:r>
      <w:hyperlink r:id="rId18" w:history="1">
        <w:r w:rsidR="009A2E7D" w:rsidRPr="009A2E7D">
          <w:rPr>
            <w:rStyle w:val="Hypertextovodkaz"/>
          </w:rPr>
          <w:t>http://www.esfcr.cz/file/9021/</w:t>
        </w:r>
      </w:hyperlink>
      <w:r w:rsidRPr="009A2E7D">
        <w:t>)</w:t>
      </w:r>
    </w:p>
    <w:p w:rsidR="00F00376" w:rsidRDefault="00F00376" w:rsidP="009A2E7D">
      <w:pPr>
        <w:pStyle w:val="Odstavecseseznamem"/>
        <w:numPr>
          <w:ilvl w:val="0"/>
          <w:numId w:val="15"/>
        </w:numPr>
      </w:pPr>
      <w:r>
        <w:t xml:space="preserve">Vzor podmínek použití podpory pro projekty, kdy příjemcem je příspěvková organizace zřizovaný organizační složkou státu mimo Ministerstvo práce a sociálních věcí (odkaz na elektronickou verzi: </w:t>
      </w:r>
      <w:hyperlink r:id="rId19" w:history="1">
        <w:r w:rsidR="009A2E7D" w:rsidRPr="00793C85">
          <w:rPr>
            <w:rStyle w:val="Hypertextovodkaz"/>
          </w:rPr>
          <w:t>http://www.esfcr.cz/file/9022/</w:t>
        </w:r>
      </w:hyperlink>
      <w:r>
        <w:t>)</w:t>
      </w:r>
    </w:p>
    <w:p w:rsidR="00DB7134" w:rsidRDefault="00DB7134" w:rsidP="00DB7134">
      <w:r>
        <w:t xml:space="preserve">Řídicí orgán Operačního programu Zaměstnanost upozorňuje, že </w:t>
      </w:r>
      <w:r w:rsidRPr="00331544">
        <w:t xml:space="preserve">je oprávněn </w:t>
      </w:r>
      <w:r>
        <w:t>vzory právních o poskytnutí podpory</w:t>
      </w:r>
      <w:r w:rsidRPr="00331544">
        <w:t xml:space="preserve"> </w:t>
      </w:r>
      <w:r w:rsidR="0023353E">
        <w:t>aktualizovat</w:t>
      </w:r>
      <w:r>
        <w:t xml:space="preserve">. </w:t>
      </w:r>
    </w:p>
    <w:p w:rsidR="00B63E73" w:rsidRDefault="00EE591B" w:rsidP="00B63E73">
      <w:pPr>
        <w:pStyle w:val="Nadpis2"/>
      </w:pPr>
      <w:bookmarkStart w:id="42" w:name="_Toc416867139"/>
      <w:r w:rsidRPr="00B63E73">
        <w:t xml:space="preserve">Odůvodnění zacílení </w:t>
      </w:r>
      <w:r w:rsidR="009A2E7D">
        <w:t xml:space="preserve">připravované </w:t>
      </w:r>
      <w:r w:rsidRPr="00B63E73">
        <w:t>výzvy</w:t>
      </w:r>
      <w:bookmarkEnd w:id="42"/>
    </w:p>
    <w:p w:rsidR="007D42B9" w:rsidRPr="007D42B9" w:rsidRDefault="0045555B" w:rsidP="007D42B9">
      <w:r w:rsidRPr="000B7CA4">
        <w:t>Výzva je koncipována s ohledem na zkušenosti a výstupy z</w:t>
      </w:r>
      <w:r w:rsidR="00B56E43" w:rsidRPr="000B7CA4">
        <w:t xml:space="preserve"> německého </w:t>
      </w:r>
      <w:r w:rsidRPr="000B7CA4">
        <w:t xml:space="preserve">programu </w:t>
      </w:r>
      <w:proofErr w:type="spellStart"/>
      <w:r w:rsidRPr="000B7CA4">
        <w:t>IdA</w:t>
      </w:r>
      <w:proofErr w:type="spellEnd"/>
      <w:r w:rsidRPr="000B7CA4">
        <w:t xml:space="preserve"> (</w:t>
      </w:r>
      <w:proofErr w:type="spellStart"/>
      <w:r w:rsidRPr="000B7CA4">
        <w:t>Integration</w:t>
      </w:r>
      <w:proofErr w:type="spellEnd"/>
      <w:r w:rsidRPr="000B7CA4">
        <w:t xml:space="preserve"> durch </w:t>
      </w:r>
      <w:proofErr w:type="spellStart"/>
      <w:r w:rsidRPr="000B7CA4">
        <w:t>Austausch</w:t>
      </w:r>
      <w:proofErr w:type="spellEnd"/>
      <w:r w:rsidRPr="000B7CA4">
        <w:t xml:space="preserve">) na mezinárodní mobilitu mládeže v letech 2008-2014 a v souladu s koordinovanou výzvou na mobilitu mládeže, vyhlášenou mezinárodní sítí </w:t>
      </w:r>
      <w:r w:rsidRPr="000B7CA4">
        <w:rPr>
          <w:lang w:val="en-US"/>
        </w:rPr>
        <w:t>Learning Network on Transnational Mobility Measures for Disadvantaged Youth and Young Adults.</w:t>
      </w:r>
    </w:p>
    <w:p w:rsidR="00EE591B" w:rsidRPr="00B63E73" w:rsidRDefault="00EE591B" w:rsidP="00B63E73">
      <w:pPr>
        <w:pStyle w:val="Nadpis2"/>
      </w:pPr>
      <w:bookmarkStart w:id="43" w:name="_Toc416867140"/>
      <w:r w:rsidRPr="00B63E73">
        <w:t>Odkaz</w:t>
      </w:r>
      <w:r w:rsidRPr="0022777C">
        <w:t xml:space="preserve"> na případné další relevantní dokumenty</w:t>
      </w:r>
      <w:bookmarkEnd w:id="43"/>
    </w:p>
    <w:p w:rsidR="00474531" w:rsidRPr="00191740" w:rsidRDefault="00474531" w:rsidP="00474531">
      <w:pPr>
        <w:rPr>
          <w:rStyle w:val="Hypertextovodkaz"/>
        </w:rPr>
      </w:pPr>
      <w:r w:rsidRPr="00191740">
        <w:t xml:space="preserve">Mezinárodní koordinovaná výzva na mobilitu mládeže, </w:t>
      </w:r>
      <w:r w:rsidR="009A607B">
        <w:t>podpůrné</w:t>
      </w:r>
      <w:r w:rsidRPr="00191740">
        <w:t xml:space="preserve"> metodologické pomůcky a příklady dobré praxe:</w:t>
      </w:r>
      <w:r w:rsidR="00191740" w:rsidRPr="00191740">
        <w:t xml:space="preserve"> </w:t>
      </w:r>
      <w:hyperlink r:id="rId20" w:history="1">
        <w:r w:rsidRPr="00191740">
          <w:rPr>
            <w:rStyle w:val="Hypertextovodkaz"/>
          </w:rPr>
          <w:t>www.tln-mobility.eu</w:t>
        </w:r>
      </w:hyperlink>
      <w:r w:rsidR="00191740" w:rsidRPr="00191740">
        <w:rPr>
          <w:rStyle w:val="Hypertextovodkaz"/>
        </w:rPr>
        <w:t xml:space="preserve"> </w:t>
      </w:r>
    </w:p>
    <w:p w:rsidR="00474531" w:rsidRPr="00474531" w:rsidRDefault="00474531" w:rsidP="00474531">
      <w:pPr>
        <w:rPr>
          <w:highlight w:val="cyan"/>
        </w:rPr>
      </w:pPr>
    </w:p>
    <w:p w:rsidR="0025102D" w:rsidRDefault="0025102D" w:rsidP="00F83ECC">
      <w:r w:rsidRPr="00191740">
        <w:t xml:space="preserve">Informace k mezinárodní dobré praxi z programu </w:t>
      </w:r>
      <w:proofErr w:type="spellStart"/>
      <w:r w:rsidRPr="00191740">
        <w:t>IdA</w:t>
      </w:r>
      <w:proofErr w:type="spellEnd"/>
      <w:r w:rsidRPr="00191740">
        <w:t xml:space="preserve"> (</w:t>
      </w:r>
      <w:proofErr w:type="spellStart"/>
      <w:r w:rsidRPr="00191740">
        <w:t>Integration</w:t>
      </w:r>
      <w:proofErr w:type="spellEnd"/>
      <w:r w:rsidRPr="00191740">
        <w:t xml:space="preserve"> durch </w:t>
      </w:r>
      <w:proofErr w:type="spellStart"/>
      <w:r w:rsidRPr="00191740">
        <w:t>Austauch</w:t>
      </w:r>
      <w:proofErr w:type="spellEnd"/>
      <w:r w:rsidRPr="00191740">
        <w:t>):</w:t>
      </w:r>
    </w:p>
    <w:p w:rsidR="00DF6A19" w:rsidRPr="00DF6A19" w:rsidRDefault="000B2DE6" w:rsidP="00DF6A19">
      <w:hyperlink r:id="rId21" w:history="1">
        <w:r w:rsidR="00DF6A19" w:rsidRPr="00DF6A19">
          <w:rPr>
            <w:rStyle w:val="Hypertextovodkaz"/>
          </w:rPr>
          <w:t>http://www.ida.de/ida/SharedDocs/Flyer-Broschueren/2014_01_10_ida_erfahrungsbericht_de.pdf?__blob=publicationFile&amp;v=4</w:t>
        </w:r>
      </w:hyperlink>
    </w:p>
    <w:p w:rsidR="00DF6A19" w:rsidRPr="00DF6A19" w:rsidRDefault="000B2DE6" w:rsidP="00DF6A19">
      <w:hyperlink r:id="rId22" w:history="1">
        <w:r w:rsidR="00DF6A19" w:rsidRPr="00DF6A19">
          <w:rPr>
            <w:rStyle w:val="Hypertextovodkaz"/>
          </w:rPr>
          <w:t>http://www.ida.de/ida/SharedDocs/Flyer-Broschueren/2014_01_10_ida_erfahrungsbericht_engl.pdf?__blob=publicationFile&amp;v=5</w:t>
        </w:r>
      </w:hyperlink>
    </w:p>
    <w:p w:rsidR="00483731" w:rsidRDefault="00483731" w:rsidP="00F83ECC"/>
    <w:p w:rsidR="00B63E73" w:rsidRDefault="00B63E73" w:rsidP="00832236">
      <w:pPr>
        <w:pStyle w:val="Nadpis1"/>
      </w:pPr>
      <w:bookmarkStart w:id="44" w:name="_Toc416867141"/>
      <w:r w:rsidRPr="0022777C">
        <w:t>P</w:t>
      </w:r>
      <w:r>
        <w:t xml:space="preserve">řílohy </w:t>
      </w:r>
      <w:r w:rsidR="009A2E7D">
        <w:t xml:space="preserve">avíza pro žadatele o parametrech </w:t>
      </w:r>
      <w:r>
        <w:t>výzvy</w:t>
      </w:r>
      <w:bookmarkEnd w:id="44"/>
      <w:r>
        <w:t xml:space="preserve"> </w:t>
      </w:r>
    </w:p>
    <w:p w:rsidR="00B63E73" w:rsidRPr="00867861" w:rsidRDefault="00474531" w:rsidP="00832236">
      <w:pPr>
        <w:pStyle w:val="Odstavecseseznamem"/>
        <w:keepNext/>
        <w:numPr>
          <w:ilvl w:val="0"/>
          <w:numId w:val="21"/>
        </w:numPr>
      </w:pPr>
      <w:r w:rsidRPr="00867861">
        <w:t>Požadavky na klíčové aktivity</w:t>
      </w:r>
    </w:p>
    <w:p w:rsidR="00474531" w:rsidRPr="00867861" w:rsidRDefault="003929F0" w:rsidP="00832236">
      <w:pPr>
        <w:pStyle w:val="Odstavecseseznamem"/>
        <w:keepNext/>
        <w:numPr>
          <w:ilvl w:val="0"/>
          <w:numId w:val="21"/>
        </w:numPr>
      </w:pPr>
      <w:r w:rsidRPr="00867861">
        <w:t>Požadavky na partners</w:t>
      </w:r>
      <w:r w:rsidR="00A85FC7" w:rsidRPr="00867861">
        <w:t>t</w:t>
      </w:r>
      <w:r w:rsidRPr="00867861">
        <w:t>ví</w:t>
      </w:r>
    </w:p>
    <w:p w:rsidR="00832236" w:rsidRDefault="00832236" w:rsidP="00832236"/>
    <w:p w:rsidR="009A2E7D" w:rsidRDefault="009A2E7D" w:rsidP="00832236"/>
    <w:p w:rsidR="009A2E7D" w:rsidRDefault="009A2E7D" w:rsidP="0083223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80"/>
      </w:tblGrid>
      <w:tr w:rsidR="00A85FC7" w:rsidRPr="00A85FC7" w:rsidTr="009A2E7D">
        <w:tc>
          <w:tcPr>
            <w:tcW w:w="9210" w:type="dxa"/>
          </w:tcPr>
          <w:p w:rsidR="009A2E7D" w:rsidRPr="00A85FC7" w:rsidRDefault="009A2E7D" w:rsidP="009A2E7D">
            <w:pPr>
              <w:pStyle w:val="Tabulkatext"/>
              <w:jc w:val="both"/>
              <w:rPr>
                <w:b/>
                <w:color w:val="FF0000"/>
              </w:rPr>
            </w:pPr>
            <w:r w:rsidRPr="00A85FC7">
              <w:rPr>
                <w:b/>
                <w:color w:val="FF0000"/>
              </w:rPr>
              <w:t xml:space="preserve">TENTO DOKUMENT NENÍ VÝZVOU K PŘEDKLÁDÁNÍ ŽÁDOSTÍ O PODPORU. </w:t>
            </w:r>
          </w:p>
          <w:p w:rsidR="009A2E7D" w:rsidRPr="00A85FC7" w:rsidRDefault="009A2E7D" w:rsidP="009A2E7D">
            <w:pPr>
              <w:pStyle w:val="Tabulkatext"/>
              <w:jc w:val="both"/>
              <w:rPr>
                <w:b/>
                <w:color w:val="FF0000"/>
              </w:rPr>
            </w:pPr>
            <w:r w:rsidRPr="00A85FC7">
              <w:rPr>
                <w:b/>
                <w:color w:val="FF0000"/>
              </w:rPr>
              <w:t>TOTO AVÍZO OBSAHUJE POUZE PŘEDBĚŽNÉ INFORMACE, KONKRÉTNÍ VÝZVA K PŘEDKLÁDÁNÍ ŽÁDOSTÍ O PODPORU, KTERÁ BUDE NÁSLEDNĚ VYHLÁŠENA, SE MŮŽE OD PARAMETRŮ UVEDENÝCH V TOMTO AVÍZU ODLIŠOVAT.</w:t>
            </w:r>
          </w:p>
          <w:p w:rsidR="009A2E7D" w:rsidRPr="00A85FC7" w:rsidRDefault="009A2E7D" w:rsidP="009A2E7D">
            <w:pPr>
              <w:pStyle w:val="Tabulkatext"/>
              <w:jc w:val="both"/>
              <w:rPr>
                <w:b/>
                <w:color w:val="FF0000"/>
              </w:rPr>
            </w:pPr>
            <w:r w:rsidRPr="00A85FC7">
              <w:rPr>
                <w:b/>
                <w:color w:val="FF0000"/>
              </w:rPr>
              <w:t>NA ZÁKLADĚ TOHOTO AVÍZA NENÍ MOŽNÉ PŘEDKLÁDAT ŽÁDOSTI O PODPORU.</w:t>
            </w:r>
          </w:p>
        </w:tc>
      </w:tr>
    </w:tbl>
    <w:p w:rsidR="00832236" w:rsidRDefault="00832236" w:rsidP="00832236"/>
    <w:p w:rsidR="009A2E7D" w:rsidRDefault="009A2E7D" w:rsidP="009A2E7D">
      <w:pPr>
        <w:rPr>
          <w:b/>
        </w:rPr>
      </w:pPr>
    </w:p>
    <w:sectPr w:rsidR="009A2E7D" w:rsidSect="000F0056">
      <w:footerReference w:type="default" r:id="rId23"/>
      <w:headerReference w:type="first" r:id="rId24"/>
      <w:footerReference w:type="first" r:id="rId25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BC" w:rsidRDefault="00AF04BC" w:rsidP="00F83ECC">
      <w:r>
        <w:separator/>
      </w:r>
    </w:p>
  </w:endnote>
  <w:endnote w:type="continuationSeparator" w:id="0">
    <w:p w:rsidR="00AF04BC" w:rsidRDefault="00AF04BC" w:rsidP="00F8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F04BC" w:rsidRPr="007B628A" w:rsidTr="000E277F">
      <w:tc>
        <w:tcPr>
          <w:tcW w:w="5000" w:type="pct"/>
          <w:gridSpan w:val="3"/>
          <w:shd w:val="clear" w:color="auto" w:fill="auto"/>
          <w:vAlign w:val="center"/>
        </w:tcPr>
        <w:p w:rsidR="00AF04BC" w:rsidRPr="00A34F9E" w:rsidRDefault="00AF04BC" w:rsidP="00F83ECC">
          <w:pPr>
            <w:pStyle w:val="Tabulkazhlav"/>
          </w:pPr>
        </w:p>
      </w:tc>
    </w:tr>
    <w:tr w:rsidR="00AF04BC" w:rsidTr="000E277F">
      <w:tc>
        <w:tcPr>
          <w:tcW w:w="1667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B2DE6">
            <w:rPr>
              <w:noProof/>
            </w:rPr>
            <w:t>6</w:t>
          </w:r>
          <w:r>
            <w:fldChar w:fldCharType="end"/>
          </w:r>
          <w:r>
            <w:t xml:space="preserve"> z </w:t>
          </w:r>
          <w:r w:rsidR="000B2DE6">
            <w:fldChar w:fldCharType="begin"/>
          </w:r>
          <w:r w:rsidR="000B2DE6">
            <w:instrText xml:space="preserve"> NUMPAGES   \* MERGEFORMAT </w:instrText>
          </w:r>
          <w:r w:rsidR="000B2DE6">
            <w:fldChar w:fldCharType="separate"/>
          </w:r>
          <w:r w:rsidR="000B2DE6">
            <w:rPr>
              <w:noProof/>
            </w:rPr>
            <w:t>10</w:t>
          </w:r>
          <w:r w:rsidR="000B2DE6">
            <w:rPr>
              <w:noProof/>
            </w:rPr>
            <w:fldChar w:fldCharType="end"/>
          </w:r>
        </w:p>
      </w:tc>
    </w:tr>
  </w:tbl>
  <w:p w:rsidR="00AF04BC" w:rsidRDefault="00AF04BC" w:rsidP="00F83EC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F04BC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AF04BC" w:rsidRPr="00A34F9E" w:rsidRDefault="00AF04BC" w:rsidP="00F83ECC">
          <w:pPr>
            <w:pStyle w:val="Tabulkazhlav"/>
          </w:pPr>
        </w:p>
      </w:tc>
    </w:tr>
    <w:tr w:rsidR="00AF04BC" w:rsidTr="00A34F9E">
      <w:tc>
        <w:tcPr>
          <w:tcW w:w="1667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AF04BC" w:rsidRDefault="00AF04BC" w:rsidP="000E277F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B2DE6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 w:rsidR="000B2DE6">
            <w:fldChar w:fldCharType="begin"/>
          </w:r>
          <w:r w:rsidR="000B2DE6">
            <w:instrText xml:space="preserve"> NUMPAGES   \* MERGEFORMAT </w:instrText>
          </w:r>
          <w:r w:rsidR="000B2DE6">
            <w:fldChar w:fldCharType="separate"/>
          </w:r>
          <w:r w:rsidR="000B2DE6">
            <w:rPr>
              <w:noProof/>
            </w:rPr>
            <w:t>10</w:t>
          </w:r>
          <w:r w:rsidR="000B2DE6">
            <w:rPr>
              <w:noProof/>
            </w:rPr>
            <w:fldChar w:fldCharType="end"/>
          </w:r>
        </w:p>
      </w:tc>
    </w:tr>
  </w:tbl>
  <w:p w:rsidR="00AF04BC" w:rsidRDefault="00AF04BC" w:rsidP="00F83EC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BC" w:rsidRDefault="00AF04BC" w:rsidP="00F83ECC">
      <w:r>
        <w:separator/>
      </w:r>
    </w:p>
  </w:footnote>
  <w:footnote w:type="continuationSeparator" w:id="0">
    <w:p w:rsidR="00AF04BC" w:rsidRDefault="00AF04BC" w:rsidP="00F83ECC">
      <w:r>
        <w:continuationSeparator/>
      </w:r>
    </w:p>
  </w:footnote>
  <w:footnote w:id="1">
    <w:p w:rsidR="00AF04BC" w:rsidRPr="00E17CD3" w:rsidRDefault="00AF04BC" w:rsidP="002714E7">
      <w:pPr>
        <w:pStyle w:val="Textpoznpodarou"/>
        <w:rPr>
          <w:szCs w:val="18"/>
        </w:rPr>
      </w:pPr>
      <w:r w:rsidRPr="00E17CD3">
        <w:rPr>
          <w:rStyle w:val="Znakapoznpodarou"/>
          <w:szCs w:val="18"/>
        </w:rPr>
        <w:footnoteRef/>
      </w:r>
      <w:r w:rsidRPr="00E17CD3">
        <w:rPr>
          <w:rStyle w:val="Znakapoznpodarou"/>
          <w:szCs w:val="18"/>
        </w:rPr>
        <w:t xml:space="preserve"> </w:t>
      </w:r>
      <w:r w:rsidRPr="00E17CD3">
        <w:rPr>
          <w:szCs w:val="18"/>
        </w:rPr>
        <w:t>Dle zákona č. 300/2008 Sb., o elektronických úkonech a autorizované konverzi dokumentů.</w:t>
      </w:r>
    </w:p>
  </w:footnote>
  <w:footnote w:id="2">
    <w:p w:rsidR="00AF04BC" w:rsidRPr="00E17CD3" w:rsidRDefault="00AF04BC" w:rsidP="002714E7">
      <w:pPr>
        <w:pStyle w:val="Textpoznpodarou"/>
        <w:rPr>
          <w:szCs w:val="18"/>
        </w:rPr>
      </w:pPr>
      <w:r w:rsidRPr="00E17CD3">
        <w:rPr>
          <w:rStyle w:val="Znakapoznpodarou"/>
          <w:rFonts w:cs="Arial"/>
          <w:szCs w:val="18"/>
        </w:rPr>
        <w:footnoteRef/>
      </w:r>
      <w:r w:rsidRPr="00E17CD3">
        <w:rPr>
          <w:szCs w:val="18"/>
        </w:rPr>
        <w:t xml:space="preserve"> Za splněné podmínky bezdlužnosti se považuje, pokud bylo poplatníkovi (plátci) daně povoleno posečkání daně nebo placení daně ve splátkách dle § 156 zákona č. 280/2009 Sb., daňový řád, nebo placení pojistného a penále ve splátkách dle § 20a zákona č. 589/1992 Sb., o pojistném na sociálním zabezpečení a příspěvku na státní politiku zaměstnanosti.</w:t>
      </w:r>
    </w:p>
  </w:footnote>
  <w:footnote w:id="3">
    <w:p w:rsidR="00D2617D" w:rsidRDefault="00D2617D" w:rsidP="00D261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E309C">
        <w:t>Tj. hlavním účelem činnosti daného subjektu není vytváření zisku.</w:t>
      </w:r>
    </w:p>
  </w:footnote>
  <w:footnote w:id="4">
    <w:p w:rsidR="00AF04BC" w:rsidRDefault="00AF04BC">
      <w:pPr>
        <w:pStyle w:val="Textpoznpodarou"/>
      </w:pPr>
      <w:r>
        <w:rPr>
          <w:rStyle w:val="Znakapoznpodarou"/>
        </w:rPr>
        <w:footnoteRef/>
      </w:r>
      <w:r>
        <w:t xml:space="preserve"> Jedná se o kód Národního číselníku indikátorů 2014+.</w:t>
      </w:r>
      <w:r w:rsidRPr="007815B2">
        <w:t xml:space="preserve"> </w:t>
      </w:r>
      <w:r>
        <w:t>Některé indikátory jsou zároveň kódovány podle Evropské komise.</w:t>
      </w:r>
    </w:p>
  </w:footnote>
  <w:footnote w:id="5">
    <w:p w:rsidR="00AF04BC" w:rsidRPr="00FD5D1B" w:rsidRDefault="00AF04BC" w:rsidP="00F83ECC">
      <w:pPr>
        <w:pStyle w:val="Textpoznpodarou"/>
      </w:pPr>
      <w:r w:rsidRPr="00FD5D1B">
        <w:rPr>
          <w:rStyle w:val="Znakapoznpodarou"/>
        </w:rPr>
        <w:footnoteRef/>
      </w:r>
      <w:r w:rsidRPr="00FD5D1B">
        <w:rPr>
          <w:rStyle w:val="Znakapoznpodarou"/>
        </w:rPr>
        <w:t xml:space="preserve"> </w:t>
      </w:r>
      <w:r w:rsidRPr="00FD5D1B">
        <w:t>V závislosti na charakteru výzvy je možné uvést buď obecný kontakt na vyhlašovatele (např. název odboru, skupinová e-mailová adresa), nebo přímo uvést jmenovitě kontaktní osoby a spojení na ně.</w:t>
      </w:r>
    </w:p>
  </w:footnote>
  <w:footnote w:id="6">
    <w:p w:rsidR="00AF04BC" w:rsidRPr="00845954" w:rsidRDefault="00AF04BC" w:rsidP="00F83ECC">
      <w:pPr>
        <w:pStyle w:val="Textpoznpodarou"/>
        <w:rPr>
          <w:rFonts w:cs="Arial"/>
        </w:rPr>
      </w:pPr>
      <w:r w:rsidRPr="00A72490">
        <w:rPr>
          <w:rStyle w:val="Znakapoznpodarou"/>
        </w:rPr>
        <w:footnoteRef/>
      </w:r>
      <w:r w:rsidRPr="0022777C">
        <w:rPr>
          <w:rFonts w:cs="Arial"/>
          <w:szCs w:val="18"/>
        </w:rPr>
        <w:t xml:space="preserve"> </w:t>
      </w:r>
      <w:r w:rsidRPr="00A72490">
        <w:t>Pouze v relevantních případech</w:t>
      </w:r>
      <w:r w:rsidRPr="0022777C">
        <w:rPr>
          <w:rFonts w:cs="Arial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4BC" w:rsidRDefault="00AF04BC" w:rsidP="00F83ECC">
    <w:pPr>
      <w:pStyle w:val="Zhlav"/>
    </w:pPr>
    <w:r>
      <w:rPr>
        <w:noProof/>
        <w:lang w:eastAsia="cs-CZ"/>
      </w:rPr>
      <w:drawing>
        <wp:inline distT="0" distB="0" distL="0" distR="0" wp14:anchorId="5F825D37" wp14:editId="273EEA0A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04BC" w:rsidRDefault="00AF04BC" w:rsidP="00F83EC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D57"/>
    <w:multiLevelType w:val="multilevel"/>
    <w:tmpl w:val="246C9962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6B210D4"/>
    <w:multiLevelType w:val="hybridMultilevel"/>
    <w:tmpl w:val="A88A4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03E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F27CB5"/>
    <w:multiLevelType w:val="multilevel"/>
    <w:tmpl w:val="A54A7AA8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F2547"/>
    <w:multiLevelType w:val="hybridMultilevel"/>
    <w:tmpl w:val="A4B6894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0F433E98"/>
    <w:multiLevelType w:val="hybridMultilevel"/>
    <w:tmpl w:val="006CA0A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712613"/>
    <w:multiLevelType w:val="multilevel"/>
    <w:tmpl w:val="93F003A2"/>
    <w:lvl w:ilvl="0">
      <w:start w:val="1"/>
      <w:numFmt w:val="bullet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b/>
        <w:color w:val="auto"/>
        <w:sz w:val="22"/>
        <w:szCs w:val="22"/>
      </w:rPr>
    </w:lvl>
    <w:lvl w:ilvl="1">
      <w:start w:val="1"/>
      <w:numFmt w:val="bullet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058D"/>
    <w:multiLevelType w:val="multilevel"/>
    <w:tmpl w:val="580C3C12"/>
    <w:lvl w:ilvl="0">
      <w:start w:val="1"/>
      <w:numFmt w:val="bullet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hint="default"/>
        <w:color w:val="505050" w:themeColor="accent1"/>
        <w:sz w:val="22"/>
      </w:rPr>
    </w:lvl>
    <w:lvl w:ilvl="2">
      <w:start w:val="1"/>
      <w:numFmt w:val="bullet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65C5D"/>
    <w:multiLevelType w:val="hybridMultilevel"/>
    <w:tmpl w:val="036A3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12092"/>
    <w:multiLevelType w:val="hybridMultilevel"/>
    <w:tmpl w:val="7DE05D4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6CE425D"/>
    <w:multiLevelType w:val="hybridMultilevel"/>
    <w:tmpl w:val="706A24F0"/>
    <w:lvl w:ilvl="0" w:tplc="65749E8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B8BC76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4EC29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4173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BCA52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6E66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EC868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B8F18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5007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BC6BC9"/>
    <w:multiLevelType w:val="hybridMultilevel"/>
    <w:tmpl w:val="7954F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F42C9"/>
    <w:multiLevelType w:val="hybridMultilevel"/>
    <w:tmpl w:val="D12E795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>
    <w:nsid w:val="3F974279"/>
    <w:multiLevelType w:val="multilevel"/>
    <w:tmpl w:val="D7F8DE4E"/>
    <w:lvl w:ilvl="0">
      <w:start w:val="1"/>
      <w:numFmt w:val="bullet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auto"/>
        <w:sz w:val="22"/>
        <w:szCs w:val="22"/>
      </w:rPr>
    </w:lvl>
    <w:lvl w:ilvl="1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eastAsia="Times New Roman" w:hAnsi="Arial" w:hint="default"/>
        <w:color w:val="505050" w:themeColor="accent1"/>
        <w:sz w:val="22"/>
      </w:rPr>
    </w:lvl>
    <w:lvl w:ilvl="2">
      <w:start w:val="1"/>
      <w:numFmt w:val="bullet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3">
      <w:start w:val="1"/>
      <w:numFmt w:val="bullet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9A4972"/>
    <w:multiLevelType w:val="hybridMultilevel"/>
    <w:tmpl w:val="1B54B634"/>
    <w:lvl w:ilvl="0" w:tplc="AA9A8B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4827516B"/>
    <w:multiLevelType w:val="hybridMultilevel"/>
    <w:tmpl w:val="598E07E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A23BC0"/>
    <w:multiLevelType w:val="hybridMultilevel"/>
    <w:tmpl w:val="E5E40638"/>
    <w:lvl w:ilvl="0" w:tplc="03E48134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5E10DD"/>
    <w:multiLevelType w:val="hybridMultilevel"/>
    <w:tmpl w:val="338252B2"/>
    <w:lvl w:ilvl="0" w:tplc="E91688A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2CC1B0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F679B0">
      <w:start w:val="2896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6848B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8267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360BA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06A42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2C31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FA2E1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1F7D77"/>
    <w:multiLevelType w:val="hybridMultilevel"/>
    <w:tmpl w:val="0B6EB7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37B70"/>
    <w:multiLevelType w:val="hybridMultilevel"/>
    <w:tmpl w:val="8BB4FCD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58BC5AA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E9825BC"/>
    <w:multiLevelType w:val="hybridMultilevel"/>
    <w:tmpl w:val="3514AA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5E3687"/>
    <w:multiLevelType w:val="hybridMultilevel"/>
    <w:tmpl w:val="46AC86DA"/>
    <w:lvl w:ilvl="0" w:tplc="0405000F">
      <w:start w:val="1"/>
      <w:numFmt w:val="decimal"/>
      <w:lvlText w:val="%1.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>
    <w:nsid w:val="64E45433"/>
    <w:multiLevelType w:val="hybridMultilevel"/>
    <w:tmpl w:val="F1B2B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D005AE"/>
    <w:multiLevelType w:val="hybridMultilevel"/>
    <w:tmpl w:val="4AE21F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F3721"/>
    <w:multiLevelType w:val="multilevel"/>
    <w:tmpl w:val="069C0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5050" w:themeColor="accent1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505050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6D4B24"/>
    <w:multiLevelType w:val="hybridMultilevel"/>
    <w:tmpl w:val="C59CA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7C6EB0"/>
    <w:multiLevelType w:val="hybridMultilevel"/>
    <w:tmpl w:val="3C560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8"/>
  </w:num>
  <w:num w:numId="5">
    <w:abstractNumId w:val="10"/>
  </w:num>
  <w:num w:numId="6">
    <w:abstractNumId w:val="19"/>
  </w:num>
  <w:num w:numId="7">
    <w:abstractNumId w:val="1"/>
  </w:num>
  <w:num w:numId="8">
    <w:abstractNumId w:val="25"/>
  </w:num>
  <w:num w:numId="9">
    <w:abstractNumId w:val="12"/>
  </w:num>
  <w:num w:numId="10">
    <w:abstractNumId w:val="3"/>
  </w:num>
  <w:num w:numId="11">
    <w:abstractNumId w:val="11"/>
  </w:num>
  <w:num w:numId="12">
    <w:abstractNumId w:val="20"/>
  </w:num>
  <w:num w:numId="13">
    <w:abstractNumId w:val="17"/>
  </w:num>
  <w:num w:numId="14">
    <w:abstractNumId w:val="23"/>
  </w:num>
  <w:num w:numId="15">
    <w:abstractNumId w:val="21"/>
  </w:num>
  <w:num w:numId="16">
    <w:abstractNumId w:val="28"/>
  </w:num>
  <w:num w:numId="17">
    <w:abstractNumId w:val="6"/>
  </w:num>
  <w:num w:numId="18">
    <w:abstractNumId w:val="3"/>
  </w:num>
  <w:num w:numId="19">
    <w:abstractNumId w:val="3"/>
  </w:num>
  <w:num w:numId="20">
    <w:abstractNumId w:val="3"/>
  </w:num>
  <w:num w:numId="21">
    <w:abstractNumId w:val="5"/>
  </w:num>
  <w:num w:numId="22">
    <w:abstractNumId w:val="30"/>
  </w:num>
  <w:num w:numId="23">
    <w:abstractNumId w:val="3"/>
  </w:num>
  <w:num w:numId="24">
    <w:abstractNumId w:val="24"/>
  </w:num>
  <w:num w:numId="25">
    <w:abstractNumId w:val="3"/>
  </w:num>
  <w:num w:numId="26">
    <w:abstractNumId w:val="3"/>
  </w:num>
  <w:num w:numId="27">
    <w:abstractNumId w:val="3"/>
  </w:num>
  <w:num w:numId="28">
    <w:abstractNumId w:val="4"/>
  </w:num>
  <w:num w:numId="29">
    <w:abstractNumId w:val="14"/>
  </w:num>
  <w:num w:numId="30">
    <w:abstractNumId w:val="9"/>
  </w:num>
  <w:num w:numId="31">
    <w:abstractNumId w:val="22"/>
  </w:num>
  <w:num w:numId="32">
    <w:abstractNumId w:val="3"/>
  </w:num>
  <w:num w:numId="33">
    <w:abstractNumId w:val="3"/>
  </w:num>
  <w:num w:numId="34">
    <w:abstractNumId w:val="3"/>
  </w:num>
  <w:num w:numId="35">
    <w:abstractNumId w:val="15"/>
  </w:num>
  <w:num w:numId="36">
    <w:abstractNumId w:val="7"/>
  </w:num>
  <w:num w:numId="37">
    <w:abstractNumId w:val="3"/>
  </w:num>
  <w:num w:numId="38">
    <w:abstractNumId w:val="8"/>
  </w:num>
  <w:num w:numId="39">
    <w:abstractNumId w:val="27"/>
  </w:num>
  <w:num w:numId="40">
    <w:abstractNumId w:val="16"/>
  </w:num>
  <w:num w:numId="41">
    <w:abstractNumId w:val="2"/>
  </w:num>
  <w:num w:numId="42">
    <w:abstractNumId w:val="0"/>
  </w:num>
  <w:num w:numId="43">
    <w:abstractNumId w:val="0"/>
  </w:num>
  <w:num w:numId="44">
    <w:abstractNumId w:val="29"/>
  </w:num>
  <w:num w:numId="45">
    <w:abstractNumId w:val="26"/>
  </w:num>
  <w:num w:numId="46">
    <w:abstractNumId w:val="3"/>
  </w:num>
  <w:num w:numId="47">
    <w:abstractNumId w:val="3"/>
  </w:num>
  <w:num w:numId="48">
    <w:abstractNumId w:val="0"/>
  </w:num>
  <w:num w:numId="49">
    <w:abstractNumId w:val="0"/>
  </w:num>
  <w:num w:numId="5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068B5"/>
    <w:rsid w:val="00015461"/>
    <w:rsid w:val="000217DF"/>
    <w:rsid w:val="000532DA"/>
    <w:rsid w:val="000548EA"/>
    <w:rsid w:val="00055362"/>
    <w:rsid w:val="00057C9B"/>
    <w:rsid w:val="00065731"/>
    <w:rsid w:val="00067F8E"/>
    <w:rsid w:val="000710C0"/>
    <w:rsid w:val="000733D6"/>
    <w:rsid w:val="00084CE4"/>
    <w:rsid w:val="000A1FE3"/>
    <w:rsid w:val="000B25D8"/>
    <w:rsid w:val="000B2DE6"/>
    <w:rsid w:val="000B7CA4"/>
    <w:rsid w:val="000D51CA"/>
    <w:rsid w:val="000E11BF"/>
    <w:rsid w:val="000E1C5E"/>
    <w:rsid w:val="000E277F"/>
    <w:rsid w:val="000F0056"/>
    <w:rsid w:val="000F3F97"/>
    <w:rsid w:val="000F5592"/>
    <w:rsid w:val="000F742F"/>
    <w:rsid w:val="00112891"/>
    <w:rsid w:val="0011753D"/>
    <w:rsid w:val="00120A3C"/>
    <w:rsid w:val="00121E84"/>
    <w:rsid w:val="00132D7E"/>
    <w:rsid w:val="00157DAE"/>
    <w:rsid w:val="00163775"/>
    <w:rsid w:val="001641A3"/>
    <w:rsid w:val="001673AF"/>
    <w:rsid w:val="001768F6"/>
    <w:rsid w:val="001776A7"/>
    <w:rsid w:val="001819EE"/>
    <w:rsid w:val="00184F3F"/>
    <w:rsid w:val="00185596"/>
    <w:rsid w:val="00191740"/>
    <w:rsid w:val="00194656"/>
    <w:rsid w:val="001B55D7"/>
    <w:rsid w:val="001C08A2"/>
    <w:rsid w:val="001C103C"/>
    <w:rsid w:val="001D3DFE"/>
    <w:rsid w:val="001D5560"/>
    <w:rsid w:val="00202271"/>
    <w:rsid w:val="0020570D"/>
    <w:rsid w:val="00205A8F"/>
    <w:rsid w:val="002117F6"/>
    <w:rsid w:val="002319F2"/>
    <w:rsid w:val="0023353E"/>
    <w:rsid w:val="0025102D"/>
    <w:rsid w:val="0025518E"/>
    <w:rsid w:val="00265BDF"/>
    <w:rsid w:val="002671A0"/>
    <w:rsid w:val="002714E7"/>
    <w:rsid w:val="0027410A"/>
    <w:rsid w:val="00277990"/>
    <w:rsid w:val="00283A91"/>
    <w:rsid w:val="0028620C"/>
    <w:rsid w:val="002866E8"/>
    <w:rsid w:val="00287DE2"/>
    <w:rsid w:val="002921D1"/>
    <w:rsid w:val="00297334"/>
    <w:rsid w:val="002A790E"/>
    <w:rsid w:val="002B3FC2"/>
    <w:rsid w:val="002B6E2F"/>
    <w:rsid w:val="002C4D5F"/>
    <w:rsid w:val="002D7766"/>
    <w:rsid w:val="002F689F"/>
    <w:rsid w:val="002F7AB9"/>
    <w:rsid w:val="00302400"/>
    <w:rsid w:val="00306C59"/>
    <w:rsid w:val="00330790"/>
    <w:rsid w:val="00331A10"/>
    <w:rsid w:val="00334D40"/>
    <w:rsid w:val="00342EB6"/>
    <w:rsid w:val="003444D9"/>
    <w:rsid w:val="00361180"/>
    <w:rsid w:val="00361FFC"/>
    <w:rsid w:val="003645CC"/>
    <w:rsid w:val="00366F94"/>
    <w:rsid w:val="00376C26"/>
    <w:rsid w:val="003851E9"/>
    <w:rsid w:val="003929F0"/>
    <w:rsid w:val="00392F95"/>
    <w:rsid w:val="0039444A"/>
    <w:rsid w:val="00394C90"/>
    <w:rsid w:val="00394E65"/>
    <w:rsid w:val="003A3177"/>
    <w:rsid w:val="003A5621"/>
    <w:rsid w:val="003A5981"/>
    <w:rsid w:val="003B1163"/>
    <w:rsid w:val="003B6F5A"/>
    <w:rsid w:val="003B7E9C"/>
    <w:rsid w:val="003D3872"/>
    <w:rsid w:val="003E5795"/>
    <w:rsid w:val="003F02C5"/>
    <w:rsid w:val="003F4DD5"/>
    <w:rsid w:val="003F5916"/>
    <w:rsid w:val="003F6599"/>
    <w:rsid w:val="004162EF"/>
    <w:rsid w:val="004354DE"/>
    <w:rsid w:val="004415B1"/>
    <w:rsid w:val="004461FB"/>
    <w:rsid w:val="00450875"/>
    <w:rsid w:val="004548E9"/>
    <w:rsid w:val="0045555B"/>
    <w:rsid w:val="00455567"/>
    <w:rsid w:val="00474531"/>
    <w:rsid w:val="00483731"/>
    <w:rsid w:val="00497ED7"/>
    <w:rsid w:val="004C517E"/>
    <w:rsid w:val="004C721F"/>
    <w:rsid w:val="004D16BA"/>
    <w:rsid w:val="004D73F0"/>
    <w:rsid w:val="004E5D87"/>
    <w:rsid w:val="005016A6"/>
    <w:rsid w:val="00502749"/>
    <w:rsid w:val="00503408"/>
    <w:rsid w:val="00512C01"/>
    <w:rsid w:val="00522F5E"/>
    <w:rsid w:val="00527ABF"/>
    <w:rsid w:val="00536184"/>
    <w:rsid w:val="00536CEE"/>
    <w:rsid w:val="00542B09"/>
    <w:rsid w:val="0054383B"/>
    <w:rsid w:val="0055203F"/>
    <w:rsid w:val="00556F01"/>
    <w:rsid w:val="00565787"/>
    <w:rsid w:val="00567C05"/>
    <w:rsid w:val="00573732"/>
    <w:rsid w:val="005778B2"/>
    <w:rsid w:val="00577A62"/>
    <w:rsid w:val="00597E60"/>
    <w:rsid w:val="005A2C46"/>
    <w:rsid w:val="005B66CA"/>
    <w:rsid w:val="005B7AFA"/>
    <w:rsid w:val="005C0CCA"/>
    <w:rsid w:val="005C19CB"/>
    <w:rsid w:val="005C28D2"/>
    <w:rsid w:val="005D6DC0"/>
    <w:rsid w:val="005D7987"/>
    <w:rsid w:val="005E72E4"/>
    <w:rsid w:val="005F209B"/>
    <w:rsid w:val="00605AF1"/>
    <w:rsid w:val="00605C1C"/>
    <w:rsid w:val="006078C8"/>
    <w:rsid w:val="0062246E"/>
    <w:rsid w:val="0062278B"/>
    <w:rsid w:val="00626298"/>
    <w:rsid w:val="00640D76"/>
    <w:rsid w:val="00641102"/>
    <w:rsid w:val="00647088"/>
    <w:rsid w:val="00653116"/>
    <w:rsid w:val="006705B8"/>
    <w:rsid w:val="00671782"/>
    <w:rsid w:val="006718E7"/>
    <w:rsid w:val="0068462F"/>
    <w:rsid w:val="00684B64"/>
    <w:rsid w:val="00685750"/>
    <w:rsid w:val="0069014B"/>
    <w:rsid w:val="00694A19"/>
    <w:rsid w:val="006A4CF2"/>
    <w:rsid w:val="006B2D94"/>
    <w:rsid w:val="006B3320"/>
    <w:rsid w:val="006B52C1"/>
    <w:rsid w:val="006B7AD7"/>
    <w:rsid w:val="006C20BC"/>
    <w:rsid w:val="006D2EC2"/>
    <w:rsid w:val="006D7FC5"/>
    <w:rsid w:val="006E2A65"/>
    <w:rsid w:val="006F114E"/>
    <w:rsid w:val="006F7E2F"/>
    <w:rsid w:val="007021C1"/>
    <w:rsid w:val="00706BD4"/>
    <w:rsid w:val="00714198"/>
    <w:rsid w:val="007162C6"/>
    <w:rsid w:val="0071660A"/>
    <w:rsid w:val="007266DF"/>
    <w:rsid w:val="0073096A"/>
    <w:rsid w:val="00731C22"/>
    <w:rsid w:val="00737635"/>
    <w:rsid w:val="00744469"/>
    <w:rsid w:val="00746497"/>
    <w:rsid w:val="00747312"/>
    <w:rsid w:val="007566EB"/>
    <w:rsid w:val="00773D72"/>
    <w:rsid w:val="0078105C"/>
    <w:rsid w:val="00782D4C"/>
    <w:rsid w:val="00791FC5"/>
    <w:rsid w:val="00797E60"/>
    <w:rsid w:val="007A0075"/>
    <w:rsid w:val="007B1C3C"/>
    <w:rsid w:val="007D0935"/>
    <w:rsid w:val="007D42B9"/>
    <w:rsid w:val="007D4AFB"/>
    <w:rsid w:val="007E732D"/>
    <w:rsid w:val="007E7E10"/>
    <w:rsid w:val="007F04E2"/>
    <w:rsid w:val="007F1961"/>
    <w:rsid w:val="007F4F22"/>
    <w:rsid w:val="007F59A4"/>
    <w:rsid w:val="008053D8"/>
    <w:rsid w:val="00806DAC"/>
    <w:rsid w:val="00813750"/>
    <w:rsid w:val="00815F47"/>
    <w:rsid w:val="008255F6"/>
    <w:rsid w:val="00832236"/>
    <w:rsid w:val="00844670"/>
    <w:rsid w:val="00847203"/>
    <w:rsid w:val="00852E7E"/>
    <w:rsid w:val="00854957"/>
    <w:rsid w:val="008647B8"/>
    <w:rsid w:val="0086596C"/>
    <w:rsid w:val="00867861"/>
    <w:rsid w:val="008819E7"/>
    <w:rsid w:val="008842D3"/>
    <w:rsid w:val="00890FAA"/>
    <w:rsid w:val="00895FB3"/>
    <w:rsid w:val="008B3B11"/>
    <w:rsid w:val="008B607A"/>
    <w:rsid w:val="008C28D3"/>
    <w:rsid w:val="008C6214"/>
    <w:rsid w:val="008D2B9F"/>
    <w:rsid w:val="008E2A07"/>
    <w:rsid w:val="008F7D9B"/>
    <w:rsid w:val="00910732"/>
    <w:rsid w:val="009117F1"/>
    <w:rsid w:val="009156DA"/>
    <w:rsid w:val="00926210"/>
    <w:rsid w:val="009343A7"/>
    <w:rsid w:val="00934A32"/>
    <w:rsid w:val="009407C1"/>
    <w:rsid w:val="00942E26"/>
    <w:rsid w:val="00942F74"/>
    <w:rsid w:val="00955420"/>
    <w:rsid w:val="009574F9"/>
    <w:rsid w:val="00967D4A"/>
    <w:rsid w:val="009A0FC1"/>
    <w:rsid w:val="009A2E7D"/>
    <w:rsid w:val="009A607B"/>
    <w:rsid w:val="009A7345"/>
    <w:rsid w:val="009A755D"/>
    <w:rsid w:val="009B0AFD"/>
    <w:rsid w:val="009C6048"/>
    <w:rsid w:val="009C6899"/>
    <w:rsid w:val="009C71CB"/>
    <w:rsid w:val="009D6602"/>
    <w:rsid w:val="009D66FE"/>
    <w:rsid w:val="009E1C91"/>
    <w:rsid w:val="009E22AF"/>
    <w:rsid w:val="00A022E7"/>
    <w:rsid w:val="00A05864"/>
    <w:rsid w:val="00A076EC"/>
    <w:rsid w:val="00A15D10"/>
    <w:rsid w:val="00A16328"/>
    <w:rsid w:val="00A218EC"/>
    <w:rsid w:val="00A338EB"/>
    <w:rsid w:val="00A33A3D"/>
    <w:rsid w:val="00A34F9E"/>
    <w:rsid w:val="00A36264"/>
    <w:rsid w:val="00A44C05"/>
    <w:rsid w:val="00A47B09"/>
    <w:rsid w:val="00A55A4A"/>
    <w:rsid w:val="00A5688A"/>
    <w:rsid w:val="00A67723"/>
    <w:rsid w:val="00A83592"/>
    <w:rsid w:val="00A85FC7"/>
    <w:rsid w:val="00A87668"/>
    <w:rsid w:val="00A87E8F"/>
    <w:rsid w:val="00A90198"/>
    <w:rsid w:val="00AA3E99"/>
    <w:rsid w:val="00AC3356"/>
    <w:rsid w:val="00AD04D6"/>
    <w:rsid w:val="00AF04BC"/>
    <w:rsid w:val="00AF14C0"/>
    <w:rsid w:val="00AF5766"/>
    <w:rsid w:val="00B04C20"/>
    <w:rsid w:val="00B07597"/>
    <w:rsid w:val="00B11883"/>
    <w:rsid w:val="00B20425"/>
    <w:rsid w:val="00B32C5C"/>
    <w:rsid w:val="00B332F9"/>
    <w:rsid w:val="00B4096D"/>
    <w:rsid w:val="00B50733"/>
    <w:rsid w:val="00B539D6"/>
    <w:rsid w:val="00B56267"/>
    <w:rsid w:val="00B56786"/>
    <w:rsid w:val="00B56E43"/>
    <w:rsid w:val="00B57C7F"/>
    <w:rsid w:val="00B63E73"/>
    <w:rsid w:val="00B70C0C"/>
    <w:rsid w:val="00B90AFE"/>
    <w:rsid w:val="00B921E9"/>
    <w:rsid w:val="00B9435E"/>
    <w:rsid w:val="00BA0F0F"/>
    <w:rsid w:val="00BA40A6"/>
    <w:rsid w:val="00BA5CD3"/>
    <w:rsid w:val="00BC0AD3"/>
    <w:rsid w:val="00BD26E4"/>
    <w:rsid w:val="00BD5598"/>
    <w:rsid w:val="00BF7F30"/>
    <w:rsid w:val="00C1026C"/>
    <w:rsid w:val="00C111C1"/>
    <w:rsid w:val="00C15EE2"/>
    <w:rsid w:val="00C26A71"/>
    <w:rsid w:val="00C32F9F"/>
    <w:rsid w:val="00C431CC"/>
    <w:rsid w:val="00C501B0"/>
    <w:rsid w:val="00C54BB9"/>
    <w:rsid w:val="00C61158"/>
    <w:rsid w:val="00C70F57"/>
    <w:rsid w:val="00C72443"/>
    <w:rsid w:val="00C920D4"/>
    <w:rsid w:val="00CD05F2"/>
    <w:rsid w:val="00CD4548"/>
    <w:rsid w:val="00CD7540"/>
    <w:rsid w:val="00CE2B93"/>
    <w:rsid w:val="00CE6FA4"/>
    <w:rsid w:val="00CE70CC"/>
    <w:rsid w:val="00CF1BC0"/>
    <w:rsid w:val="00D00449"/>
    <w:rsid w:val="00D02889"/>
    <w:rsid w:val="00D02999"/>
    <w:rsid w:val="00D03867"/>
    <w:rsid w:val="00D117E6"/>
    <w:rsid w:val="00D22637"/>
    <w:rsid w:val="00D25F96"/>
    <w:rsid w:val="00D2617D"/>
    <w:rsid w:val="00D43324"/>
    <w:rsid w:val="00D447BE"/>
    <w:rsid w:val="00D472DB"/>
    <w:rsid w:val="00D54DFD"/>
    <w:rsid w:val="00D55B22"/>
    <w:rsid w:val="00D57FE0"/>
    <w:rsid w:val="00D6700A"/>
    <w:rsid w:val="00D7542C"/>
    <w:rsid w:val="00D76D03"/>
    <w:rsid w:val="00D90F1D"/>
    <w:rsid w:val="00D91F9F"/>
    <w:rsid w:val="00DA643B"/>
    <w:rsid w:val="00DB3EA3"/>
    <w:rsid w:val="00DB40C5"/>
    <w:rsid w:val="00DB7134"/>
    <w:rsid w:val="00DC370F"/>
    <w:rsid w:val="00DC558E"/>
    <w:rsid w:val="00DD2DF3"/>
    <w:rsid w:val="00DD5FB3"/>
    <w:rsid w:val="00DE4D4B"/>
    <w:rsid w:val="00DF6A19"/>
    <w:rsid w:val="00E073EC"/>
    <w:rsid w:val="00E12509"/>
    <w:rsid w:val="00E201FD"/>
    <w:rsid w:val="00E20828"/>
    <w:rsid w:val="00E243CC"/>
    <w:rsid w:val="00E37D31"/>
    <w:rsid w:val="00E4229E"/>
    <w:rsid w:val="00E43E1D"/>
    <w:rsid w:val="00E44390"/>
    <w:rsid w:val="00E45CF5"/>
    <w:rsid w:val="00E539B2"/>
    <w:rsid w:val="00E66055"/>
    <w:rsid w:val="00E81664"/>
    <w:rsid w:val="00E82E67"/>
    <w:rsid w:val="00E90E13"/>
    <w:rsid w:val="00E915D8"/>
    <w:rsid w:val="00E93410"/>
    <w:rsid w:val="00E978F7"/>
    <w:rsid w:val="00EA17D9"/>
    <w:rsid w:val="00EA35B3"/>
    <w:rsid w:val="00EA43FD"/>
    <w:rsid w:val="00EA6BD7"/>
    <w:rsid w:val="00EB0260"/>
    <w:rsid w:val="00EB1A20"/>
    <w:rsid w:val="00EB4BE7"/>
    <w:rsid w:val="00EB62F1"/>
    <w:rsid w:val="00EC513F"/>
    <w:rsid w:val="00ED7068"/>
    <w:rsid w:val="00EE591B"/>
    <w:rsid w:val="00F00376"/>
    <w:rsid w:val="00F14015"/>
    <w:rsid w:val="00F25FB9"/>
    <w:rsid w:val="00F332DB"/>
    <w:rsid w:val="00F37E18"/>
    <w:rsid w:val="00F4441B"/>
    <w:rsid w:val="00F543E8"/>
    <w:rsid w:val="00F61DB6"/>
    <w:rsid w:val="00F83ECC"/>
    <w:rsid w:val="00F91466"/>
    <w:rsid w:val="00F91844"/>
    <w:rsid w:val="00F9194D"/>
    <w:rsid w:val="00FA388B"/>
    <w:rsid w:val="00FA5583"/>
    <w:rsid w:val="00FA5BE7"/>
    <w:rsid w:val="00FC0AE3"/>
    <w:rsid w:val="00FC4FB9"/>
    <w:rsid w:val="00FC7F62"/>
    <w:rsid w:val="00FE1471"/>
    <w:rsid w:val="00FE72BB"/>
    <w:rsid w:val="00FE76AB"/>
    <w:rsid w:val="00FE7E77"/>
    <w:rsid w:val="00F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5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ECC"/>
    <w:pPr>
      <w:spacing w:after="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F83ECC"/>
    <w:pPr>
      <w:keepNext/>
      <w:keepLines/>
      <w:numPr>
        <w:numId w:val="1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F83ECC"/>
    <w:pPr>
      <w:keepNext/>
      <w:keepLines/>
      <w:numPr>
        <w:ilvl w:val="1"/>
        <w:numId w:val="1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444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444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7444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83E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F83ECC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773D72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773D72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773D72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773D72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5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customStyle="1" w:styleId="txt">
    <w:name w:val="txt"/>
    <w:basedOn w:val="Normln"/>
    <w:rsid w:val="00EE591B"/>
    <w:pPr>
      <w:spacing w:after="120"/>
      <w:ind w:firstLine="357"/>
    </w:pPr>
    <w:rPr>
      <w:rFonts w:ascii="Arial" w:eastAsia="Times New Roman" w:hAnsi="Arial" w:cs="Times New Roman"/>
      <w:szCs w:val="24"/>
      <w:lang w:eastAsia="cs-CZ"/>
    </w:rPr>
  </w:style>
  <w:style w:type="table" w:styleId="Svtlseznamzvraznn5">
    <w:name w:val="Light List Accent 5"/>
    <w:basedOn w:val="Normlntabulka"/>
    <w:uiPriority w:val="61"/>
    <w:rsid w:val="009B0AFD"/>
    <w:pPr>
      <w:spacing w:after="0" w:line="240" w:lineRule="auto"/>
    </w:p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band1Horz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</w:style>
  <w:style w:type="paragraph" w:customStyle="1" w:styleId="normln0">
    <w:name w:val="normální"/>
    <w:basedOn w:val="Normln"/>
    <w:rsid w:val="009B0AFD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VZTabulkyagrafy">
    <w:name w:val="VZ Tabulky a grafy"/>
    <w:basedOn w:val="Normln"/>
    <w:next w:val="Normln"/>
    <w:qFormat/>
    <w:rsid w:val="009B0AFD"/>
    <w:pPr>
      <w:suppressAutoHyphens/>
      <w:spacing w:before="40" w:after="40"/>
    </w:pPr>
    <w:rPr>
      <w:rFonts w:ascii="Arial" w:eastAsia="Times New Roman" w:hAnsi="Arial" w:cs="Times New Roman"/>
      <w:bCs/>
      <w:szCs w:val="20"/>
      <w:lang w:eastAsia="ar-SA"/>
    </w:rPr>
  </w:style>
  <w:style w:type="paragraph" w:customStyle="1" w:styleId="Default">
    <w:name w:val="Default"/>
    <w:rsid w:val="00607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447BE"/>
    <w:rPr>
      <w:color w:val="50505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C51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17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1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51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517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5F96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895FB3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95FB3"/>
    <w:rPr>
      <w:rFonts w:ascii="EUAlbertina" w:hAnsi="EUAlbertina" w:cstheme="minorBidi"/>
      <w:color w:val="auto"/>
    </w:rPr>
  </w:style>
  <w:style w:type="table" w:customStyle="1" w:styleId="Svtlseznamzvraznn51">
    <w:name w:val="Světlý seznam – zvýraznění 51"/>
    <w:basedOn w:val="Normlntabulka"/>
    <w:next w:val="Svtlseznamzvraznn5"/>
    <w:uiPriority w:val="61"/>
    <w:rsid w:val="002117F6"/>
    <w:pPr>
      <w:spacing w:after="0" w:line="240" w:lineRule="auto"/>
    </w:pPr>
    <w:tblPr>
      <w:tblStyleRowBandSize w:val="1"/>
      <w:tblStyleColBandSize w:val="1"/>
      <w:tblBorders>
        <w:top w:val="single" w:sz="8" w:space="0" w:color="AFDDFA"/>
        <w:left w:val="single" w:sz="8" w:space="0" w:color="AFDDFA"/>
        <w:bottom w:val="single" w:sz="8" w:space="0" w:color="AFDDFA"/>
        <w:right w:val="single" w:sz="8" w:space="0" w:color="AFDDFA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5F5F5"/>
      </w:rPr>
      <w:tblPr/>
      <w:tcPr>
        <w:shd w:val="clear" w:color="auto" w:fill="AFDDF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  <w:tblStylePr w:type="band1Horz">
      <w:tblPr/>
      <w:tcPr>
        <w:tcBorders>
          <w:top w:val="single" w:sz="8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Subtitle" w:semiHidden="0" w:uiPriority="15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3ECC"/>
    <w:pPr>
      <w:spacing w:after="0" w:line="240" w:lineRule="auto"/>
      <w:jc w:val="both"/>
    </w:p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F83ECC"/>
    <w:pPr>
      <w:keepNext/>
      <w:keepLines/>
      <w:numPr>
        <w:numId w:val="1"/>
      </w:numPr>
      <w:spacing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unhideWhenUsed/>
    <w:qFormat/>
    <w:rsid w:val="00F83ECC"/>
    <w:pPr>
      <w:keepNext/>
      <w:keepLines/>
      <w:numPr>
        <w:ilvl w:val="1"/>
        <w:numId w:val="1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aliases w:val="adpis 3,Podpodkapitola,Heading 3 Char2,Heading 3 Char Char1,adpis 3 Char Char1,Podpodkapitola Char Char Char,Heading 3 Char Char Char,adpis 3 Char Char Char,Heading 3 Char1 Char,Podpodkapitola Char Char1,Heading 3 Char1,Heading 3 Char Char"/>
    <w:basedOn w:val="Normln"/>
    <w:next w:val="Normln"/>
    <w:link w:val="Nadpis3Char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444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444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,Numbered - 9"/>
    <w:basedOn w:val="Normln"/>
    <w:next w:val="Normln"/>
    <w:link w:val="Nadpis9Char"/>
    <w:uiPriority w:val="9"/>
    <w:unhideWhenUsed/>
    <w:qFormat/>
    <w:rsid w:val="007444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83EC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rsid w:val="00F83ECC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aliases w:val="adpis 3 Char,Podpodkapitola Char,Heading 3 Char2 Char,Heading 3 Char Char1 Char,adpis 3 Char Char1 Char,Podpodkapitola Char Char Char Char,Heading 3 Char Char Char Char,adpis 3 Char Char Char Char,Heading 3 Char1 Char Char"/>
    <w:basedOn w:val="Standardnpsmoodstavce"/>
    <w:link w:val="Nadpis3"/>
    <w:rsid w:val="00773D72"/>
    <w:rPr>
      <w:rFonts w:asciiTheme="majorHAnsi" w:eastAsiaTheme="majorEastAsia" w:hAnsiTheme="majorHAnsi" w:cstheme="majorBidi"/>
      <w:b/>
      <w:bCs/>
      <w:sz w:val="28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rsid w:val="00773D72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Nadpis5Char">
    <w:name w:val="Nadpis 5 Char"/>
    <w:basedOn w:val="Standardnpsmoodstavce"/>
    <w:link w:val="Nadpis5"/>
    <w:uiPriority w:val="9"/>
    <w:rsid w:val="00773D72"/>
    <w:rPr>
      <w:rFonts w:asciiTheme="majorHAnsi" w:eastAsiaTheme="majorEastAsia" w:hAnsiTheme="majorHAnsi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773D72"/>
    <w:rPr>
      <w:rFonts w:asciiTheme="majorHAnsi" w:eastAsiaTheme="majorEastAsia" w:hAnsiTheme="majorHAnsi" w:cstheme="majorBidi"/>
      <w:b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,Numbered - 9 Char"/>
    <w:basedOn w:val="Standardnpsmoodstavce"/>
    <w:link w:val="Nadpis9"/>
    <w:uiPriority w:val="9"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5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customStyle="1" w:styleId="txt">
    <w:name w:val="txt"/>
    <w:basedOn w:val="Normln"/>
    <w:rsid w:val="00EE591B"/>
    <w:pPr>
      <w:spacing w:after="120"/>
      <w:ind w:firstLine="357"/>
    </w:pPr>
    <w:rPr>
      <w:rFonts w:ascii="Arial" w:eastAsia="Times New Roman" w:hAnsi="Arial" w:cs="Times New Roman"/>
      <w:szCs w:val="24"/>
      <w:lang w:eastAsia="cs-CZ"/>
    </w:rPr>
  </w:style>
  <w:style w:type="table" w:styleId="Svtlseznamzvraznn5">
    <w:name w:val="Light List Accent 5"/>
    <w:basedOn w:val="Normlntabulka"/>
    <w:uiPriority w:val="61"/>
    <w:rsid w:val="009B0AFD"/>
    <w:pPr>
      <w:spacing w:after="0" w:line="240" w:lineRule="auto"/>
    </w:p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  <w:tblStylePr w:type="band1Horz">
      <w:tblPr/>
      <w:tcPr>
        <w:tcBorders>
          <w:top w:val="single" w:sz="8" w:space="0" w:color="7F7F7F" w:themeColor="accent5"/>
          <w:left w:val="single" w:sz="8" w:space="0" w:color="7F7F7F" w:themeColor="accent5"/>
          <w:bottom w:val="single" w:sz="8" w:space="0" w:color="7F7F7F" w:themeColor="accent5"/>
          <w:right w:val="single" w:sz="8" w:space="0" w:color="7F7F7F" w:themeColor="accent5"/>
        </w:tcBorders>
      </w:tcPr>
    </w:tblStylePr>
  </w:style>
  <w:style w:type="paragraph" w:customStyle="1" w:styleId="normln0">
    <w:name w:val="normální"/>
    <w:basedOn w:val="Normln"/>
    <w:rsid w:val="009B0AFD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VZTabulkyagrafy">
    <w:name w:val="VZ Tabulky a grafy"/>
    <w:basedOn w:val="Normln"/>
    <w:next w:val="Normln"/>
    <w:qFormat/>
    <w:rsid w:val="009B0AFD"/>
    <w:pPr>
      <w:suppressAutoHyphens/>
      <w:spacing w:before="40" w:after="40"/>
    </w:pPr>
    <w:rPr>
      <w:rFonts w:ascii="Arial" w:eastAsia="Times New Roman" w:hAnsi="Arial" w:cs="Times New Roman"/>
      <w:bCs/>
      <w:szCs w:val="20"/>
      <w:lang w:eastAsia="ar-SA"/>
    </w:rPr>
  </w:style>
  <w:style w:type="paragraph" w:customStyle="1" w:styleId="Default">
    <w:name w:val="Default"/>
    <w:rsid w:val="00607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447BE"/>
    <w:rPr>
      <w:color w:val="50505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C51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17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1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51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517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5F96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895FB3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895FB3"/>
    <w:rPr>
      <w:rFonts w:ascii="EUAlbertina" w:hAnsi="EUAlbertina" w:cstheme="minorBidi"/>
      <w:color w:val="auto"/>
    </w:rPr>
  </w:style>
  <w:style w:type="table" w:customStyle="1" w:styleId="Svtlseznamzvraznn51">
    <w:name w:val="Světlý seznam – zvýraznění 51"/>
    <w:basedOn w:val="Normlntabulka"/>
    <w:next w:val="Svtlseznamzvraznn5"/>
    <w:uiPriority w:val="61"/>
    <w:rsid w:val="002117F6"/>
    <w:pPr>
      <w:spacing w:after="0" w:line="240" w:lineRule="auto"/>
    </w:pPr>
    <w:tblPr>
      <w:tblStyleRowBandSize w:val="1"/>
      <w:tblStyleColBandSize w:val="1"/>
      <w:tblBorders>
        <w:top w:val="single" w:sz="8" w:space="0" w:color="AFDDFA"/>
        <w:left w:val="single" w:sz="8" w:space="0" w:color="AFDDFA"/>
        <w:bottom w:val="single" w:sz="8" w:space="0" w:color="AFDDFA"/>
        <w:right w:val="single" w:sz="8" w:space="0" w:color="AFDDFA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5F5F5"/>
      </w:rPr>
      <w:tblPr/>
      <w:tcPr>
        <w:shd w:val="clear" w:color="auto" w:fill="AFDDF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  <w:tblStylePr w:type="band1Horz">
      <w:tblPr/>
      <w:tcPr>
        <w:tcBorders>
          <w:top w:val="single" w:sz="8" w:space="0" w:color="AFDDFA"/>
          <w:left w:val="single" w:sz="8" w:space="0" w:color="AFDDFA"/>
          <w:bottom w:val="single" w:sz="8" w:space="0" w:color="AFDDFA"/>
          <w:right w:val="single" w:sz="8" w:space="0" w:color="AFDDFA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7740">
          <w:marLeft w:val="105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173">
          <w:marLeft w:val="105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0350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274">
          <w:marLeft w:val="105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60868">
          <w:marLeft w:val="105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06">
          <w:marLeft w:val="105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sfcr.cz/modules/calls/" TargetMode="External"/><Relationship Id="rId18" Type="http://schemas.openxmlformats.org/officeDocument/2006/relationships/hyperlink" Target="http://www.esfcr.cz/file/9021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ida.de/ida/SharedDocs/Flyer-Broschueren/2014_01_10_ida_erfahrungsbericht_de.pdf?__blob=publicationFile&amp;v=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forum.esfcr.cz/" TargetMode="External"/><Relationship Id="rId17" Type="http://schemas.openxmlformats.org/officeDocument/2006/relationships/hyperlink" Target="http://www.esfcr.cz/file/9020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esfcr.cz/file/9019/" TargetMode="External"/><Relationship Id="rId20" Type="http://schemas.openxmlformats.org/officeDocument/2006/relationships/hyperlink" Target="http://www.tln-mobility.e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va.kalinova@mpsv.cz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esfcr.cz/file/9003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mseu.mssf.cz" TargetMode="External"/><Relationship Id="rId19" Type="http://schemas.openxmlformats.org/officeDocument/2006/relationships/hyperlink" Target="http://www.esfcr.cz/file/902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sfcr.cz/file/9005/" TargetMode="External"/><Relationship Id="rId14" Type="http://schemas.openxmlformats.org/officeDocument/2006/relationships/hyperlink" Target="http://www.esfcr.cz/file/9002/" TargetMode="External"/><Relationship Id="rId22" Type="http://schemas.openxmlformats.org/officeDocument/2006/relationships/hyperlink" Target="http://www.ida.de/ida/SharedDocs/Flyer-Broschueren/2014_01_10_ida_erfahrungsbericht_engl.pdf?__blob=publicationFile&amp;v=5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UBLICITA\AGENTURA\REALIZACE_2015\grafik\&#344;&#237;dic&#237;_dokumentace\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24BA-6FF2-47E7-B2FC-12527024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71</TotalTime>
  <Pages>10</Pages>
  <Words>3792</Words>
  <Characters>22379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Murlová Kateřina Mgr.</dc:creator>
  <cp:lastModifiedBy>Kalinová Eva, Ing. (MPSV)</cp:lastModifiedBy>
  <cp:revision>11</cp:revision>
  <dcterms:created xsi:type="dcterms:W3CDTF">2015-05-20T07:59:00Z</dcterms:created>
  <dcterms:modified xsi:type="dcterms:W3CDTF">2015-05-21T09:03:00Z</dcterms:modified>
</cp:coreProperties>
</file>