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097B2E" w:rsidP="00097B2E" w:rsidRDefault="00097B2E">
      <w:pPr>
        <w:pStyle w:val="Zhlav"/>
        <w:jc w:val="center"/>
      </w:pPr>
      <w:bookmarkStart w:name="_GoBack" w:id="0"/>
      <w:bookmarkEnd w:id="0"/>
    </w:p>
    <w:p w:rsidRPr="0076066F" w:rsidR="004E3B61" w:rsidP="004E3B61" w:rsidRDefault="004E3B61">
      <w:pPr>
        <w:tabs>
          <w:tab w:val="right" w:pos="9057"/>
        </w:tabs>
        <w:spacing w:before="240" w:after="240"/>
        <w:rPr>
          <w:rFonts w:cs="Arial"/>
          <w:b/>
          <w:sz w:val="28"/>
          <w:szCs w:val="28"/>
        </w:rPr>
      </w:pPr>
      <w:r w:rsidRPr="0076066F">
        <w:rPr>
          <w:rFonts w:cs="Arial"/>
          <w:b/>
          <w:sz w:val="28"/>
          <w:szCs w:val="28"/>
        </w:rPr>
        <w:t>D</w:t>
      </w:r>
      <w:r>
        <w:rPr>
          <w:rFonts w:cs="Arial"/>
          <w:b/>
          <w:sz w:val="28"/>
          <w:szCs w:val="28"/>
        </w:rPr>
        <w:t xml:space="preserve">OHODA o provedení rekvalifikace v rámci </w:t>
      </w:r>
      <w:r w:rsidRPr="00E01299">
        <w:rPr>
          <w:rFonts w:cs="Arial"/>
          <w:b/>
          <w:sz w:val="28"/>
          <w:szCs w:val="28"/>
        </w:rPr>
        <w:t>OP LZZ</w:t>
      </w:r>
      <w:r>
        <w:rPr>
          <w:rFonts w:cs="Arial"/>
          <w:b/>
          <w:sz w:val="28"/>
          <w:szCs w:val="28"/>
        </w:rPr>
        <w:t xml:space="preserve"> </w:t>
      </w:r>
      <w:r w:rsidRPr="0076066F">
        <w:rPr>
          <w:rFonts w:cs="Arial"/>
          <w:b/>
          <w:sz w:val="28"/>
          <w:szCs w:val="28"/>
        </w:rPr>
        <w:t>č.</w:t>
      </w:r>
      <w:r>
        <w:rPr>
          <w:rFonts w:cs="Arial"/>
          <w:b/>
          <w:sz w:val="28"/>
          <w:szCs w:val="28"/>
        </w:rPr>
        <w:t xml:space="preserve">     </w:t>
      </w:r>
      <w:r>
        <w:rPr>
          <w:szCs w:val="20"/>
        </w:rPr>
        <w:t>/2014</w:t>
      </w:r>
    </w:p>
    <w:p w:rsidRPr="009947EB" w:rsidR="00097B2E" w:rsidP="00097B2E" w:rsidRDefault="00097B2E">
      <w:pPr>
        <w:tabs>
          <w:tab w:val="left" w:pos="1985"/>
          <w:tab w:val="right" w:pos="9057"/>
        </w:tabs>
        <w:spacing w:before="240" w:after="120"/>
        <w:rPr>
          <w:rFonts w:cs="Arial"/>
          <w:b/>
          <w:sz w:val="24"/>
        </w:rPr>
      </w:pPr>
      <w:r w:rsidRPr="009947EB">
        <w:rPr>
          <w:rFonts w:cs="Arial"/>
          <w:b/>
          <w:sz w:val="24"/>
        </w:rPr>
        <w:t>č. projektu:</w:t>
      </w:r>
      <w:r w:rsidRPr="009947EB">
        <w:rPr>
          <w:rFonts w:cs="Arial"/>
          <w:b/>
          <w:sz w:val="24"/>
        </w:rPr>
        <w:tab/>
      </w:r>
      <w:r w:rsidRPr="009947EB">
        <w:rPr>
          <w:b/>
          <w:sz w:val="24"/>
        </w:rPr>
        <w:t> </w:t>
      </w:r>
      <w:r w:rsidRPr="00144FAC">
        <w:rPr>
          <w:b/>
          <w:bCs/>
          <w:sz w:val="24"/>
        </w:rPr>
        <w:t>CZ.1</w:t>
      </w:r>
      <w:r>
        <w:rPr>
          <w:szCs w:val="20"/>
        </w:rPr>
        <w:t>.04/2.1.00/03.00017</w:t>
      </w:r>
    </w:p>
    <w:p w:rsidR="00097B2E" w:rsidP="00097B2E" w:rsidRDefault="00097B2E">
      <w:pPr>
        <w:pBdr>
          <w:top w:val="single" w:color="auto" w:sz="4" w:space="6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097B2E" w:rsidP="00097B2E" w:rsidRDefault="00097B2E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097B2E" w:rsidP="00097B2E" w:rsidRDefault="00097B2E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 w:rsidRPr="0034593B">
        <w:rPr>
          <w:szCs w:val="20"/>
        </w:rPr>
        <w:t>Česk</w:t>
      </w:r>
      <w:r>
        <w:rPr>
          <w:szCs w:val="20"/>
        </w:rPr>
        <w:t>á</w:t>
      </w:r>
      <w:r w:rsidRPr="0034593B">
        <w:rPr>
          <w:szCs w:val="20"/>
        </w:rPr>
        <w:t xml:space="preserve"> republik</w:t>
      </w:r>
      <w:r>
        <w:rPr>
          <w:szCs w:val="20"/>
        </w:rPr>
        <w:t>a</w:t>
      </w:r>
      <w:r w:rsidRPr="0034593B">
        <w:rPr>
          <w:szCs w:val="20"/>
        </w:rPr>
        <w:t xml:space="preserve"> - Úřad práce České republiky</w:t>
      </w:r>
    </w:p>
    <w:p w:rsidR="00097B2E" w:rsidP="00097B2E" w:rsidRDefault="00097B2E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Pr="00144FAC">
        <w:t>Dobrovského 1278</w:t>
      </w:r>
      <w:r>
        <w:rPr>
          <w:szCs w:val="20"/>
        </w:rPr>
        <w:t>/25, 170 00 Praha 7</w:t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Pr="00144FAC">
        <w:t xml:space="preserve">Ing. </w:t>
      </w:r>
      <w:r>
        <w:rPr>
          <w:szCs w:val="20"/>
        </w:rPr>
        <w:t>Bořivoj Novotný</w:t>
      </w:r>
      <w:r w:rsidRPr="00237097">
        <w:rPr>
          <w:rFonts w:cs="Arial"/>
          <w:szCs w:val="20"/>
        </w:rPr>
        <w:t xml:space="preserve">, </w:t>
      </w:r>
      <w:r w:rsidRPr="00144FAC">
        <w:t>vedoucí odd</w:t>
      </w:r>
      <w:r>
        <w:rPr>
          <w:szCs w:val="20"/>
        </w:rPr>
        <w:t xml:space="preserve">. zaměstnanosti </w:t>
      </w:r>
      <w:r w:rsidR="004E3B61">
        <w:rPr>
          <w:szCs w:val="20"/>
        </w:rPr>
        <w:t xml:space="preserve"> </w:t>
      </w:r>
      <w:r>
        <w:rPr>
          <w:szCs w:val="20"/>
        </w:rPr>
        <w:t>krajské pobočky v Olomouci</w:t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Pr="00144FAC">
        <w:t>Úřad práce</w:t>
      </w:r>
      <w:r>
        <w:rPr>
          <w:szCs w:val="20"/>
        </w:rPr>
        <w:t xml:space="preserve"> České republiky - krajská pobočka v Olomouci, Vejdovského č.p. 988/4, Hodolany, 779 00 Olomouc 9</w:t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Pr="00237097">
        <w:rPr>
          <w:rFonts w:cs="Arial"/>
          <w:szCs w:val="20"/>
        </w:rPr>
        <w:t>:</w:t>
      </w:r>
      <w:r w:rsidRPr="00237097">
        <w:rPr>
          <w:rFonts w:cs="Arial"/>
          <w:szCs w:val="20"/>
        </w:rPr>
        <w:tab/>
      </w:r>
      <w:r w:rsidRPr="00144FAC">
        <w:t>72496991</w:t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Pr="00144FAC">
        <w:t>37820811/0710</w:t>
      </w:r>
    </w:p>
    <w:p w:rsidRPr="00237097" w:rsidR="00097B2E" w:rsidP="00097B2E" w:rsidRDefault="00097B2E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„Úřad</w:t>
      </w:r>
      <w:r w:rsidRPr="00237097">
        <w:rPr>
          <w:rFonts w:cs="Arial"/>
          <w:szCs w:val="20"/>
        </w:rPr>
        <w:t xml:space="preserve">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097B2E" w:rsidP="00097B2E" w:rsidRDefault="00097B2E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rekvalifikační zařízení</w:t>
      </w:r>
      <w:r w:rsidRPr="00237097">
        <w:rPr>
          <w:rFonts w:cs="Arial"/>
          <w:szCs w:val="20"/>
        </w:rPr>
        <w:t>:</w:t>
      </w:r>
      <w:r w:rsidRPr="00237097">
        <w:rPr>
          <w:rFonts w:cs="Arial"/>
          <w:szCs w:val="20"/>
        </w:rPr>
        <w:tab/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Pr="00237097">
        <w:rPr>
          <w:rFonts w:cs="Arial"/>
          <w:szCs w:val="20"/>
        </w:rPr>
        <w:tab/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Pr="00237097">
        <w:rPr>
          <w:rFonts w:cs="Arial"/>
          <w:szCs w:val="20"/>
        </w:rPr>
        <w:t>:</w:t>
      </w:r>
      <w:r w:rsidRPr="00237097">
        <w:rPr>
          <w:rFonts w:cs="Arial"/>
          <w:szCs w:val="20"/>
        </w:rPr>
        <w:tab/>
      </w:r>
    </w:p>
    <w:p w:rsidRPr="00237097" w:rsidR="00097B2E" w:rsidP="00097B2E" w:rsidRDefault="00097B2E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</w:p>
    <w:p w:rsidRPr="009D748C" w:rsidR="00097B2E" w:rsidP="00097B2E" w:rsidRDefault="00097B2E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„rekvalifikační zařízení“</w:t>
      </w:r>
      <w:r w:rsidRPr="009D748C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097B2E" w:rsidP="00097B2E" w:rsidRDefault="00097B2E"/>
    <w:p w:rsidRPr="008053EC" w:rsidR="00097B2E" w:rsidP="00097B2E" w:rsidRDefault="00097B2E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097B2E" w:rsidP="00097B2E" w:rsidRDefault="00097B2E">
      <w:pPr>
        <w:pStyle w:val="Nadpislnku"/>
      </w:pPr>
      <w:r>
        <w:t>Účel dohody</w:t>
      </w:r>
    </w:p>
    <w:p w:rsidR="00097B2E" w:rsidP="00097B2E" w:rsidRDefault="00097B2E">
      <w:pPr>
        <w:rPr>
          <w:i/>
          <w:iCs/>
        </w:rPr>
      </w:pPr>
      <w:r>
        <w:t xml:space="preserve">Účelem dohody uzavírané podle § 108 zákona č. 435/2004 Sb., o zaměstnanosti, ve znění pozdějších předpisů </w:t>
      </w:r>
      <w:r w:rsidRPr="00F36DEA">
        <w:t>(dále jen „zákon o</w:t>
      </w:r>
      <w:r>
        <w:t> </w:t>
      </w:r>
      <w:r w:rsidRPr="00F36DEA">
        <w:t>zaměstnanosti“)</w:t>
      </w:r>
      <w:r>
        <w:t>, a podle vyhlášky č. 519/2004 Sb., o rekvalifikaci uchazečů o zaměstnání a zájemců o zaměstnání a o rekvalifikaci zaměstnanců, je úprava vzájemného vztahu mezi Úřadem práce a rekvalifikačním zařízením provádějícím rekvalifikaci uchazečů o zaměstnání a zájemců o zaměstnání (dále jen "účastníci rekvalifikace"). Náklady na rekvalifikaci jsou hrazeny z národního individuálního projektu č. </w:t>
      </w:r>
      <w:r w:rsidRPr="00144FAC">
        <w:t>CZ.1</w:t>
      </w:r>
      <w:r>
        <w:rPr>
          <w:szCs w:val="20"/>
        </w:rPr>
        <w:t>.04/2.1.00/03.00017</w:t>
      </w:r>
      <w:r>
        <w:t xml:space="preserve"> -</w:t>
      </w:r>
      <w:r>
        <w:rPr>
          <w:i/>
          <w:iCs/>
        </w:rPr>
        <w:t xml:space="preserve"> </w:t>
      </w:r>
      <w:r w:rsidRPr="00144FAC">
        <w:t>Vzdělávání a</w:t>
      </w:r>
      <w:r>
        <w:rPr>
          <w:szCs w:val="20"/>
        </w:rPr>
        <w:t xml:space="preserve"> dovednosti pro trh práce</w:t>
      </w:r>
      <w:r w:rsidRPr="00BA12A0">
        <w:rPr>
          <w:iCs/>
        </w:rPr>
        <w:t>, a to 85% z Evropského sociálního fondu a 15% ze státního rozpočtu ČR.</w:t>
      </w:r>
    </w:p>
    <w:p w:rsidRPr="008053EC" w:rsidR="00097B2E" w:rsidP="00097B2E" w:rsidRDefault="00097B2E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097B2E" w:rsidP="00097B2E" w:rsidRDefault="00097B2E">
      <w:pPr>
        <w:pStyle w:val="Nadpislnku"/>
      </w:pPr>
      <w:r>
        <w:lastRenderedPageBreak/>
        <w:t>Předmět dohody</w:t>
      </w:r>
    </w:p>
    <w:p w:rsidR="00097B2E" w:rsidP="00097B2E" w:rsidRDefault="00097B2E">
      <w:pPr>
        <w:pStyle w:val="BoddohodyII"/>
      </w:pPr>
      <w:r w:rsidRPr="00924B3C">
        <w:t>Předmětem dohody je zabezpečení rekvalifikace</w:t>
      </w:r>
      <w:r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</w:p>
    <w:p w:rsidRPr="00414003" w:rsidR="00097B2E" w:rsidP="00097B2E" w:rsidRDefault="00097B2E">
      <w:pPr>
        <w:pStyle w:val="BoddohodyII"/>
      </w:pPr>
      <w:r w:rsidRPr="00924B3C">
        <w:t>Rekvalifikace se uskuteční</w:t>
      </w:r>
      <w:r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</w:p>
    <w:p w:rsidR="00097B2E" w:rsidP="00097B2E" w:rsidRDefault="00097B2E">
      <w:pPr>
        <w:pStyle w:val="BoddohodyII"/>
      </w:pPr>
      <w:r w:rsidRPr="00577EED">
        <w:t>Základní kvalifikační předpoklady potřebné pro zařazení</w:t>
      </w:r>
      <w:r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</w:p>
    <w:p w:rsidR="00097B2E" w:rsidP="00097B2E" w:rsidRDefault="00097B2E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Pr="00FE0A22">
        <w:br/>
        <w:t>z toho:</w:t>
      </w:r>
      <w:r>
        <w:tab/>
        <w:t>- teoretická příprava:</w:t>
      </w:r>
      <w:r>
        <w:tab/>
      </w:r>
      <w:r>
        <w:br/>
      </w:r>
      <w:r>
        <w:tab/>
        <w:t>- praktická příprava:</w:t>
      </w:r>
      <w:r>
        <w:tab/>
      </w:r>
      <w:r>
        <w:br/>
      </w:r>
      <w:r>
        <w:tab/>
        <w:t xml:space="preserve">- </w:t>
      </w:r>
      <w:r w:rsidRPr="00FE0A22">
        <w:t>ověření získaných znalostí</w:t>
      </w:r>
      <w:r>
        <w:t xml:space="preserve"> a </w:t>
      </w:r>
      <w:r w:rsidRPr="00FE0A22">
        <w:t>dovedností:</w:t>
      </w:r>
      <w:r>
        <w:tab/>
      </w:r>
      <w:r>
        <w:br/>
      </w:r>
      <w:r w:rsidRPr="00FE0A22">
        <w:t>Forma konání přípravy:</w:t>
      </w:r>
      <w:r>
        <w:t xml:space="preserve"> </w:t>
      </w:r>
      <w:r w:rsidRPr="00144FAC">
        <w:t>Určené dny</w:t>
      </w:r>
      <w:r>
        <w:rPr>
          <w:szCs w:val="20"/>
        </w:rPr>
        <w:t xml:space="preserve"> v týdnu. Prezenční forma.</w:t>
      </w:r>
    </w:p>
    <w:p w:rsidR="00097B2E" w:rsidP="00097B2E" w:rsidRDefault="00097B2E">
      <w:pPr>
        <w:pStyle w:val="BoddohodyII"/>
      </w:pPr>
      <w:r w:rsidRPr="007E14A1">
        <w:t>Místo konání</w:t>
      </w:r>
      <w:r>
        <w:t xml:space="preserve"> rekvalifikace</w:t>
      </w:r>
      <w:r w:rsidRPr="007E14A1">
        <w:t>:</w:t>
      </w:r>
      <w:r>
        <w:t xml:space="preserve"> </w:t>
      </w:r>
      <w:r>
        <w:tab/>
      </w:r>
      <w:r>
        <w:br/>
        <w:t xml:space="preserve">                                        , </w:t>
      </w:r>
      <w:r w:rsidRPr="007E14A1">
        <w:t>případně další místa určená rekvalifikačním zařízením.</w:t>
      </w:r>
    </w:p>
    <w:p w:rsidRPr="007E14A1" w:rsidR="00097B2E" w:rsidP="00097B2E" w:rsidRDefault="00097B2E">
      <w:pPr>
        <w:pStyle w:val="BoddohodyII"/>
        <w:tabs>
          <w:tab w:val="left" w:pos="2880"/>
          <w:tab w:val="right" w:pos="6120"/>
          <w:tab w:val="left" w:pos="6660"/>
        </w:tabs>
      </w:pPr>
      <w:r w:rsidRPr="007E14A1">
        <w:t>Doba rekvalifikace:</w:t>
      </w:r>
      <w:r>
        <w:tab/>
        <w:t>zahájení</w:t>
      </w:r>
      <w:r>
        <w:tab/>
      </w:r>
      <w:r w:rsidRPr="00812B7A">
        <w:tab/>
      </w:r>
      <w:r>
        <w:t xml:space="preserve"> </w:t>
      </w:r>
      <w:r>
        <w:br/>
      </w:r>
      <w:r>
        <w:tab/>
        <w:t>ukončení</w:t>
      </w:r>
      <w:r>
        <w:tab/>
      </w:r>
    </w:p>
    <w:p w:rsidR="00097B2E" w:rsidP="00097B2E" w:rsidRDefault="00097B2E">
      <w:pPr>
        <w:pStyle w:val="BoddohodyII"/>
      </w:pPr>
      <w:r w:rsidRPr="00357A76">
        <w:t>Způsob ověření získaných znalostí</w:t>
      </w:r>
      <w:r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Pr="00144FAC">
        <w:t>Závěrečná zkouška</w:t>
      </w:r>
      <w:r>
        <w:rPr>
          <w:szCs w:val="20"/>
        </w:rPr>
        <w:t xml:space="preserve"> </w:t>
      </w:r>
      <w:r>
        <w:tab/>
      </w:r>
      <w:r>
        <w:br/>
        <w:t>Výstupní doklad:</w:t>
      </w:r>
      <w:r>
        <w:tab/>
      </w:r>
      <w:r>
        <w:br/>
      </w:r>
    </w:p>
    <w:p w:rsidR="00097B2E" w:rsidP="00097B2E" w:rsidRDefault="00097B2E">
      <w:pPr>
        <w:pStyle w:val="BoddohodyII"/>
      </w:pPr>
      <w:r w:rsidRPr="0060377A">
        <w:t>Účastníci rekvalifikace:</w:t>
      </w:r>
    </w:p>
    <w:p w:rsidRPr="002C2FC5" w:rsidR="00097B2E" w:rsidP="00097B2E" w:rsidRDefault="00097B2E">
      <w:pPr>
        <w:numPr>
          <w:ilvl w:val="0"/>
          <w:numId w:val="2"/>
        </w:numPr>
        <w:tabs>
          <w:tab w:val="clear" w:pos="1429"/>
          <w:tab w:val="num" w:pos="1080"/>
          <w:tab w:val="left" w:pos="2520"/>
        </w:tabs>
        <w:spacing w:after="0" w:line="240" w:lineRule="auto"/>
        <w:ind w:left="1080" w:hanging="371"/>
        <w:jc w:val="both"/>
      </w:pPr>
      <w:r w:rsidRPr="0060377A">
        <w:t>počet celkem:</w:t>
      </w:r>
      <w:r>
        <w:tab/>
      </w:r>
    </w:p>
    <w:p w:rsidR="00097B2E" w:rsidP="00097B2E" w:rsidRDefault="00097B2E">
      <w:pPr>
        <w:numPr>
          <w:ilvl w:val="0"/>
          <w:numId w:val="2"/>
        </w:numPr>
        <w:tabs>
          <w:tab w:val="clear" w:pos="1429"/>
          <w:tab w:val="num" w:pos="1080"/>
          <w:tab w:val="left" w:pos="2340"/>
        </w:tabs>
        <w:spacing w:after="0" w:line="240" w:lineRule="auto"/>
        <w:ind w:left="1080" w:hanging="371"/>
        <w:jc w:val="both"/>
      </w:pPr>
      <w:r w:rsidRPr="0060377A">
        <w:t xml:space="preserve">jmenný seznam: </w:t>
      </w:r>
    </w:p>
    <w:p w:rsidRPr="00577EED" w:rsidR="00097B2E" w:rsidP="00097B2E" w:rsidRDefault="00097B2E">
      <w:pPr>
        <w:pStyle w:val="BoddohodyII"/>
      </w:pPr>
      <w:r w:rsidRPr="00B45338">
        <w:t>Náklady rekvalifikace</w:t>
      </w:r>
      <w:r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>
        <w:t xml:space="preserve"> </w:t>
      </w:r>
      <w:r>
        <w:tab/>
      </w:r>
      <w:r>
        <w:br/>
      </w:r>
      <w:r w:rsidRPr="00607BE0">
        <w:t>Celkové náklady rekvalifikace:</w:t>
      </w:r>
      <w:r>
        <w:t xml:space="preserve"> </w:t>
      </w:r>
      <w:r>
        <w:tab/>
      </w:r>
      <w:r>
        <w:br/>
        <w:t>do výše</w:t>
      </w:r>
      <w:r w:rsidRPr="00607BE0">
        <w:rPr>
          <w:b/>
        </w:rPr>
        <w:tab/>
      </w:r>
      <w:r>
        <w:rPr>
          <w:b/>
        </w:rPr>
        <w:t xml:space="preserve"> </w:t>
      </w:r>
    </w:p>
    <w:p w:rsidRPr="008053EC" w:rsidR="00097B2E" w:rsidP="00097B2E" w:rsidRDefault="00097B2E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097B2E" w:rsidP="00097B2E" w:rsidRDefault="00097B2E">
      <w:pPr>
        <w:pStyle w:val="Nadpislnku"/>
      </w:pPr>
      <w:r w:rsidRPr="009065DC">
        <w:t>Rekvalifikační zařízení se zavazuje</w:t>
      </w:r>
    </w:p>
    <w:p w:rsidR="00097B2E" w:rsidP="00097B2E" w:rsidRDefault="00097B2E">
      <w:pPr>
        <w:pStyle w:val="BoddohodyIII"/>
      </w:pPr>
      <w:r>
        <w:t>Provést rekvalifikaci v plném rozsahu podle článku II. dohody.</w:t>
      </w:r>
    </w:p>
    <w:p w:rsidR="00097B2E" w:rsidP="00097B2E" w:rsidRDefault="00097B2E">
      <w:pPr>
        <w:pStyle w:val="BoddohodyIII"/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pokud to charakter praktické přípravy vyžaduje.</w:t>
      </w:r>
    </w:p>
    <w:p w:rsidR="00097B2E" w:rsidP="00097B2E" w:rsidRDefault="00097B2E">
      <w:pPr>
        <w:pStyle w:val="BoddohodyIII"/>
      </w:pPr>
      <w:r>
        <w:t>Uzavřít pojištění pro případ své odpovědnosti za škodu na </w:t>
      </w:r>
      <w:r w:rsidRPr="00987778">
        <w:t>zdraví účastníků rekvalifikace</w:t>
      </w:r>
      <w:r>
        <w:t xml:space="preserve"> způsobenou při rekvalifikaci.</w:t>
      </w:r>
    </w:p>
    <w:p w:rsidR="00097B2E" w:rsidP="00097B2E" w:rsidRDefault="00097B2E">
      <w:pPr>
        <w:pStyle w:val="BoddohodyIII"/>
      </w:pPr>
      <w:r>
        <w:t>V průběhu rekvalifikace zajistit prokazatelnou denní evidenci: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docházky účastníků rekvalifikace,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prováděné rekvalifikace minimálně v rozsahu: datum, téma, hodina začátku a konce, počet hodin, jméno osoby provádějící přípravu či ověření získaných znalostí a dovedností.</w:t>
      </w:r>
    </w:p>
    <w:p w:rsidR="00097B2E" w:rsidP="00097B2E" w:rsidRDefault="00097B2E">
      <w:pPr>
        <w:pStyle w:val="BoddohodyIII"/>
      </w:pPr>
      <w:r>
        <w:t>Neprodleně, písemně nejpozději do 8 kalendářních dnů, písemně informovat Úřad práce, pokud: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účastník rekvalifikace nenastoupí na rekvalifikaci,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účastník rekvalifikace neplní stanovené studijní a výcvikové povinnosti,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účastník rekvalifikace porušuje předpisy či řády rekvalifikačního zařízení,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nastanou další závažné skutečnosti, zejména překážky v rekvalifikaci,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se účastník rekvalifikace nepodrobí závěrečnému ověření získaných znalostí a dovedností.</w:t>
      </w:r>
    </w:p>
    <w:p w:rsidR="00097B2E" w:rsidP="00097B2E" w:rsidRDefault="00097B2E">
      <w:pPr>
        <w:pStyle w:val="BoddohodyIII"/>
        <w:numPr>
          <w:ilvl w:val="0"/>
          <w:numId w:val="0"/>
        </w:numPr>
        <w:ind w:left="709"/>
      </w:pPr>
      <w:r>
        <w:lastRenderedPageBreak/>
        <w:t>Poslední pracovní den kalendářního měsíce, pokud rekvalifikace probíhá, informovat Úřad práce o přítomnosti účastníků rekvalifikace.</w:t>
      </w:r>
    </w:p>
    <w:p w:rsidR="00097B2E" w:rsidP="00097B2E" w:rsidRDefault="00097B2E">
      <w:pPr>
        <w:pStyle w:val="BoddohodyIII"/>
      </w:pPr>
      <w:r>
        <w:t>Neprodleně, písemně nejpozději do 8 kalendářních dnů, písemně informovat Úřad práce, pokud vzniknou překážky, které znemožní pokračování rekvalifikace.</w:t>
      </w:r>
    </w:p>
    <w:p w:rsidR="00097B2E" w:rsidP="00097B2E" w:rsidRDefault="00097B2E">
      <w:pPr>
        <w:pStyle w:val="BoddohodyIII"/>
      </w:pPr>
      <w:r>
        <w:t>Předložit Úřadu práce písemný návrh na vypovězení dohody o rekvalifikaci s účastníkem rekvalifikace, který neplní studijní a výcvikové povinnosti nebo porušuje předpisy a řády rekvalifikačního zařízení.</w:t>
      </w:r>
    </w:p>
    <w:p w:rsidR="00097B2E" w:rsidP="00097B2E" w:rsidRDefault="00097B2E">
      <w:pPr>
        <w:pStyle w:val="BoddohodyIII"/>
      </w:pPr>
      <w:r>
        <w:t>Po ukončení rekvalifikace zaslat Úřadu práce závěrečný protokol, který bude minimálně obsahovat: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seznam účastníků rekvalifikace, kteří úspěšně ukončili rekvalifikaci</w:t>
      </w:r>
      <w:r w:rsidRPr="00283727">
        <w:t xml:space="preserve"> </w:t>
      </w:r>
      <w:r w:rsidRPr="00747A6A">
        <w:t>a obdrželi doklad o jejím absolvování, a vzor dokladu,</w:t>
      </w:r>
    </w:p>
    <w:p w:rsidR="00097B2E" w:rsidP="00097B2E" w:rsidRDefault="00097B2E">
      <w:pPr>
        <w:numPr>
          <w:ilvl w:val="1"/>
          <w:numId w:val="3"/>
        </w:numPr>
        <w:spacing w:after="0" w:line="240" w:lineRule="auto"/>
        <w:jc w:val="both"/>
      </w:pPr>
      <w:r>
        <w:t>informaci o absolvované části rekvalifikace účastníky rekvalifikace, kteří rekvalifikaci nedokončili nebo ukončili neúspěšně.</w:t>
      </w:r>
    </w:p>
    <w:p w:rsidR="00097B2E" w:rsidP="00097B2E" w:rsidRDefault="00097B2E">
      <w:pPr>
        <w:pStyle w:val="BoddohodyIII"/>
      </w:pPr>
      <w:r w:rsidRPr="00F27380">
        <w:t>V souladu</w:t>
      </w:r>
      <w:r>
        <w:t xml:space="preserve"> s </w:t>
      </w:r>
      <w:r w:rsidRPr="00F27380">
        <w:t>body II.8</w:t>
      </w:r>
      <w:r>
        <w:t xml:space="preserve"> a </w:t>
      </w:r>
      <w:r w:rsidRPr="00F27380">
        <w:t xml:space="preserve">II.9 dohody fakturovat </w:t>
      </w:r>
      <w:r>
        <w:t>Úřad</w:t>
      </w:r>
      <w:r w:rsidRPr="00F27380">
        <w:t>u práce náklady</w:t>
      </w:r>
      <w:r>
        <w:t xml:space="preserve"> na </w:t>
      </w:r>
      <w:r w:rsidRPr="00F27380">
        <w:t>rekvalifikaci účastníků rekvalifikace, kteří</w:t>
      </w:r>
      <w:r>
        <w:t xml:space="preserve"> do </w:t>
      </w:r>
      <w:r w:rsidRPr="00F27380">
        <w:t>rekvalifikace skutečně nastoupí.</w:t>
      </w:r>
      <w:r>
        <w:t xml:space="preserve"> V </w:t>
      </w:r>
      <w:r w:rsidRPr="00F27380">
        <w:t xml:space="preserve">případě, že účastník rekvalifikace nedokončí rekvalifikaci, fakturovat </w:t>
      </w:r>
      <w:r>
        <w:t>Úřad</w:t>
      </w:r>
      <w:r w:rsidRPr="00F27380">
        <w:t>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Pr="00144FAC">
        <w:t>provést do 14 dnů</w:t>
      </w:r>
      <w:r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</w:r>
      <w:r w:rsidRPr="00F27380">
        <w:t>Lhůta splatnosti faktur bude stanovena minimálně 21</w:t>
      </w:r>
      <w:r>
        <w:t> kalendářních dnů</w:t>
      </w:r>
      <w:r w:rsidRPr="00F27380">
        <w:t>.</w:t>
      </w:r>
    </w:p>
    <w:p w:rsidR="00097B2E" w:rsidP="00097B2E" w:rsidRDefault="00097B2E">
      <w:pPr>
        <w:pStyle w:val="BoddohodyIII"/>
      </w:pPr>
      <w:r>
        <w:t xml:space="preserve">Vrátit poskytnuté finanční prostředky nebo jejich část, pokud nedodrží sjednané podmínky, nebo pokud mu jeho zaviněním byly poskytnuty neprávem nebo ve vyšší částce než náležely [§ 108 odst. 7 písm. i) </w:t>
      </w:r>
      <w:r w:rsidRPr="00303AEA">
        <w:t>zákona o zaměstnanosti</w:t>
      </w:r>
      <w:r>
        <w:t>]. Vrácení bude provedeno ve lhůtě a způsobem stanoveným ve výzvě Úřadu práce.</w:t>
      </w:r>
    </w:p>
    <w:p w:rsidR="00097B2E" w:rsidP="00097B2E" w:rsidRDefault="00097B2E">
      <w:pPr>
        <w:pStyle w:val="BoddohodyIII"/>
      </w:pPr>
      <w:r>
        <w:t>Umožnit zaměstnancům Úřadu práce kontrolu dodržování sjednaných podmínek pro rekvalifikaci, včetně účasti na ověření získaných znalostí a dovedností. Náklady na rekvalifikaci jsou hrazeny z prostředků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>1260/1999 a v souladu s dalšími právními 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Pr="00B72505" w:rsidR="00097B2E" w:rsidP="00097B2E" w:rsidRDefault="00097B2E">
      <w:pPr>
        <w:pStyle w:val="BoddohodyIII"/>
      </w:pPr>
      <w:r w:rsidRPr="00B72505">
        <w:t xml:space="preserve">V případě, že kontrolu provede jiný orgán kontroly než </w:t>
      </w:r>
      <w:r>
        <w:t>Úřad</w:t>
      </w:r>
      <w:r w:rsidRPr="00B72505">
        <w:t xml:space="preserve"> </w:t>
      </w:r>
      <w:r w:rsidRPr="000F5FE4">
        <w:t>práce, rekvalifikační zařízení bude bez</w:t>
      </w:r>
      <w:r w:rsidRPr="00B72505">
        <w:t xml:space="preserve"> zbytečného odkladu písemně informovat </w:t>
      </w:r>
      <w:r>
        <w:t>Úřad</w:t>
      </w:r>
      <w:r w:rsidRPr="00B72505">
        <w:t xml:space="preserve"> práce o opatřeních k nápravě, která mu byla uložena, a o realizaci opatření k nápravě.</w:t>
      </w:r>
    </w:p>
    <w:p w:rsidR="00097B2E" w:rsidP="00097B2E" w:rsidRDefault="00097B2E">
      <w:pPr>
        <w:pStyle w:val="BoddohodyIII"/>
      </w:pPr>
      <w:r>
        <w:t>Používat údaje o účastnících rekvalifikace poskytnuté Úřadem práce v souladu se zákonem č. 101/2000 Sb., o ochraně osobních údajů, ve znění pozdějších předpisů.</w:t>
      </w:r>
    </w:p>
    <w:p w:rsidRPr="008053EC" w:rsidR="00097B2E" w:rsidP="00097B2E" w:rsidRDefault="00097B2E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V</w:t>
      </w:r>
    </w:p>
    <w:p w:rsidR="00097B2E" w:rsidP="00097B2E" w:rsidRDefault="00097B2E">
      <w:pPr>
        <w:pStyle w:val="Nadpislnku"/>
      </w:pPr>
      <w:r>
        <w:t>Úřad</w:t>
      </w:r>
      <w:r w:rsidRPr="00477DE9">
        <w:t xml:space="preserve"> práce</w:t>
      </w:r>
      <w:r w:rsidRPr="009065DC">
        <w:t xml:space="preserve"> se zavazuje</w:t>
      </w:r>
    </w:p>
    <w:p w:rsidR="00097B2E" w:rsidP="00097B2E" w:rsidRDefault="00097B2E">
      <w:pPr>
        <w:pStyle w:val="BoddohodyIV"/>
        <w:numPr>
          <w:ilvl w:val="0"/>
          <w:numId w:val="6"/>
        </w:numPr>
      </w:pPr>
      <w:r>
        <w:t>Provést výběr účastníků rekvalifikace v souladu se základními kvalifikačními předpoklady podle bodu II.3 dohody a předat přílohu č. 1 “</w:t>
      </w:r>
      <w:r w:rsidRPr="00AC5202">
        <w:t>Seznam účastníků rekvalifikace</w:t>
      </w:r>
      <w:r>
        <w:t>“, který je součástí této dohody rekvalifikačnímu zařízení nejpozději v den zahájení rekvalifikace.</w:t>
      </w:r>
    </w:p>
    <w:p w:rsidR="00097B2E" w:rsidP="00097B2E" w:rsidRDefault="00097B2E">
      <w:pPr>
        <w:pStyle w:val="BoddohodyIV"/>
        <w:numPr>
          <w:ilvl w:val="0"/>
          <w:numId w:val="6"/>
        </w:numPr>
      </w:pPr>
      <w:r w:rsidRPr="0057298F">
        <w:t>Uhradit</w:t>
      </w:r>
      <w:r>
        <w:t xml:space="preserve"> na </w:t>
      </w:r>
      <w:r w:rsidRPr="0057298F">
        <w:t>základě předložených faktur náklady rekvalifikace</w:t>
      </w:r>
      <w:r>
        <w:t xml:space="preserve"> ve </w:t>
      </w:r>
      <w:r w:rsidRPr="0057298F">
        <w:t>výši</w:t>
      </w:r>
      <w:r>
        <w:t xml:space="preserve"> a </w:t>
      </w:r>
      <w:r w:rsidRPr="0057298F">
        <w:t>způsobem dohodnutým</w:t>
      </w:r>
      <w:r>
        <w:t xml:space="preserve"> v bodě III.9</w:t>
      </w:r>
      <w:r w:rsidRPr="0057298F">
        <w:t xml:space="preserve"> dohody. Konečnou fakturu uhradit</w:t>
      </w:r>
      <w:r>
        <w:t xml:space="preserve"> po </w:t>
      </w:r>
      <w:r w:rsidRPr="0057298F">
        <w:t>předložení závěrečného protokolu podle</w:t>
      </w:r>
      <w:r>
        <w:t xml:space="preserve"> bodu III.8</w:t>
      </w:r>
      <w:r w:rsidRPr="0057298F">
        <w:t xml:space="preserve"> dohody. Úhradu provést</w:t>
      </w:r>
      <w:r>
        <w:t xml:space="preserve"> na </w:t>
      </w:r>
      <w:r w:rsidRPr="0057298F">
        <w:t>účet rekvalifikačního zařízení.</w:t>
      </w:r>
    </w:p>
    <w:p w:rsidRPr="008053EC" w:rsidR="00097B2E" w:rsidP="00097B2E" w:rsidRDefault="00097B2E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Pr="002C546C" w:rsidR="00097B2E" w:rsidP="00097B2E" w:rsidRDefault="00097B2E">
      <w:pPr>
        <w:pStyle w:val="Nadpislnku"/>
      </w:pPr>
      <w:r w:rsidRPr="002C546C">
        <w:t>Všeobecná ustanovení</w:t>
      </w:r>
    </w:p>
    <w:p w:rsidR="00097B2E" w:rsidP="00097B2E" w:rsidRDefault="00097B2E">
      <w:pPr>
        <w:pStyle w:val="BoddohodyV"/>
      </w:pPr>
      <w:r>
        <w:lastRenderedPageBreak/>
        <w:t>Rekvalifikační zařízení je povinno spolupracovat s Úřadem práce na zajištění publicity ESF.</w:t>
      </w:r>
    </w:p>
    <w:p w:rsidR="00097B2E" w:rsidP="00097B2E" w:rsidRDefault="00097B2E">
      <w:pPr>
        <w:pStyle w:val="BoddohodyV"/>
      </w:pPr>
      <w:r w:rsidRPr="00D26FF4">
        <w:t>Rekvalifikační zařízení souhlasí</w:t>
      </w:r>
      <w:r w:rsidRPr="00B72505">
        <w:t xml:space="preserve"> s využíváním údajů v informačních systémech týkajících se příjemců příspěvku pro účely administrace prostředků z rozpočtu EU a souhlasí se svým začleněním na veřejně přístupný seznam příjemců, na kterém budou zveřejněny údaje o příjemci příspěvku v rozsahu stanoveném Manuálem pro publicitu, který je k dispozici na </w:t>
      </w:r>
      <w:hyperlink w:history="true" r:id="rId9">
        <w:r w:rsidRPr="00B72505">
          <w:rPr>
            <w:rStyle w:val="Hypertextovodkaz"/>
          </w:rPr>
          <w:t>www.esfcr.cz</w:t>
        </w:r>
      </w:hyperlink>
      <w:r w:rsidRPr="00B72505">
        <w:t>.</w:t>
      </w:r>
    </w:p>
    <w:p w:rsidRPr="00B72505" w:rsidR="00097B2E" w:rsidP="00097B2E" w:rsidRDefault="00097B2E">
      <w:pPr>
        <w:pStyle w:val="BoddohodyV"/>
      </w:pPr>
      <w:r w:rsidRPr="00B72505">
        <w:t xml:space="preserve">Rekvalifikační </w:t>
      </w:r>
      <w:r w:rsidRPr="00951B45">
        <w:t>zařízení poskytne</w:t>
      </w:r>
      <w:r w:rsidRPr="00B72505">
        <w:t xml:space="preserve"> písemně </w:t>
      </w:r>
      <w:r>
        <w:t>Úřad</w:t>
      </w:r>
      <w:r w:rsidRPr="00B72505">
        <w:t xml:space="preserve">u práce na jeho žádost jakékoliv doplňující informace související s poskytnutím příspěvku, a to ve lhůtě stanovené </w:t>
      </w:r>
      <w:r>
        <w:t>Úřad</w:t>
      </w:r>
      <w:r w:rsidRPr="00B72505">
        <w:t>em práce.</w:t>
      </w:r>
    </w:p>
    <w:p w:rsidR="00097B2E" w:rsidP="00097B2E" w:rsidRDefault="00097B2E">
      <w:pPr>
        <w:pStyle w:val="BoddohodyV"/>
      </w:pPr>
      <w:r>
        <w:t>Změny této dohody budou učiněny jen se souhlasem obou smluvních stran písemným dodatkem k dohodě.</w:t>
      </w:r>
    </w:p>
    <w:p w:rsidR="00097B2E" w:rsidP="00097B2E" w:rsidRDefault="00097B2E">
      <w:pPr>
        <w:pStyle w:val="BoddohodyV"/>
      </w:pPr>
      <w:r>
        <w:t>V případě zániku některé ze smluvních stran přecházejí její práva a povinnosti vyplývající z dohody na jejího právního nástupce.</w:t>
      </w:r>
    </w:p>
    <w:p w:rsidRPr="00951B45" w:rsidR="00097B2E" w:rsidP="00097B2E" w:rsidRDefault="00097B2E">
      <w:pPr>
        <w:pStyle w:val="BoddohodyV"/>
      </w:pPr>
      <w:r w:rsidRPr="00951B45">
        <w:t>Součástí dohody je příloha č. 1 „Seznam účastníků rekvalifikace“.</w:t>
      </w:r>
    </w:p>
    <w:p w:rsidR="00097B2E" w:rsidP="00097B2E" w:rsidRDefault="00097B2E">
      <w:pPr>
        <w:pStyle w:val="BoddohodyV"/>
      </w:pPr>
      <w:r w:rsidRPr="00944B1C">
        <w:t xml:space="preserve">Smluvní strany si vyhrazují právo </w:t>
      </w:r>
      <w:r>
        <w:t xml:space="preserve">okamžitě </w:t>
      </w:r>
      <w:r w:rsidRPr="00944B1C">
        <w:t xml:space="preserve">vypovědět dohodu v případě vzniku překážky, která znemožňuje dokončení rekvalifikace. Dohoda skončí posledním dnem kalendářního měsíce, ve kterém byla výpověď doručena </w:t>
      </w:r>
      <w:r>
        <w:t>Úřad</w:t>
      </w:r>
      <w:r w:rsidRPr="00944B1C">
        <w:t>u práce nebo rekvalifikačnímu zařízení. Součástí výpovědi bude návrh na vyrovnání finančních závazků.</w:t>
      </w:r>
    </w:p>
    <w:p w:rsidRPr="000E6E96" w:rsidR="00097B2E" w:rsidP="00097B2E" w:rsidRDefault="00097B2E">
      <w:pPr>
        <w:pStyle w:val="BoddohodyV"/>
      </w:pPr>
      <w:r w:rsidRPr="000E6E96">
        <w:t>Smluvní strany mají informační povinnost podle platného Manuálu pro publicitu Operačního programu Lidské zdroje a zaměstnanost 2007-2013, identifikační číslo: MAD 94, příloha OM OP LZZ: D4 (ke stažení z </w:t>
      </w:r>
      <w:hyperlink w:history="true" r:id="rId10">
        <w:r w:rsidRPr="000E6E96">
          <w:rPr>
            <w:rStyle w:val="Hypertextovodkaz"/>
          </w:rPr>
          <w:t>www.esfcr.cz</w:t>
        </w:r>
      </w:hyperlink>
      <w:r w:rsidRPr="000E6E96">
        <w:t>), tj. loga ESF, EU a OP LZZ a prohlášení „Podporujeme Vaši budoucnost“.</w:t>
      </w:r>
    </w:p>
    <w:p w:rsidR="00097B2E" w:rsidP="00097B2E" w:rsidRDefault="00097B2E">
      <w:pPr>
        <w:pStyle w:val="BoddohodyV"/>
        <w:rPr>
          <w:b/>
        </w:rPr>
      </w:pPr>
      <w:r>
        <w:t>Dohoda nabývá platnosti podpisem obou smluvních stran. Je sepsána ve dvou vyhotoveních, z nichž jedno obdrží rekvalifikační zařízení a jedno Úřad práce.</w:t>
      </w:r>
    </w:p>
    <w:p w:rsidRPr="00AC2986" w:rsidR="00097B2E" w:rsidP="00097B2E" w:rsidRDefault="00097B2E">
      <w:pPr>
        <w:pStyle w:val="lnek"/>
        <w:rPr>
          <w:szCs w:val="20"/>
        </w:rPr>
      </w:pPr>
      <w:r w:rsidRPr="00AC2986">
        <w:rPr>
          <w:szCs w:val="20"/>
        </w:rPr>
        <w:t>Článek V</w:t>
      </w:r>
      <w:r>
        <w:rPr>
          <w:szCs w:val="20"/>
        </w:rPr>
        <w:t>I</w:t>
      </w:r>
    </w:p>
    <w:p w:rsidRPr="00AC2986" w:rsidR="00097B2E" w:rsidP="00097B2E" w:rsidRDefault="00097B2E">
      <w:pPr>
        <w:pStyle w:val="Nadpislnku"/>
      </w:pPr>
      <w:r>
        <w:t>Další ujednání</w:t>
      </w:r>
    </w:p>
    <w:p w:rsidRPr="0042585F" w:rsidR="00097B2E" w:rsidP="00097B2E" w:rsidRDefault="00097B2E">
      <w:r w:rsidRPr="00607BE0">
        <w:rPr>
          <w:b/>
        </w:rPr>
        <w:tab/>
      </w:r>
    </w:p>
    <w:p w:rsidR="00097B2E" w:rsidP="00097B2E" w:rsidRDefault="00097B2E">
      <w:pPr>
        <w:rPr>
          <w:b/>
        </w:rPr>
      </w:pPr>
    </w:p>
    <w:p w:rsidR="00097B2E" w:rsidP="00097B2E" w:rsidRDefault="00097B2E"/>
    <w:p w:rsidR="00097B2E" w:rsidP="00097B2E" w:rsidRDefault="00097B2E">
      <w:r w:rsidRPr="00144FAC">
        <w:t>Úřad práce</w:t>
      </w:r>
      <w:r>
        <w:rPr>
          <w:szCs w:val="20"/>
        </w:rPr>
        <w:t xml:space="preserve"> České republiky</w:t>
      </w:r>
      <w:r>
        <w:t xml:space="preserve"> dne </w:t>
      </w:r>
    </w:p>
    <w:p w:rsidR="00097B2E" w:rsidP="00097B2E" w:rsidRDefault="00097B2E">
      <w:pPr>
        <w:keepNext/>
        <w:keepLines/>
        <w:jc w:val="center"/>
        <w:rPr>
          <w:rFonts w:cs="Arial"/>
          <w:szCs w:val="20"/>
        </w:rPr>
        <w:sectPr w:rsidR="00097B2E" w:rsidSect="00D332E2">
          <w:footerReference w:type="default" r:id="rId11"/>
          <w:headerReference w:type="first" r:id="rId12"/>
          <w:footerReference w:type="first" r:id="rId13"/>
          <w:pgSz w:w="11906" w:h="16838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:rsidRPr="008F1A38" w:rsidR="00097B2E" w:rsidP="00097B2E" w:rsidRDefault="00097B2E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Pr="008F1A38" w:rsidR="00097B2E" w:rsidP="00097B2E" w:rsidRDefault="00097B2E">
      <w:pPr>
        <w:keepNext/>
        <w:keepLines/>
        <w:jc w:val="center"/>
        <w:rPr>
          <w:rFonts w:cs="Arial"/>
          <w:szCs w:val="20"/>
        </w:rPr>
      </w:pPr>
      <w:r>
        <w:rPr>
          <w:szCs w:val="20"/>
        </w:rPr>
        <w:tab/>
      </w:r>
      <w:r>
        <w:rPr>
          <w:szCs w:val="20"/>
        </w:rPr>
        <w:br/>
      </w:r>
    </w:p>
    <w:p w:rsidR="00097B2E" w:rsidP="00097B2E" w:rsidRDefault="00097B2E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97B2E" w:rsidP="00097B2E" w:rsidRDefault="00097B2E">
      <w:pPr>
        <w:tabs>
          <w:tab w:val="center" w:pos="1800"/>
          <w:tab w:val="center" w:pos="7200"/>
        </w:tabs>
        <w:jc w:val="center"/>
      </w:pPr>
      <w:r w:rsidRPr="00144FAC">
        <w:t xml:space="preserve">Ing. </w:t>
      </w:r>
      <w:r>
        <w:rPr>
          <w:szCs w:val="20"/>
        </w:rPr>
        <w:t>Bořivoj Novotný</w:t>
      </w:r>
    </w:p>
    <w:p w:rsidR="00097B2E" w:rsidP="00097B2E" w:rsidRDefault="00097B2E">
      <w:pPr>
        <w:tabs>
          <w:tab w:val="center" w:pos="1800"/>
          <w:tab w:val="center" w:pos="7200"/>
        </w:tabs>
        <w:jc w:val="center"/>
      </w:pPr>
      <w:r w:rsidRPr="00144FAC">
        <w:t>vedoucí odd</w:t>
      </w:r>
      <w:r>
        <w:rPr>
          <w:szCs w:val="20"/>
        </w:rPr>
        <w:t>. zaměstnanosti krajské pobočky v Olomouci</w:t>
      </w:r>
    </w:p>
    <w:p w:rsidR="00097B2E" w:rsidP="00097B2E" w:rsidRDefault="00097B2E">
      <w:pPr>
        <w:tabs>
          <w:tab w:val="center" w:pos="1800"/>
          <w:tab w:val="center" w:pos="7200"/>
        </w:tabs>
        <w:jc w:val="center"/>
      </w:pPr>
      <w:r w:rsidRPr="00144FAC">
        <w:t>Úřad práce</w:t>
      </w:r>
      <w:r>
        <w:rPr>
          <w:szCs w:val="20"/>
        </w:rPr>
        <w:t xml:space="preserve"> České republiky</w:t>
      </w:r>
    </w:p>
    <w:p w:rsidR="00097B2E" w:rsidP="00097B2E" w:rsidRDefault="00097B2E">
      <w:pPr>
        <w:keepNext/>
        <w:keepLines/>
        <w:jc w:val="center"/>
        <w:rPr>
          <w:rFonts w:cs="Arial"/>
          <w:szCs w:val="20"/>
        </w:rPr>
        <w:sectPr w:rsidR="00097B2E" w:rsidSect="00EC5C63">
          <w:type w:val="continuous"/>
          <w:pgSz w:w="11906" w:h="16838"/>
          <w:pgMar w:top="1417" w:right="1417" w:bottom="1417" w:left="1417" w:header="708" w:footer="708" w:gutter="0"/>
          <w:cols w:equalWidth="false" w:space="708" w:num="2">
            <w:col w:w="4182" w:space="708"/>
            <w:col w:w="4182"/>
          </w:cols>
          <w:docGrid w:linePitch="360"/>
        </w:sectPr>
      </w:pPr>
    </w:p>
    <w:p w:rsidR="00097B2E" w:rsidP="00097B2E" w:rsidRDefault="00097B2E">
      <w:pPr>
        <w:keepNext/>
        <w:keepLines/>
        <w:jc w:val="center"/>
        <w:rPr>
          <w:rFonts w:cs="Arial"/>
          <w:szCs w:val="20"/>
        </w:rPr>
      </w:pPr>
    </w:p>
    <w:p w:rsidRPr="008F1A38" w:rsidR="00097B2E" w:rsidP="00097B2E" w:rsidRDefault="00097B2E">
      <w:pPr>
        <w:keepNext/>
        <w:keepLines/>
        <w:rPr>
          <w:rFonts w:cs="Arial"/>
          <w:szCs w:val="20"/>
        </w:rPr>
      </w:pPr>
    </w:p>
    <w:p w:rsidRPr="008F1A38" w:rsidR="00097B2E" w:rsidP="00097B2E" w:rsidRDefault="00097B2E">
      <w:pPr>
        <w:keepNext/>
        <w:keepLines/>
        <w:rPr>
          <w:rFonts w:cs="Arial"/>
          <w:szCs w:val="20"/>
        </w:rPr>
      </w:pPr>
    </w:p>
    <w:p w:rsidR="00097B2E" w:rsidP="00097B2E" w:rsidRDefault="00097B2E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rPr>
          <w:rFonts w:cs="Arial"/>
          <w:szCs w:val="20"/>
        </w:rPr>
        <w:t>Úřad</w:t>
      </w:r>
      <w:r w:rsidRPr="008F1A38">
        <w:rPr>
          <w:rFonts w:cs="Arial"/>
          <w:szCs w:val="20"/>
        </w:rPr>
        <w:t xml:space="preserve"> práce vyřizuje:</w:t>
      </w:r>
      <w:r w:rsidRPr="008F1A38">
        <w:rPr>
          <w:rFonts w:cs="Arial"/>
          <w:szCs w:val="20"/>
        </w:rPr>
        <w:tab/>
      </w:r>
    </w:p>
    <w:p w:rsidR="00097B2E" w:rsidP="00097B2E" w:rsidRDefault="00097B2E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</w:p>
    <w:p w:rsidR="00097B2E" w:rsidP="00097B2E" w:rsidRDefault="00097B2E"/>
    <w:p w:rsidR="009F6699" w:rsidRDefault="009F6699"/>
    <w:sectPr w:rsidR="009F6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C2DEB" w:rsidRDefault="003C2DEB">
      <w:pPr>
        <w:spacing w:after="0" w:line="240" w:lineRule="auto"/>
      </w:pPr>
      <w:r>
        <w:separator/>
      </w:r>
    </w:p>
  </w:endnote>
  <w:endnote w:type="continuationSeparator" w:id="0">
    <w:p w:rsidR="003C2DEB" w:rsidRDefault="003C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60BC9" w:rsidR="00FB2EC3" w:rsidP="00A60BC9" w:rsidRDefault="00097B2E">
    <w:pPr>
      <w:pStyle w:val="Zpat"/>
      <w:pBdr>
        <w:top w:val="single" w:color="auto" w:sz="4" w:space="1"/>
      </w:pBdr>
      <w:tabs>
        <w:tab w:val="clear" w:pos="4536"/>
      </w:tabs>
      <w:rPr>
        <w:i/>
      </w:rPr>
    </w:pPr>
    <w:r>
      <w:rPr>
        <w:i/>
      </w:rPr>
      <w:t xml:space="preserve">NIP - </w:t>
    </w:r>
    <w:r w:rsidRPr="00A60BC9">
      <w:rPr>
        <w:i/>
      </w:rPr>
      <w:t>Dohoda o provedení rekvalifikace č.</w:t>
    </w:r>
    <w:r>
      <w:rPr>
        <w:i/>
      </w:rPr>
      <w:t xml:space="preserve"> </w:t>
    </w:r>
    <w:r w:rsidRPr="00144FAC">
      <w:rPr>
        <w:i/>
      </w:rPr>
      <w:t>OLA-BL-63/2014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5473B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60BC9" w:rsidR="00FB2EC3" w:rsidP="008237D9" w:rsidRDefault="00097B2E">
    <w:pPr>
      <w:pStyle w:val="Zpat"/>
      <w:pBdr>
        <w:top w:val="single" w:color="auto" w:sz="4" w:space="1"/>
      </w:pBdr>
      <w:tabs>
        <w:tab w:val="clear" w:pos="4536"/>
      </w:tabs>
      <w:rPr>
        <w:i/>
      </w:rPr>
    </w:pPr>
    <w:r>
      <w:rPr>
        <w:i/>
      </w:rPr>
      <w:t xml:space="preserve">NIP - </w:t>
    </w:r>
    <w:r w:rsidRPr="00A60BC9">
      <w:rPr>
        <w:i/>
      </w:rPr>
      <w:t>Dohoda o provedení rekvalifikace č.</w:t>
    </w:r>
    <w:r>
      <w:rPr>
        <w:i/>
      </w:rPr>
      <w:t xml:space="preserve"> </w:t>
    </w:r>
    <w:r w:rsidRPr="00144FAC">
      <w:rPr>
        <w:i/>
      </w:rPr>
      <w:t>OLA-BL-63/2014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5473B">
      <w:rPr>
        <w:rStyle w:val="slostrnky"/>
        <w:noProof/>
      </w:rPr>
      <w:t>1</w:t>
    </w:r>
    <w:r>
      <w:rPr>
        <w:rStyle w:val="slostrnky"/>
      </w:rPr>
      <w:fldChar w:fldCharType="end"/>
    </w:r>
  </w:p>
  <w:p w:rsidRPr="008237D9" w:rsidR="00FB2EC3" w:rsidRDefault="003C2DEB">
    <w:pPr>
      <w:pStyle w:val="Zpat"/>
      <w:rPr>
        <w:i/>
        <w:szCs w:val="20"/>
      </w:rPr>
    </w:pPr>
  </w:p>
  <w:p w:rsidRPr="008237D9" w:rsidR="00FB2EC3" w:rsidRDefault="00097B2E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S15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C2DEB" w:rsidRDefault="003C2DEB">
      <w:pPr>
        <w:spacing w:after="0" w:line="240" w:lineRule="auto"/>
      </w:pPr>
      <w:r>
        <w:separator/>
      </w:r>
    </w:p>
  </w:footnote>
  <w:footnote w:type="continuationSeparator" w:id="0">
    <w:p w:rsidR="003C2DEB" w:rsidRDefault="003C2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332E2" w:rsidP="00D332E2" w:rsidRDefault="00097B2E">
    <w:pPr>
      <w:pStyle w:val="Zhlav"/>
      <w:jc w:val="center"/>
    </w:pPr>
    <w:r>
      <w:rPr>
        <w:noProof/>
      </w:rPr>
      <w:drawing>
        <wp:inline distT="0" distB="0" distL="0" distR="0">
          <wp:extent cx="5981700" cy="466725"/>
          <wp:effectExtent l="0" t="0" r="0" b="9525"/>
          <wp:docPr id="3" name="Pictur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80554F1"/>
    <w:multiLevelType w:val="hybridMultilevel"/>
    <w:tmpl w:val="0B1A457A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2E"/>
    <w:rsid w:val="00097B2E"/>
    <w:rsid w:val="002077D7"/>
    <w:rsid w:val="003C2DEB"/>
    <w:rsid w:val="004E3B61"/>
    <w:rsid w:val="00697AF4"/>
    <w:rsid w:val="009F6699"/>
    <w:rsid w:val="00A5252E"/>
    <w:rsid w:val="00B17B22"/>
    <w:rsid w:val="00CC16DC"/>
    <w:rsid w:val="00E5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97B2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ZhlavChar" w:customStyle="true">
    <w:name w:val="Záhlaví Char"/>
    <w:basedOn w:val="Standardnpsmoodstavce"/>
    <w:link w:val="Zhlav"/>
    <w:rsid w:val="00097B2E"/>
    <w:rPr>
      <w:rFonts w:ascii="Arial" w:hAnsi="Arial" w:eastAsia="Times New Roman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97B2E"/>
    <w:rPr>
      <w:rFonts w:ascii="Tahoma" w:hAnsi="Tahoma" w:cs="Tahoma"/>
      <w:sz w:val="16"/>
      <w:szCs w:val="16"/>
    </w:rPr>
  </w:style>
  <w:style w:type="paragraph" w:styleId="lnek" w:customStyle="true">
    <w:name w:val="Článek"/>
    <w:basedOn w:val="Normln"/>
    <w:next w:val="Nadpislnku"/>
    <w:rsid w:val="00097B2E"/>
    <w:pPr>
      <w:spacing w:before="360" w:after="0" w:line="240" w:lineRule="auto"/>
      <w:jc w:val="center"/>
    </w:pPr>
    <w:rPr>
      <w:rFonts w:ascii="Arial" w:hAnsi="Arial" w:eastAsia="Times New Roman" w:cs="Times New Roman"/>
      <w:b/>
      <w:sz w:val="20"/>
      <w:szCs w:val="24"/>
      <w:lang w:eastAsia="cs-CZ"/>
    </w:rPr>
  </w:style>
  <w:style w:type="paragraph" w:styleId="Nadpislnku" w:customStyle="true">
    <w:name w:val="Nadpis článku"/>
    <w:next w:val="Normln"/>
    <w:rsid w:val="00097B2E"/>
    <w:pPr>
      <w:spacing w:after="240" w:line="240" w:lineRule="auto"/>
      <w:jc w:val="center"/>
    </w:pPr>
    <w:rPr>
      <w:rFonts w:ascii="Arial" w:hAnsi="Arial" w:eastAsia="Times New Roman" w:cs="Times New Roman"/>
      <w:b/>
      <w:sz w:val="20"/>
      <w:szCs w:val="24"/>
      <w:lang w:eastAsia="cs-CZ"/>
    </w:rPr>
  </w:style>
  <w:style w:type="paragraph" w:styleId="BoddohodyIII" w:customStyle="true">
    <w:name w:val="Bod dohody III"/>
    <w:basedOn w:val="Normln"/>
    <w:link w:val="BoddohodyIIICharChar"/>
    <w:rsid w:val="00097B2E"/>
    <w:pPr>
      <w:numPr>
        <w:numId w:val="3"/>
      </w:numPr>
      <w:spacing w:before="120"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BoddohodyIIICharChar" w:customStyle="true">
    <w:name w:val="Bod dohody III Char Char"/>
    <w:link w:val="BoddohodyIII"/>
    <w:rsid w:val="00097B2E"/>
    <w:rPr>
      <w:rFonts w:ascii="Arial" w:hAnsi="Arial" w:eastAsia="Times New Roman" w:cs="Times New Roman"/>
      <w:sz w:val="20"/>
      <w:szCs w:val="24"/>
      <w:lang w:eastAsia="cs-CZ"/>
    </w:rPr>
  </w:style>
  <w:style w:type="paragraph" w:styleId="BoddohodyII" w:customStyle="true">
    <w:name w:val="Bod dohody II"/>
    <w:basedOn w:val="Normln"/>
    <w:link w:val="BoddohodyIICharChar"/>
    <w:rsid w:val="00097B2E"/>
    <w:pPr>
      <w:numPr>
        <w:numId w:val="1"/>
      </w:numPr>
      <w:spacing w:before="120"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BoddohodyIICharChar" w:customStyle="true">
    <w:name w:val="Bod dohody II Char Char"/>
    <w:link w:val="BoddohodyII"/>
    <w:rsid w:val="00097B2E"/>
    <w:rPr>
      <w:rFonts w:ascii="Arial" w:hAnsi="Arial" w:eastAsia="Times New Roman" w:cs="Times New Roman"/>
      <w:sz w:val="20"/>
      <w:szCs w:val="24"/>
      <w:lang w:eastAsia="cs-CZ"/>
    </w:rPr>
  </w:style>
  <w:style w:type="paragraph" w:styleId="BoddohodyIV" w:customStyle="true">
    <w:name w:val="Bod dohody IV"/>
    <w:basedOn w:val="Normln"/>
    <w:rsid w:val="00097B2E"/>
    <w:pPr>
      <w:numPr>
        <w:numId w:val="5"/>
      </w:numPr>
      <w:spacing w:before="120"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paragraph" w:styleId="BoddohodyV" w:customStyle="true">
    <w:name w:val="Bod dohody V"/>
    <w:basedOn w:val="Normln"/>
    <w:rsid w:val="00097B2E"/>
    <w:pPr>
      <w:numPr>
        <w:numId w:val="4"/>
      </w:numPr>
      <w:spacing w:before="120"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097B2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ZpatChar" w:customStyle="true">
    <w:name w:val="Zápatí Char"/>
    <w:basedOn w:val="Standardnpsmoodstavce"/>
    <w:link w:val="Zpat"/>
    <w:rsid w:val="00097B2E"/>
    <w:rPr>
      <w:rFonts w:ascii="Arial" w:hAnsi="Arial" w:eastAsia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097B2E"/>
  </w:style>
  <w:style w:type="character" w:styleId="Hypertextovodkaz">
    <w:name w:val="Hyperlink"/>
    <w:rsid w:val="00097B2E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rsid w:val="00097B2E"/>
    <w:pPr>
      <w:tabs>
        <w:tab w:pos="4536" w:val="center"/>
        <w:tab w:pos="9072" w:val="right"/>
      </w:tabs>
      <w:spacing w:after="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ZhlavChar" w:type="character">
    <w:name w:val="Záhlaví Char"/>
    <w:basedOn w:val="Standardnpsmoodstavce"/>
    <w:link w:val="Zhlav"/>
    <w:rsid w:val="00097B2E"/>
    <w:rPr>
      <w:rFonts w:ascii="Arial" w:cs="Times New Roman" w:eastAsia="Times New Roman" w:hAnsi="Arial"/>
      <w:sz w:val="20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097B2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097B2E"/>
    <w:rPr>
      <w:rFonts w:ascii="Tahoma" w:cs="Tahoma" w:hAnsi="Tahoma"/>
      <w:sz w:val="16"/>
      <w:szCs w:val="16"/>
    </w:rPr>
  </w:style>
  <w:style w:customStyle="1" w:styleId="lnek" w:type="paragraph">
    <w:name w:val="Článek"/>
    <w:basedOn w:val="Normln"/>
    <w:next w:val="Nadpislnku"/>
    <w:rsid w:val="00097B2E"/>
    <w:pPr>
      <w:spacing w:after="0" w:before="360" w:line="240" w:lineRule="auto"/>
      <w:jc w:val="center"/>
    </w:pPr>
    <w:rPr>
      <w:rFonts w:ascii="Arial" w:cs="Times New Roman" w:eastAsia="Times New Roman" w:hAnsi="Arial"/>
      <w:b/>
      <w:sz w:val="20"/>
      <w:szCs w:val="24"/>
      <w:lang w:eastAsia="cs-CZ"/>
    </w:rPr>
  </w:style>
  <w:style w:customStyle="1" w:styleId="Nadpislnku" w:type="paragraph">
    <w:name w:val="Nadpis článku"/>
    <w:next w:val="Normln"/>
    <w:rsid w:val="00097B2E"/>
    <w:pPr>
      <w:spacing w:after="240" w:line="240" w:lineRule="auto"/>
      <w:jc w:val="center"/>
    </w:pPr>
    <w:rPr>
      <w:rFonts w:ascii="Arial" w:cs="Times New Roman" w:eastAsia="Times New Roman" w:hAnsi="Arial"/>
      <w:b/>
      <w:sz w:val="20"/>
      <w:szCs w:val="24"/>
      <w:lang w:eastAsia="cs-CZ"/>
    </w:rPr>
  </w:style>
  <w:style w:customStyle="1" w:styleId="BoddohodyIII" w:type="paragraph">
    <w:name w:val="Bod dohody III"/>
    <w:basedOn w:val="Normln"/>
    <w:link w:val="BoddohodyIIICharChar"/>
    <w:rsid w:val="00097B2E"/>
    <w:pPr>
      <w:numPr>
        <w:numId w:val="3"/>
      </w:numPr>
      <w:spacing w:after="0" w:before="12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BoddohodyIIICharChar" w:type="character">
    <w:name w:val="Bod dohody III Char Char"/>
    <w:link w:val="BoddohodyIII"/>
    <w:rsid w:val="00097B2E"/>
    <w:rPr>
      <w:rFonts w:ascii="Arial" w:cs="Times New Roman" w:eastAsia="Times New Roman" w:hAnsi="Arial"/>
      <w:sz w:val="20"/>
      <w:szCs w:val="24"/>
      <w:lang w:eastAsia="cs-CZ"/>
    </w:rPr>
  </w:style>
  <w:style w:customStyle="1" w:styleId="BoddohodyII" w:type="paragraph">
    <w:name w:val="Bod dohody II"/>
    <w:basedOn w:val="Normln"/>
    <w:link w:val="BoddohodyIICharChar"/>
    <w:rsid w:val="00097B2E"/>
    <w:pPr>
      <w:numPr>
        <w:numId w:val="1"/>
      </w:numPr>
      <w:spacing w:after="0" w:before="12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BoddohodyIICharChar" w:type="character">
    <w:name w:val="Bod dohody II Char Char"/>
    <w:link w:val="BoddohodyII"/>
    <w:rsid w:val="00097B2E"/>
    <w:rPr>
      <w:rFonts w:ascii="Arial" w:cs="Times New Roman" w:eastAsia="Times New Roman" w:hAnsi="Arial"/>
      <w:sz w:val="20"/>
      <w:szCs w:val="24"/>
      <w:lang w:eastAsia="cs-CZ"/>
    </w:rPr>
  </w:style>
  <w:style w:customStyle="1" w:styleId="BoddohodyIV" w:type="paragraph">
    <w:name w:val="Bod dohody IV"/>
    <w:basedOn w:val="Normln"/>
    <w:rsid w:val="00097B2E"/>
    <w:pPr>
      <w:numPr>
        <w:numId w:val="5"/>
      </w:numPr>
      <w:spacing w:after="0" w:before="12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BoddohodyV" w:type="paragraph">
    <w:name w:val="Bod dohody V"/>
    <w:basedOn w:val="Normln"/>
    <w:rsid w:val="00097B2E"/>
    <w:pPr>
      <w:numPr>
        <w:numId w:val="4"/>
      </w:numPr>
      <w:spacing w:after="0" w:before="12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styleId="Zpat" w:type="paragraph">
    <w:name w:val="footer"/>
    <w:basedOn w:val="Normln"/>
    <w:link w:val="ZpatChar"/>
    <w:rsid w:val="00097B2E"/>
    <w:pPr>
      <w:tabs>
        <w:tab w:pos="4536" w:val="center"/>
        <w:tab w:pos="9072" w:val="right"/>
      </w:tabs>
      <w:spacing w:after="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ZpatChar" w:type="character">
    <w:name w:val="Zápatí Char"/>
    <w:basedOn w:val="Standardnpsmoodstavce"/>
    <w:link w:val="Zpat"/>
    <w:rsid w:val="00097B2E"/>
    <w:rPr>
      <w:rFonts w:ascii="Arial" w:cs="Times New Roman" w:eastAsia="Times New Roman" w:hAnsi="Arial"/>
      <w:sz w:val="20"/>
      <w:szCs w:val="24"/>
      <w:lang w:eastAsia="cs-CZ"/>
    </w:rPr>
  </w:style>
  <w:style w:styleId="slostrnky" w:type="character">
    <w:name w:val="page number"/>
    <w:basedOn w:val="Standardnpsmoodstavce"/>
    <w:rsid w:val="00097B2E"/>
  </w:style>
  <w:style w:styleId="Hypertextovodkaz" w:type="character">
    <w:name w:val="Hyperlink"/>
    <w:rsid w:val="00097B2E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1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Mode="External" Target="http://www.esfcr.cz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81C75F5-738A-4B31-B4A6-D89D980E8B0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5</properties:Pages>
  <properties:Words>1361</properties:Words>
  <properties:Characters>8031</properties:Characters>
  <properties:Lines>66</properties:Lines>
  <properties:Paragraphs>18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9374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2014-10-13T11:51:00Z</dcterms:created>
  <dc:creator/>
  <cp:lastModifiedBy/>
  <dcterms:modified xmlns:xsi="http://www.w3.org/2001/XMLSchema-instance" xsi:type="dcterms:W3CDTF">2014-10-13T11:51:00Z</dcterms:modified>
  <cp:revision>2</cp:revision>
</cp:coreProperties>
</file>