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15128" w:rsidP="008742EE" w:rsidRDefault="00815128">
      <w:pPr>
        <w:jc w:val="center"/>
        <w:outlineLvl w:val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Nákupní podmínky GRAMMER CZ, s.r.o.</w:t>
      </w:r>
    </w:p>
    <w:p w:rsidR="00815128" w:rsidRDefault="00815128">
      <w:pPr>
        <w:rPr>
          <w:rFonts w:ascii="Arial" w:hAnsi="Arial" w:cs="Arial"/>
          <w:b/>
          <w:sz w:val="12"/>
          <w:szCs w:val="22"/>
        </w:rPr>
      </w:pPr>
    </w:p>
    <w:p w:rsidR="00815128" w:rsidRDefault="00815128">
      <w:pPr>
        <w:rPr>
          <w:rFonts w:ascii="Arial" w:hAnsi="Arial" w:cs="Arial"/>
          <w:b/>
          <w:sz w:val="12"/>
          <w:szCs w:val="22"/>
        </w:rPr>
        <w:sectPr w:rsidR="00815128" w:rsidSect="00850E66">
          <w:headerReference w:type="default" r:id="rId7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Pr="00AF652D" w:rsidR="00815128" w:rsidP="00AF652D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AF652D">
        <w:rPr>
          <w:rFonts w:ascii="Arial" w:hAnsi="Arial" w:cs="Arial"/>
          <w:b/>
          <w:bCs/>
          <w:sz w:val="12"/>
          <w:szCs w:val="12"/>
        </w:rPr>
        <w:t xml:space="preserve">Úvodní údaje </w:t>
      </w:r>
    </w:p>
    <w:p w:rsidRPr="00AF652D"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Nákup</w:t>
      </w:r>
      <w:r w:rsidRPr="00AF652D">
        <w:rPr>
          <w:color w:val="000000"/>
          <w:sz w:val="12"/>
          <w:szCs w:val="12"/>
        </w:rPr>
        <w:t xml:space="preserve">ní podmínky </w:t>
      </w:r>
      <w:r>
        <w:rPr>
          <w:color w:val="000000"/>
          <w:sz w:val="12"/>
          <w:szCs w:val="12"/>
        </w:rPr>
        <w:t>GRAMMER</w:t>
      </w:r>
      <w:r w:rsidRPr="00AF652D">
        <w:rPr>
          <w:color w:val="000000"/>
          <w:sz w:val="12"/>
          <w:szCs w:val="12"/>
        </w:rPr>
        <w:t xml:space="preserve"> CZ</w:t>
      </w:r>
      <w:r>
        <w:rPr>
          <w:color w:val="000000"/>
          <w:sz w:val="12"/>
          <w:szCs w:val="12"/>
        </w:rPr>
        <w:t>,</w:t>
      </w:r>
      <w:r w:rsidRPr="00AF652D">
        <w:rPr>
          <w:color w:val="000000"/>
          <w:sz w:val="12"/>
          <w:szCs w:val="12"/>
        </w:rPr>
        <w:t xml:space="preserve"> s.r.o. (dále jen „</w:t>
      </w:r>
      <w:r>
        <w:rPr>
          <w:color w:val="000000"/>
          <w:sz w:val="12"/>
          <w:szCs w:val="12"/>
        </w:rPr>
        <w:t>NP</w:t>
      </w:r>
      <w:r w:rsidRPr="00AF652D">
        <w:rPr>
          <w:color w:val="000000"/>
          <w:sz w:val="12"/>
          <w:szCs w:val="12"/>
        </w:rPr>
        <w:t xml:space="preserve">“) se použijí na všechny kupní smlouvy společnosti </w:t>
      </w:r>
      <w:r>
        <w:rPr>
          <w:color w:val="000000"/>
          <w:sz w:val="12"/>
          <w:szCs w:val="12"/>
        </w:rPr>
        <w:t>GRAMMER</w:t>
      </w:r>
      <w:r w:rsidRPr="00AF652D">
        <w:rPr>
          <w:color w:val="000000"/>
          <w:sz w:val="12"/>
          <w:szCs w:val="12"/>
        </w:rPr>
        <w:t xml:space="preserve"> CZ</w:t>
      </w:r>
      <w:r>
        <w:rPr>
          <w:color w:val="000000"/>
          <w:sz w:val="12"/>
          <w:szCs w:val="12"/>
        </w:rPr>
        <w:t>,</w:t>
      </w:r>
      <w:r w:rsidRPr="00AF652D">
        <w:rPr>
          <w:color w:val="000000"/>
          <w:sz w:val="12"/>
          <w:szCs w:val="12"/>
        </w:rPr>
        <w:t xml:space="preserve"> s.r.o. (dále jen „</w:t>
      </w:r>
      <w:r>
        <w:rPr>
          <w:color w:val="000000"/>
          <w:sz w:val="12"/>
          <w:szCs w:val="12"/>
        </w:rPr>
        <w:t>kupující</w:t>
      </w:r>
      <w:r w:rsidRPr="00AF652D">
        <w:rPr>
          <w:color w:val="000000"/>
          <w:sz w:val="12"/>
          <w:szCs w:val="12"/>
        </w:rPr>
        <w:t xml:space="preserve">“), na jejichž základě prodávající prodává kupujícímu zboží. Pokud uzavřená kupní smlouva obsahuje úpravu odlišnou od úpravy v těchto </w:t>
      </w:r>
      <w:r>
        <w:rPr>
          <w:color w:val="000000"/>
          <w:sz w:val="12"/>
          <w:szCs w:val="12"/>
        </w:rPr>
        <w:t>NP</w:t>
      </w:r>
      <w:r w:rsidRPr="00AF652D">
        <w:rPr>
          <w:color w:val="000000"/>
          <w:sz w:val="12"/>
          <w:szCs w:val="12"/>
        </w:rPr>
        <w:t>, má úprava v kupní smlouvě v daném rozsahu přednost před úpravou v </w:t>
      </w:r>
      <w:r>
        <w:rPr>
          <w:color w:val="000000"/>
          <w:sz w:val="12"/>
          <w:szCs w:val="12"/>
        </w:rPr>
        <w:t>NP</w:t>
      </w:r>
      <w:r w:rsidRPr="00AF652D">
        <w:rPr>
          <w:color w:val="000000"/>
          <w:sz w:val="12"/>
          <w:szCs w:val="12"/>
        </w:rPr>
        <w:t>.</w:t>
      </w:r>
    </w:p>
    <w:p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 xml:space="preserve">Pod pojmem „zboží“ se rozumí veškeré zboží, služby nebo další plnění, které prodávající prodává nebo poskytuje kupujícímu, bez ohledu na to, zda je toto zboží nebo další plnění určeno k dalšímu prodeji, poskytování kupujícím třetím stranám, jejich zabudováním do výrobků kupujícího nebo zda jich kupující využívá pro svou potřebu. </w:t>
      </w:r>
    </w:p>
    <w:p w:rsidRPr="00515C39"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 xml:space="preserve">Smluvní vztah mezi prodávajícím a kupujícím, jehož předmětem je dodání zboží, (dále jen“kupní smlouva“) vzniká: </w:t>
      </w:r>
    </w:p>
    <w:p w:rsidRPr="00AF652D" w:rsidR="00815128" w:rsidP="00AF652D" w:rsidRDefault="00815128">
      <w:pPr>
        <w:pStyle w:val="CM2"/>
        <w:numPr>
          <w:ilvl w:val="0"/>
          <w:numId w:val="20"/>
        </w:numPr>
        <w:jc w:val="both"/>
        <w:rPr>
          <w:color w:val="000000"/>
          <w:sz w:val="12"/>
          <w:szCs w:val="12"/>
        </w:rPr>
      </w:pPr>
      <w:r w:rsidRPr="00AF652D">
        <w:rPr>
          <w:color w:val="000000"/>
          <w:sz w:val="12"/>
          <w:szCs w:val="12"/>
        </w:rPr>
        <w:t>podpisem písemné smlouvy prodávajícím a kupujícím, není-li ve smlouvě stanoveno jinak, nebo</w:t>
      </w:r>
    </w:p>
    <w:p w:rsidRPr="00AF652D" w:rsidR="00815128" w:rsidP="00AF652D" w:rsidRDefault="00815128">
      <w:pPr>
        <w:pStyle w:val="CM2"/>
        <w:numPr>
          <w:ilvl w:val="0"/>
          <w:numId w:val="20"/>
        </w:numPr>
        <w:jc w:val="both"/>
        <w:rPr>
          <w:color w:val="000000"/>
          <w:sz w:val="12"/>
          <w:szCs w:val="12"/>
        </w:rPr>
      </w:pPr>
      <w:r w:rsidRPr="00AF652D">
        <w:rPr>
          <w:color w:val="000000"/>
          <w:sz w:val="12"/>
          <w:szCs w:val="12"/>
        </w:rPr>
        <w:t xml:space="preserve">písemným potvrzením objednávky kupujícího prodávajícím </w:t>
      </w:r>
      <w:r>
        <w:rPr>
          <w:color w:val="000000"/>
          <w:sz w:val="12"/>
          <w:szCs w:val="12"/>
        </w:rPr>
        <w:t xml:space="preserve">a doručením potvrzené objednávky kupujícímu </w:t>
      </w:r>
      <w:r w:rsidRPr="00AF652D">
        <w:rPr>
          <w:color w:val="000000"/>
          <w:sz w:val="12"/>
          <w:szCs w:val="12"/>
        </w:rPr>
        <w:t>nebo</w:t>
      </w:r>
    </w:p>
    <w:p w:rsidRPr="00AF652D" w:rsidR="00815128" w:rsidP="00AF652D" w:rsidRDefault="00815128">
      <w:pPr>
        <w:pStyle w:val="CM2"/>
        <w:numPr>
          <w:ilvl w:val="0"/>
          <w:numId w:val="20"/>
        </w:numPr>
        <w:jc w:val="both"/>
        <w:rPr>
          <w:color w:val="000000"/>
          <w:sz w:val="12"/>
          <w:szCs w:val="12"/>
        </w:rPr>
      </w:pPr>
      <w:r w:rsidRPr="00AF652D">
        <w:rPr>
          <w:color w:val="000000"/>
          <w:sz w:val="12"/>
          <w:szCs w:val="12"/>
        </w:rPr>
        <w:t>jiným způsobem, ale jen tehdy, pokud je tento definován v rámcové kupní smlouvě</w:t>
      </w:r>
    </w:p>
    <w:p w:rsidRPr="00AF652D"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>Objednávka kupujícího je závazná pouze, pokud je zaslána prodávajícímu písemně (tj. doporučeným dopisem, faxem nebo e-mailem). Objednávka musí být prodávajícím písemně potvrzena kupujícímu ve lhůtě uvedené v objednávce, není-li taková lhůta uvedena, tak do pěti dnů od data doručení objednávky kupujícího prodávajícímu, (tj. kupující musí v této lhůtě obdržet potvrzení objednávky), jinak se objednávka považuje za nepřijatou. Kupující si vyhrazuje právo objednávku kdykoliv před obdržením jejího potvrzení odvolat. Změny v objednávce učiněné prodávajícím jsou platné pouze, pokud jsou písemně potvrzeny kupujícím.</w:t>
      </w:r>
      <w:r>
        <w:rPr>
          <w:color w:val="000000"/>
          <w:sz w:val="12"/>
          <w:szCs w:val="12"/>
        </w:rPr>
        <w:t xml:space="preserve"> </w:t>
      </w:r>
      <w:r w:rsidRPr="00AF652D">
        <w:rPr>
          <w:color w:val="000000"/>
          <w:sz w:val="12"/>
          <w:szCs w:val="12"/>
        </w:rPr>
        <w:t xml:space="preserve">Ústně dohodnutá ujednání pracovníků </w:t>
      </w:r>
      <w:r>
        <w:rPr>
          <w:color w:val="000000"/>
          <w:sz w:val="12"/>
          <w:szCs w:val="12"/>
        </w:rPr>
        <w:t>kupu</w:t>
      </w:r>
      <w:r w:rsidRPr="00AF652D">
        <w:rPr>
          <w:color w:val="000000"/>
          <w:sz w:val="12"/>
          <w:szCs w:val="12"/>
        </w:rPr>
        <w:t xml:space="preserve">jícího, která jsou odlišná od obsahu smlouvy nebo v ní nejsou obsažena, vyžadují ke své účinnosti písemné potvrzení </w:t>
      </w:r>
      <w:r>
        <w:rPr>
          <w:color w:val="000000"/>
          <w:sz w:val="12"/>
          <w:szCs w:val="12"/>
        </w:rPr>
        <w:t>kupu</w:t>
      </w:r>
      <w:r w:rsidRPr="00AF652D">
        <w:rPr>
          <w:color w:val="000000"/>
          <w:sz w:val="12"/>
          <w:szCs w:val="12"/>
        </w:rPr>
        <w:t xml:space="preserve">jícího. </w:t>
      </w:r>
    </w:p>
    <w:p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>Kupující je oprávněn zrušit jakoukoli uzavřenou kupní smlouvu kdykoli před jejím splněním, a to písemným odstoupením od takové kupní smlouvy doručeným prodávajícímu. Kupující je v takovém případě povinen uhradit prodávajícímu veškeré náklady, které již prodávajícímu v souvislosti s realizací zrušené kupní smlouvy prokazatelně vznikly. Úhrada bude provedena na základě faktury vystavené prodávajícím v souladu s ustanovením této smlouvy.</w:t>
      </w:r>
    </w:p>
    <w:p w:rsidRPr="00AF652D" w:rsidR="00815128" w:rsidP="00AF652D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AF652D">
        <w:rPr>
          <w:color w:val="000000"/>
          <w:sz w:val="12"/>
          <w:szCs w:val="12"/>
        </w:rPr>
        <w:t>Jakékoli jiné podmínky obsažené ve všeobecných obchodní či jiných podmínkách kupujícího, formulářových smlouvách, potvrzeních apod., které zašle kupující s  objednávkou se nestávají za žádných okolností obsahem kupní smlouvy, a to i bez výslovného odmítnutí prodávajícím.</w:t>
      </w:r>
    </w:p>
    <w:p w:rsidRPr="00AF652D" w:rsidR="00815128" w:rsidP="00AF652D" w:rsidRDefault="00815128">
      <w:pPr>
        <w:pStyle w:val="Default"/>
        <w:rPr>
          <w:sz w:val="12"/>
          <w:szCs w:val="12"/>
        </w:rPr>
      </w:pPr>
    </w:p>
    <w:p w:rsidRPr="00AF652D" w:rsidR="00815128" w:rsidP="00AF652D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vanish/>
          <w:color w:val="000000"/>
          <w:sz w:val="12"/>
          <w:szCs w:val="12"/>
          <w:lang w:eastAsia="cs-CZ"/>
        </w:rPr>
      </w:pPr>
      <w:r w:rsidRPr="00AF652D">
        <w:rPr>
          <w:rFonts w:ascii="Arial" w:hAnsi="Arial" w:cs="Arial"/>
          <w:b/>
          <w:bCs/>
          <w:sz w:val="12"/>
          <w:szCs w:val="12"/>
        </w:rPr>
        <w:t>Cena, fakturace, platební podmínky a způsob úhrady</w:t>
      </w: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 xml:space="preserve">Kupující se zavazuje prodávajícímu za zboží </w:t>
      </w:r>
      <w:r>
        <w:rPr>
          <w:color w:val="000000"/>
          <w:sz w:val="12"/>
          <w:szCs w:val="12"/>
        </w:rPr>
        <w:t xml:space="preserve">uhradit </w:t>
      </w:r>
      <w:r w:rsidRPr="00515C39">
        <w:rPr>
          <w:color w:val="000000"/>
          <w:sz w:val="12"/>
          <w:szCs w:val="12"/>
        </w:rPr>
        <w:t xml:space="preserve">cenu sjednanou v kupní smlouvě. </w:t>
      </w:r>
    </w:p>
    <w:p w:rsidRPr="00515C39"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515C39">
        <w:rPr>
          <w:color w:val="000000"/>
          <w:sz w:val="12"/>
          <w:szCs w:val="12"/>
        </w:rPr>
        <w:t>Cena je stanovena jako pevná včetně všech nákladů</w:t>
      </w:r>
      <w:r>
        <w:rPr>
          <w:color w:val="000000"/>
          <w:sz w:val="12"/>
          <w:szCs w:val="12"/>
        </w:rPr>
        <w:t xml:space="preserve"> (zejm. </w:t>
      </w:r>
      <w:r w:rsidRPr="00515C39">
        <w:rPr>
          <w:color w:val="000000"/>
          <w:sz w:val="12"/>
          <w:szCs w:val="12"/>
        </w:rPr>
        <w:t>náklady na přepravu na místo dodání,</w:t>
      </w:r>
      <w:r>
        <w:rPr>
          <w:color w:val="000000"/>
          <w:sz w:val="12"/>
          <w:szCs w:val="12"/>
        </w:rPr>
        <w:t xml:space="preserve"> balné,</w:t>
      </w:r>
      <w:r w:rsidRPr="00515C39">
        <w:rPr>
          <w:color w:val="000000"/>
          <w:sz w:val="12"/>
          <w:szCs w:val="12"/>
        </w:rPr>
        <w:t xml:space="preserve"> clo, pojištění a dále náklady naložení a vyložení</w:t>
      </w:r>
      <w:r>
        <w:rPr>
          <w:color w:val="000000"/>
          <w:sz w:val="12"/>
          <w:szCs w:val="12"/>
        </w:rPr>
        <w:t>).</w:t>
      </w:r>
      <w:r w:rsidRPr="00515C39">
        <w:rPr>
          <w:color w:val="000000"/>
          <w:sz w:val="12"/>
          <w:szCs w:val="12"/>
        </w:rPr>
        <w:t xml:space="preserve"> </w:t>
      </w:r>
    </w:p>
    <w:p w:rsidRPr="00AF652D"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AF652D">
        <w:rPr>
          <w:color w:val="000000"/>
          <w:sz w:val="12"/>
          <w:szCs w:val="12"/>
        </w:rPr>
        <w:t xml:space="preserve">Prodávající je </w:t>
      </w:r>
      <w:r>
        <w:rPr>
          <w:color w:val="000000"/>
          <w:sz w:val="12"/>
          <w:szCs w:val="12"/>
        </w:rPr>
        <w:t>op</w:t>
      </w:r>
      <w:r w:rsidRPr="00AF652D">
        <w:rPr>
          <w:color w:val="000000"/>
          <w:sz w:val="12"/>
          <w:szCs w:val="12"/>
        </w:rPr>
        <w:t xml:space="preserve">rávněn vystavit </w:t>
      </w:r>
      <w:r>
        <w:rPr>
          <w:color w:val="000000"/>
          <w:sz w:val="12"/>
          <w:szCs w:val="12"/>
        </w:rPr>
        <w:t>daňový doklad (faktu</w:t>
      </w:r>
      <w:r w:rsidRPr="00AF652D">
        <w:rPr>
          <w:color w:val="000000"/>
          <w:sz w:val="12"/>
          <w:szCs w:val="12"/>
        </w:rPr>
        <w:t>ru</w:t>
      </w:r>
      <w:r>
        <w:rPr>
          <w:color w:val="000000"/>
          <w:sz w:val="12"/>
          <w:szCs w:val="12"/>
        </w:rPr>
        <w:t xml:space="preserve">) po dodání zboží. Faktura </w:t>
      </w:r>
      <w:r w:rsidRPr="000A73D3">
        <w:rPr>
          <w:color w:val="000000"/>
          <w:sz w:val="12"/>
          <w:szCs w:val="12"/>
        </w:rPr>
        <w:t>musí obsahovat všechny zákonem stanovené náležitosti pro daňový doklad, číslo kupní smlouvy</w:t>
      </w:r>
      <w:r>
        <w:rPr>
          <w:color w:val="000000"/>
          <w:sz w:val="12"/>
          <w:szCs w:val="12"/>
        </w:rPr>
        <w:t>/objednávky</w:t>
      </w:r>
      <w:r w:rsidRPr="000A73D3">
        <w:rPr>
          <w:color w:val="000000"/>
          <w:sz w:val="12"/>
          <w:szCs w:val="12"/>
        </w:rPr>
        <w:t>, všechny údaje o zboží v položkách dle kupní smlouvy (množství, váha, počet kusů) s uvedením příslušné ceny a celkovou cenu zboží v plné výši a po skontu, jinak je kupující oprávněn fakturu vrátit. V takovém případě začne splatnost faktury běžet znovu po doručení řádně vystavené faktury</w:t>
      </w:r>
      <w:r w:rsidRPr="00AF652D">
        <w:rPr>
          <w:color w:val="000000"/>
          <w:sz w:val="12"/>
          <w:szCs w:val="12"/>
        </w:rPr>
        <w:t>.</w:t>
      </w:r>
    </w:p>
    <w:p w:rsidRPr="00AF652D"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0A73D3">
        <w:rPr>
          <w:color w:val="000000"/>
          <w:sz w:val="12"/>
          <w:szCs w:val="12"/>
        </w:rPr>
        <w:t>Splatnost faktury činí 30 dnů poté, co kupující obdrží od prodávajícího fakturu. Splatnost faktury je dodržena, pokud kupující ve lhůtě splatnosti podá příkaz k převodu peněz nebo zaplatí v hotovosti. Místem plnění pro platbu je sídlo kupujícího. Prodávající poskytne kupujícímu platební skonto ve výši 2 % z celkové kupní ceny včetně DPH při zaplacení do 7 dnů od doručení faktury.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>V případě prodlení kupujícího s úhradou ceny činí úrok z prodlení ve výši 0,0</w:t>
      </w:r>
      <w:r>
        <w:rPr>
          <w:sz w:val="12"/>
          <w:szCs w:val="12"/>
        </w:rPr>
        <w:t>3</w:t>
      </w:r>
      <w:r w:rsidRPr="00342D76">
        <w:rPr>
          <w:sz w:val="12"/>
          <w:szCs w:val="12"/>
        </w:rPr>
        <w:t xml:space="preserve"> % denně z dlužné částky.</w:t>
      </w:r>
    </w:p>
    <w:p w:rsidRPr="000A73D3"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</w:rPr>
      </w:pPr>
      <w:r w:rsidRPr="000A73D3">
        <w:rPr>
          <w:color w:val="000000"/>
          <w:sz w:val="12"/>
          <w:szCs w:val="12"/>
        </w:rPr>
        <w:t>Prodávající smí postoupit své pohledávky za kupujícím pouze s výslovným předchozím písemným souhlasem kupujícího.</w:t>
      </w:r>
    </w:p>
    <w:p w:rsidRPr="00342D76" w:rsidR="00815128" w:rsidP="00850E66" w:rsidRDefault="00815128">
      <w:pPr>
        <w:pStyle w:val="ListParagraph"/>
        <w:ind w:left="375"/>
        <w:rPr>
          <w:rFonts w:ascii="Arial" w:hAnsi="Arial" w:cs="Arial"/>
          <w:sz w:val="12"/>
          <w:szCs w:val="12"/>
          <w:lang w:eastAsia="cs-CZ"/>
        </w:rPr>
      </w:pPr>
    </w:p>
    <w:p w:rsidRPr="00342D76" w:rsidR="00815128" w:rsidP="000F7E6C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342D76">
        <w:rPr>
          <w:rFonts w:ascii="Arial" w:hAnsi="Arial" w:cs="Arial"/>
          <w:b/>
          <w:bCs/>
          <w:sz w:val="12"/>
          <w:szCs w:val="12"/>
        </w:rPr>
        <w:t>Termín a místo dodání zboží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 xml:space="preserve">Pokud termín a místo dodání zboží není dohodnut v kupní smlouvě mezi prodávajícím a kupujícím, je místem dodání zboží závod </w:t>
      </w:r>
      <w:r>
        <w:rPr>
          <w:sz w:val="12"/>
          <w:szCs w:val="12"/>
        </w:rPr>
        <w:t>kupuj</w:t>
      </w:r>
      <w:r w:rsidRPr="00342D76">
        <w:rPr>
          <w:sz w:val="12"/>
          <w:szCs w:val="12"/>
        </w:rPr>
        <w:t xml:space="preserve">ícího, </w:t>
      </w:r>
      <w:r>
        <w:rPr>
          <w:sz w:val="12"/>
          <w:szCs w:val="12"/>
        </w:rPr>
        <w:t>který s prodávajícím</w:t>
      </w:r>
      <w:r w:rsidRPr="00342D76">
        <w:rPr>
          <w:sz w:val="12"/>
          <w:szCs w:val="12"/>
        </w:rPr>
        <w:t xml:space="preserve"> uzavřel kupní smlouvu, v termínu </w:t>
      </w:r>
      <w:r>
        <w:rPr>
          <w:sz w:val="12"/>
          <w:szCs w:val="12"/>
        </w:rPr>
        <w:t>do 15 dnů od uzavření smlouvy</w:t>
      </w:r>
      <w:r w:rsidRPr="00342D76">
        <w:rPr>
          <w:sz w:val="12"/>
          <w:szCs w:val="12"/>
        </w:rPr>
        <w:t>.</w:t>
      </w:r>
      <w:r>
        <w:rPr>
          <w:sz w:val="12"/>
          <w:szCs w:val="12"/>
        </w:rPr>
        <w:t xml:space="preserve"> 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>Předčasné dodání zboží je možné pouze se souhlasem kupujícího. Není-li dán, je prodávající povinen plnit v termínu dodání.</w:t>
      </w:r>
    </w:p>
    <w:p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Prodávající je povinen dodat zboží na místo dodání vyložené v místě dodání v čase stanoveném v kupní smlouvě. V případě, že v kupní smlouvě nebude stanoven přesný čas dodání nebo nebude jinak dohodnut, musí být zboží vyložené v místě dodání v pracovní den od 7:00 do 1</w:t>
      </w:r>
      <w:r>
        <w:rPr>
          <w:sz w:val="12"/>
          <w:szCs w:val="12"/>
        </w:rPr>
        <w:t>6</w:t>
      </w:r>
      <w:r w:rsidRPr="000F7EE2">
        <w:rPr>
          <w:sz w:val="12"/>
          <w:szCs w:val="12"/>
        </w:rPr>
        <w:t>:00.</w:t>
      </w:r>
      <w:r w:rsidRPr="000F7EE2">
        <w:rPr>
          <w:color w:val="000000"/>
          <w:lang w:eastAsia="de-DE"/>
        </w:rPr>
        <w:t xml:space="preserve"> </w:t>
      </w:r>
      <w:r w:rsidRPr="000F7EE2">
        <w:rPr>
          <w:sz w:val="12"/>
          <w:szCs w:val="12"/>
        </w:rPr>
        <w:t>Při dodávce prostřednictvím kurýrní služby platí, že za později zjištěné nesrovnalosti v množství zboží odpovídá prodávající.</w:t>
      </w:r>
      <w:r>
        <w:rPr>
          <w:sz w:val="12"/>
          <w:szCs w:val="12"/>
        </w:rPr>
        <w:t xml:space="preserve"> </w:t>
      </w:r>
      <w:r w:rsidRPr="000F7EE2">
        <w:rPr>
          <w:sz w:val="12"/>
          <w:szCs w:val="12"/>
        </w:rPr>
        <w:t>Zásilky na dobírku budou přijímány</w:t>
      </w:r>
      <w:r>
        <w:rPr>
          <w:sz w:val="12"/>
          <w:szCs w:val="12"/>
        </w:rPr>
        <w:t xml:space="preserve"> pouze výjimečně po předchozí dohodě</w:t>
      </w:r>
      <w:r w:rsidRPr="000F7EE2">
        <w:rPr>
          <w:sz w:val="12"/>
          <w:szCs w:val="12"/>
        </w:rPr>
        <w:t>.</w:t>
      </w:r>
    </w:p>
    <w:p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>Prodávající zabalí, označí a opatří zboží pro přepravu takovým způsobem, aby nemohlo dojít při přepravě k jeho poškození, a v souladu s kupní smlouvou a právními předpisy ČR. Náklady s tím spojené jsou obsaženy v ceně zboží.</w:t>
      </w:r>
      <w:r w:rsidRPr="000A73D3">
        <w:rPr>
          <w:color w:val="000000"/>
          <w:lang w:eastAsia="de-DE"/>
        </w:rPr>
        <w:t xml:space="preserve"> </w:t>
      </w:r>
    </w:p>
    <w:p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>Zboží musí být dodáno v dohodnuté kvalitě. Pokud nebylo nic dohodnuto, musí být zboží v takové kvalitě, která umožní splnit účel, k němuž se zboží zpravidla užívá. Zboží musí odpovídat právním předpisům platným v České republice, a dále všem příslušným českým technickým normám (ČSN) stejně jako evropským normám (EN).</w:t>
      </w:r>
    </w:p>
    <w:p w:rsidRPr="000A73D3"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>Prodávající připojí k dodávce dodací list</w:t>
      </w:r>
      <w:r>
        <w:rPr>
          <w:sz w:val="12"/>
          <w:szCs w:val="12"/>
        </w:rPr>
        <w:t xml:space="preserve"> příp. předávací protokol</w:t>
      </w:r>
      <w:r w:rsidRPr="000A73D3">
        <w:rPr>
          <w:sz w:val="12"/>
          <w:szCs w:val="12"/>
        </w:rPr>
        <w:t xml:space="preserve"> se všemi údaji z objednávky, jakými jsou</w:t>
      </w:r>
      <w:r>
        <w:rPr>
          <w:sz w:val="12"/>
          <w:szCs w:val="12"/>
        </w:rPr>
        <w:t xml:space="preserve"> jméno osoby, která zboží objednala, </w:t>
      </w:r>
      <w:r w:rsidRPr="000A73D3">
        <w:rPr>
          <w:sz w:val="12"/>
          <w:szCs w:val="12"/>
        </w:rPr>
        <w:t>číslo objednávky, čísla dílů, přesné označení zboží, položka objednávky a v případě dodávek ze zemí Evropské Unie číslo cla a zboží.</w:t>
      </w:r>
    </w:p>
    <w:p w:rsidRPr="000A73D3"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>V případě prodlení s dodáním zboží je kupující dle svého uvážení oprávněn zboží odmítnout a odstoupit od kupní smlouvy nebo zboží převzít. Prodávající je povinen v případě prodlení či hrozícího prodlení o této skutečnosti kupujícího neprodleně informovat.</w:t>
      </w:r>
    </w:p>
    <w:p w:rsidR="00815128" w:rsidP="000A73D3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A73D3">
        <w:rPr>
          <w:sz w:val="12"/>
          <w:szCs w:val="12"/>
        </w:rPr>
        <w:t xml:space="preserve">Pokud bude prodávající v prodlení s plněním smlouvy, je povinen zaplatit smluvní pokutu ve výši </w:t>
      </w:r>
      <w:r>
        <w:rPr>
          <w:sz w:val="12"/>
          <w:szCs w:val="12"/>
        </w:rPr>
        <w:t>0,05</w:t>
      </w:r>
      <w:r w:rsidRPr="000A73D3">
        <w:rPr>
          <w:sz w:val="12"/>
          <w:szCs w:val="12"/>
        </w:rPr>
        <w:t xml:space="preserve"> % z ceny zboží za každý den prodlení</w:t>
      </w:r>
      <w:r>
        <w:rPr>
          <w:sz w:val="12"/>
          <w:szCs w:val="12"/>
        </w:rPr>
        <w:t xml:space="preserve">. </w:t>
      </w:r>
      <w:r w:rsidRPr="000A73D3">
        <w:rPr>
          <w:sz w:val="12"/>
          <w:szCs w:val="12"/>
        </w:rPr>
        <w:t xml:space="preserve">Zaplacením smluvní pokuty není dotčen nárok na náhradu škody. </w:t>
      </w:r>
      <w:r w:rsidRPr="00342D76">
        <w:rPr>
          <w:sz w:val="12"/>
          <w:szCs w:val="12"/>
        </w:rPr>
        <w:t xml:space="preserve"> </w:t>
      </w:r>
    </w:p>
    <w:p w:rsidRPr="00342D76" w:rsidR="00815128" w:rsidP="00850E66" w:rsidRDefault="00815128">
      <w:pPr>
        <w:rPr>
          <w:rFonts w:ascii="Arial" w:hAnsi="Arial" w:cs="Arial"/>
          <w:sz w:val="12"/>
          <w:szCs w:val="12"/>
        </w:rPr>
      </w:pPr>
    </w:p>
    <w:p w:rsidRPr="00342D76" w:rsidR="00815128" w:rsidP="000F7E6C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342D76">
        <w:rPr>
          <w:rFonts w:ascii="Arial" w:hAnsi="Arial" w:cs="Arial"/>
          <w:b/>
          <w:bCs/>
          <w:sz w:val="12"/>
          <w:szCs w:val="12"/>
        </w:rPr>
        <w:t xml:space="preserve">Přechod vlastnictví </w:t>
      </w:r>
      <w:r>
        <w:rPr>
          <w:rFonts w:ascii="Arial" w:hAnsi="Arial" w:cs="Arial"/>
          <w:b/>
          <w:bCs/>
          <w:sz w:val="12"/>
          <w:szCs w:val="12"/>
        </w:rPr>
        <w:t>a nebezpečí škody</w:t>
      </w:r>
    </w:p>
    <w:p w:rsidRPr="000F7EE2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color w:val="000000"/>
          <w:sz w:val="12"/>
          <w:szCs w:val="12"/>
          <w:lang w:eastAsia="de-DE"/>
        </w:rPr>
        <w:t xml:space="preserve">Všechny dodávky prodávajícího musí být provedeny bez výhrady vlastnického práva nebo práv třetích osob. Takovéto výhrady jsou i bez výslovné námitky </w:t>
      </w:r>
      <w:r>
        <w:rPr>
          <w:color w:val="000000"/>
          <w:sz w:val="12"/>
          <w:szCs w:val="12"/>
          <w:lang w:eastAsia="de-DE"/>
        </w:rPr>
        <w:t>kupujícího</w:t>
      </w:r>
      <w:r w:rsidRPr="000F7EE2">
        <w:rPr>
          <w:color w:val="000000"/>
          <w:sz w:val="12"/>
          <w:szCs w:val="12"/>
          <w:lang w:eastAsia="de-DE"/>
        </w:rPr>
        <w:t xml:space="preserve"> neúčinné.</w:t>
      </w:r>
    </w:p>
    <w:p w:rsidRPr="000F7EE2" w:rsidR="00815128" w:rsidP="000F7E6C" w:rsidRDefault="00815128">
      <w:pPr>
        <w:pStyle w:val="CM2"/>
        <w:numPr>
          <w:ilvl w:val="1"/>
          <w:numId w:val="19"/>
        </w:numPr>
        <w:jc w:val="both"/>
        <w:rPr>
          <w:color w:val="000000"/>
          <w:sz w:val="12"/>
          <w:szCs w:val="12"/>
          <w:lang w:eastAsia="de-DE"/>
        </w:rPr>
      </w:pPr>
      <w:r w:rsidRPr="000F7EE2">
        <w:rPr>
          <w:color w:val="000000"/>
          <w:sz w:val="12"/>
          <w:szCs w:val="12"/>
          <w:lang w:eastAsia="de-DE"/>
        </w:rPr>
        <w:t>Vlastnické právo ke zboží a nebezpečí škody na věci přecházejí na kupujícího okamžikem potvrzení dodacího listu kupujícím.</w:t>
      </w:r>
    </w:p>
    <w:p w:rsidRPr="000F7EE2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 xml:space="preserve">Prodávající nesmí bez výslovného </w:t>
      </w:r>
      <w:r>
        <w:rPr>
          <w:sz w:val="12"/>
          <w:szCs w:val="12"/>
        </w:rPr>
        <w:t>kupujícího</w:t>
      </w:r>
      <w:r w:rsidRPr="000F7EE2">
        <w:rPr>
          <w:sz w:val="12"/>
          <w:szCs w:val="12"/>
        </w:rPr>
        <w:t xml:space="preserve"> převádět svá smluvní práva a povinnosti na třetí osoby.</w:t>
      </w:r>
    </w:p>
    <w:p w:rsidRPr="00342D76" w:rsidR="00815128" w:rsidP="00850E66" w:rsidRDefault="00815128">
      <w:pPr>
        <w:rPr>
          <w:rFonts w:ascii="Arial" w:hAnsi="Arial" w:cs="Arial"/>
          <w:sz w:val="12"/>
          <w:szCs w:val="12"/>
        </w:rPr>
      </w:pPr>
    </w:p>
    <w:p w:rsidRPr="00342D76" w:rsidR="00815128" w:rsidP="000F7E6C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342D76">
        <w:rPr>
          <w:rFonts w:ascii="Arial" w:hAnsi="Arial" w:cs="Arial"/>
          <w:b/>
          <w:bCs/>
          <w:sz w:val="12"/>
          <w:szCs w:val="12"/>
        </w:rPr>
        <w:t>Záruka a odpovědnost za vady, náhrada škody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 xml:space="preserve">Pokud délku záruční doby smlouva výslovně nestanoví, </w:t>
      </w:r>
      <w:r w:rsidRPr="000F7EE2">
        <w:rPr>
          <w:sz w:val="12"/>
          <w:szCs w:val="12"/>
        </w:rPr>
        <w:t xml:space="preserve">poskytuje </w:t>
      </w:r>
      <w:r>
        <w:rPr>
          <w:sz w:val="12"/>
          <w:szCs w:val="12"/>
        </w:rPr>
        <w:t>p</w:t>
      </w:r>
      <w:r w:rsidRPr="000F7EE2">
        <w:rPr>
          <w:sz w:val="12"/>
          <w:szCs w:val="12"/>
        </w:rPr>
        <w:t>rodávající záruku za jakost zboží v délce 24 měsíců. Prodávající se zaručuje, že provedení, konstrukce, účelnost a technika výroby zboží odpovídá poslednímu stavu vědy a techniky, že byl použit pouze vhodný a prvotřídní materiál, a že zboží je vhodné pro účel použití, který kupující uvedl.</w:t>
      </w:r>
      <w:r w:rsidRPr="00342D76">
        <w:rPr>
          <w:sz w:val="12"/>
          <w:szCs w:val="12"/>
        </w:rPr>
        <w:t xml:space="preserve"> </w:t>
      </w:r>
    </w:p>
    <w:p w:rsidRPr="000F7EE2" w:rsidR="00815128" w:rsidP="000F7EE2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Záruční doba začíná běžet v případě dalšího prodeje zboží nebo zabudování zboží do výrobků kupujícího převzetím zboží zákazníkem kupujícího, nejdéle však 30 měsíců od dodání zboží kupujícímu. V ostatních případech začne záruční doba běžet dnem dodání zboží kupujícímu.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Kupující je oprávněn oznámit vady zboží kdykoli během záruční doby a má na výběr volbu nároku vyplývajícího z vady zboží. Oznámení vady kupující zašle doporučeným dopisem, faxem nebo e-mailem na kontaktní údaje prodávajícího uvedené v kupní smlouvě.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 xml:space="preserve">Prodávající odstraní vadu bez zbytečného odkladu po jejím oznámení. Oznámí-li kupující prodávajícímu, že se v případě vady zboží jedná o havárii, nastoupí prodávající k odstranění vady okamžitě, tj. nejpozději do 24 hodin. Náklady na odstranění vady zboží včetně nákladů, které vynaložil v souvislosti s  vadou kupující, nese prodávající. </w:t>
      </w:r>
    </w:p>
    <w:p w:rsidRPr="000F7EE2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V případě, že prodávající neodstraní vadu nebo nenastoupí k odstranění vady v souladu s ustanovením předchozího odstavce, je kupující oprávněn vadu nechat odstranit na náklady prodávajícího.</w:t>
      </w:r>
    </w:p>
    <w:p w:rsidRPr="00342D76" w:rsidR="00815128" w:rsidP="00850E66" w:rsidRDefault="00815128">
      <w:pPr>
        <w:rPr>
          <w:rFonts w:ascii="Arial" w:hAnsi="Arial" w:cs="Arial"/>
          <w:sz w:val="12"/>
          <w:szCs w:val="12"/>
        </w:rPr>
      </w:pPr>
    </w:p>
    <w:p w:rsidRPr="00342D76" w:rsidR="00815128" w:rsidP="000F7E6C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342D76">
        <w:rPr>
          <w:rFonts w:ascii="Arial" w:hAnsi="Arial" w:cs="Arial"/>
          <w:b/>
          <w:bCs/>
          <w:sz w:val="12"/>
          <w:szCs w:val="12"/>
        </w:rPr>
        <w:t>Technická dokumentace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Obchodní a výrobní podklady kupujícího a ostatní předměty nebo technické výkresy</w:t>
      </w:r>
      <w:r>
        <w:rPr>
          <w:sz w:val="12"/>
          <w:szCs w:val="12"/>
        </w:rPr>
        <w:t>, které poskytl kupující prodávajícímu,</w:t>
      </w:r>
      <w:r w:rsidRPr="000F7EE2">
        <w:rPr>
          <w:sz w:val="12"/>
          <w:szCs w:val="12"/>
        </w:rPr>
        <w:t xml:space="preserve"> musejí být na vyzvání kupujícího, nejpozději však po ukončení této smlouvy neprodleně bezplatně vráceny kupujícímu.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0F7EE2">
        <w:rPr>
          <w:sz w:val="12"/>
          <w:szCs w:val="12"/>
        </w:rPr>
        <w:t>Prodávající provede objednanou jednotlivou výrobu zboží výlučně pro kupujícího podle předaných výkresů a zachová mlčenlivost především o technických detailech. Je zakázáno, aby prodávající vyráběl zboží nebo jeho součásti na základě výkresů pro jiné výrobky než pro výrobky, které objednal kupující, případně aby je prodával třetím osobám.</w:t>
      </w:r>
      <w:r w:rsidRPr="00342D76">
        <w:rPr>
          <w:sz w:val="12"/>
          <w:szCs w:val="12"/>
        </w:rPr>
        <w:t xml:space="preserve"> 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 xml:space="preserve">Veškerá technická a jiná řešení, která budou prodávajícím v rámci dodávky zboží kupujícímu nově nalezena, je </w:t>
      </w:r>
      <w:r>
        <w:rPr>
          <w:sz w:val="12"/>
          <w:szCs w:val="12"/>
        </w:rPr>
        <w:t>op</w:t>
      </w:r>
      <w:r w:rsidRPr="00342D76">
        <w:rPr>
          <w:sz w:val="12"/>
          <w:szCs w:val="12"/>
        </w:rPr>
        <w:t xml:space="preserve">rávněn učinit předmětem duševního vlastnictví (patentu, užitného či průmyslového vzoru apod.) výhradně </w:t>
      </w:r>
      <w:r>
        <w:rPr>
          <w:sz w:val="12"/>
          <w:szCs w:val="12"/>
        </w:rPr>
        <w:t>kupu</w:t>
      </w:r>
      <w:r w:rsidRPr="00342D76">
        <w:rPr>
          <w:sz w:val="12"/>
          <w:szCs w:val="12"/>
        </w:rPr>
        <w:t xml:space="preserve">jící. </w:t>
      </w:r>
    </w:p>
    <w:p w:rsidRPr="00342D76" w:rsidR="00815128" w:rsidP="00850E66" w:rsidRDefault="00815128">
      <w:pPr>
        <w:rPr>
          <w:rFonts w:ascii="Arial" w:hAnsi="Arial" w:cs="Arial"/>
          <w:sz w:val="12"/>
          <w:szCs w:val="12"/>
        </w:rPr>
      </w:pPr>
    </w:p>
    <w:p w:rsidRPr="00342D76" w:rsidR="00815128" w:rsidP="000F7E6C" w:rsidRDefault="00815128">
      <w:pPr>
        <w:pStyle w:val="ListParagraph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line="160" w:lineRule="atLeast"/>
        <w:contextualSpacing w:val="false"/>
        <w:jc w:val="both"/>
        <w:rPr>
          <w:rFonts w:ascii="Arial" w:hAnsi="Arial" w:cs="Arial"/>
          <w:b/>
          <w:bCs/>
          <w:sz w:val="12"/>
          <w:szCs w:val="12"/>
        </w:rPr>
      </w:pPr>
      <w:r w:rsidRPr="00342D76">
        <w:rPr>
          <w:rFonts w:ascii="Arial" w:hAnsi="Arial" w:cs="Arial"/>
          <w:b/>
          <w:bCs/>
          <w:sz w:val="12"/>
          <w:szCs w:val="12"/>
        </w:rPr>
        <w:t xml:space="preserve">Závěrečná ustanovení </w:t>
      </w:r>
    </w:p>
    <w:p w:rsidRPr="00342D76" w:rsidR="00815128" w:rsidP="00850E66" w:rsidRDefault="00815128">
      <w:pPr>
        <w:rPr>
          <w:rFonts w:ascii="Arial" w:hAnsi="Arial" w:cs="Arial"/>
          <w:sz w:val="12"/>
          <w:szCs w:val="12"/>
        </w:rPr>
      </w:pP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>Na právní vztahy vyplývající z uzavřených kupních smluv se vztahují příslušné české právní předpisy zejména odpovídající ustanovení obchodního zákoníku.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>Všechny spory se smluvní strany zavazují řešit smírnou cestou.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 xml:space="preserve">Nedojde-li k dohodě dle bodu </w:t>
      </w:r>
      <w:r>
        <w:rPr>
          <w:sz w:val="12"/>
          <w:szCs w:val="12"/>
        </w:rPr>
        <w:t>7</w:t>
      </w:r>
      <w:r w:rsidRPr="00342D76">
        <w:rPr>
          <w:sz w:val="12"/>
          <w:szCs w:val="12"/>
        </w:rPr>
        <w:t xml:space="preserve">.2, bude k soudnímu řízení příslušný obecný soud </w:t>
      </w:r>
      <w:r>
        <w:rPr>
          <w:sz w:val="12"/>
          <w:szCs w:val="12"/>
        </w:rPr>
        <w:t>kupu</w:t>
      </w:r>
      <w:r w:rsidRPr="00342D76">
        <w:rPr>
          <w:sz w:val="12"/>
          <w:szCs w:val="12"/>
        </w:rPr>
        <w:t>jícího.</w:t>
      </w:r>
    </w:p>
    <w:p w:rsidRPr="00342D76"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 w:rsidRPr="00342D76">
        <w:rPr>
          <w:sz w:val="12"/>
          <w:szCs w:val="12"/>
        </w:rPr>
        <w:t xml:space="preserve">Je-li nebo stane-li se některé ustanovení těchto </w:t>
      </w:r>
      <w:r>
        <w:rPr>
          <w:sz w:val="12"/>
          <w:szCs w:val="12"/>
        </w:rPr>
        <w:t>NP</w:t>
      </w:r>
      <w:r w:rsidRPr="00342D76">
        <w:rPr>
          <w:sz w:val="12"/>
          <w:szCs w:val="12"/>
        </w:rPr>
        <w:t xml:space="preserve"> neplatným nebo neúčinným, nejsou tím ostatní ustanovení dotčena. Neplatné nebo neúčinné ustanovení bude nahrazeno takovým ustanovením, které se právně nejvíce blíží smyslu a účelu neplatného nebo neúčinného ustanovení.</w:t>
      </w:r>
    </w:p>
    <w:p w:rsidR="00815128" w:rsidP="000F7E6C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>
        <w:rPr>
          <w:sz w:val="12"/>
          <w:szCs w:val="12"/>
        </w:rPr>
        <w:t>Kupu</w:t>
      </w:r>
      <w:r w:rsidRPr="00342D76">
        <w:rPr>
          <w:sz w:val="12"/>
          <w:szCs w:val="12"/>
        </w:rPr>
        <w:t xml:space="preserve">jící si vyhrazuje právo tyto </w:t>
      </w:r>
      <w:r>
        <w:rPr>
          <w:sz w:val="12"/>
          <w:szCs w:val="12"/>
        </w:rPr>
        <w:t>NP</w:t>
      </w:r>
      <w:r w:rsidRPr="00342D76">
        <w:rPr>
          <w:sz w:val="12"/>
          <w:szCs w:val="12"/>
        </w:rPr>
        <w:t xml:space="preserve"> kdykoliv změnit.</w:t>
      </w:r>
    </w:p>
    <w:p w:rsidRPr="00B14CF0" w:rsidR="00815128" w:rsidP="00B14CF0" w:rsidRDefault="00815128">
      <w:pPr>
        <w:pStyle w:val="CM2"/>
        <w:numPr>
          <w:ilvl w:val="1"/>
          <w:numId w:val="19"/>
        </w:numPr>
        <w:jc w:val="both"/>
        <w:rPr>
          <w:sz w:val="12"/>
          <w:szCs w:val="12"/>
        </w:rPr>
      </w:pPr>
      <w:r>
        <w:rPr>
          <w:sz w:val="12"/>
          <w:szCs w:val="12"/>
        </w:rPr>
        <w:t>Tyto Nákupní podmínky nabývají účinnosti dne  1,1,.2013.</w:t>
      </w:r>
    </w:p>
    <w:p w:rsidRPr="00342D76" w:rsidR="00815128" w:rsidP="00850E66" w:rsidRDefault="00815128">
      <w:pPr>
        <w:rPr>
          <w:rFonts w:ascii="Arial" w:hAnsi="Arial" w:cs="Arial"/>
          <w:b/>
          <w:sz w:val="12"/>
          <w:szCs w:val="12"/>
        </w:rPr>
      </w:pPr>
    </w:p>
    <w:p w:rsidRPr="00342D76" w:rsidR="00815128" w:rsidRDefault="00815128">
      <w:pPr>
        <w:ind w:left="1416"/>
        <w:rPr>
          <w:rFonts w:ascii="Arial" w:hAnsi="Arial" w:cs="Arial"/>
          <w:sz w:val="12"/>
          <w:szCs w:val="16"/>
        </w:rPr>
      </w:pPr>
    </w:p>
    <w:sectPr w:rsidRPr="00342D76" w:rsidR="00815128" w:rsidSect="00D87657">
      <w:type w:val="continuous"/>
      <w:pgSz w:w="11906" w:h="16838"/>
      <w:pgMar w:top="1417" w:right="386" w:bottom="1417" w:left="360" w:header="708" w:footer="708" w:gutter="0"/>
      <w:cols w:space="180" w:num="3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15128" w:rsidRDefault="00815128">
      <w:r>
        <w:separator/>
      </w:r>
    </w:p>
  </w:endnote>
  <w:endnote w:type="continuationSeparator" w:id="0">
    <w:p w:rsidR="00815128" w:rsidRDefault="0081512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15128" w:rsidRDefault="00815128">
      <w:r>
        <w:separator/>
      </w:r>
    </w:p>
  </w:footnote>
  <w:footnote w:type="continuationSeparator" w:id="0">
    <w:p w:rsidR="00815128" w:rsidRDefault="0081512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5128" w:rsidRDefault="00815128">
    <w:pPr>
      <w:pStyle w:val="Header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9.75pt;height:47.25pt" id="_x0000_i1026">
          <v:imagedata o:title="" r:id="rId1"/>
        </v:shape>
      </w:pict>
    </w:r>
  </w:p>
  <w:p w:rsidR="00815128" w:rsidRDefault="00815128">
    <w:pPr>
      <w:pStyle w:val="Header"/>
    </w:pPr>
    <w:r>
      <w:t>Příloha č. 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3D66037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">
    <w:nsid w:val="03E5271F"/>
    <w:multiLevelType w:val="hybridMultilevel"/>
    <w:tmpl w:val="0D38635E"/>
    <w:lvl w:ilvl="0" w:tplc="49107E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73152"/>
    <w:multiLevelType w:val="hybridMultilevel"/>
    <w:tmpl w:val="63E0E1AA"/>
    <w:lvl w:ilvl="0" w:tplc="49107E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CB2F30"/>
    <w:multiLevelType w:val="hybridMultilevel"/>
    <w:tmpl w:val="ECF87FDC"/>
    <w:lvl w:ilvl="0" w:tplc="49107E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48697C"/>
    <w:multiLevelType w:val="hybridMultilevel"/>
    <w:tmpl w:val="CFD0E4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A8C7F29"/>
    <w:multiLevelType w:val="multilevel"/>
    <w:tmpl w:val="3C9A4740"/>
    <w:lvl w:ilvl="0">
      <w:start w:val="1"/>
      <w:numFmt w:val="decimal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6">
    <w:nsid w:val="2ED027A2"/>
    <w:multiLevelType w:val="hybridMultilevel"/>
    <w:tmpl w:val="974481CC"/>
    <w:lvl w:ilvl="0" w:tplc="49107ED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1BA5D57"/>
    <w:multiLevelType w:val="hybridMultilevel"/>
    <w:tmpl w:val="283CC860"/>
    <w:lvl w:ilvl="0" w:tplc="D356420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8">
    <w:nsid w:val="3A615A5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BE57D8C"/>
    <w:multiLevelType w:val="hybridMultilevel"/>
    <w:tmpl w:val="867E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9708F"/>
    <w:multiLevelType w:val="hybridMultilevel"/>
    <w:tmpl w:val="867E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1B62EE"/>
    <w:multiLevelType w:val="hybridMultilevel"/>
    <w:tmpl w:val="2236FD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6DB737B"/>
    <w:multiLevelType w:val="hybridMultilevel"/>
    <w:tmpl w:val="28EC6D38"/>
    <w:lvl w:ilvl="0" w:tplc="49107E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8748A3"/>
    <w:multiLevelType w:val="hybridMultilevel"/>
    <w:tmpl w:val="734450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F87438"/>
    <w:multiLevelType w:val="hybridMultilevel"/>
    <w:tmpl w:val="867E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90C80"/>
    <w:multiLevelType w:val="multilevel"/>
    <w:tmpl w:val="3C9A4740"/>
    <w:lvl w:ilvl="0">
      <w:start w:val="1"/>
      <w:numFmt w:val="decimal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16">
    <w:nsid w:val="503A056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13945F0"/>
    <w:multiLevelType w:val="hybridMultilevel"/>
    <w:tmpl w:val="EC0E97F0"/>
    <w:lvl w:ilvl="0" w:tplc="2508E53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false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012028"/>
    <w:multiLevelType w:val="multilevel"/>
    <w:tmpl w:val="2236F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6220EE1"/>
    <w:multiLevelType w:val="hybridMultilevel"/>
    <w:tmpl w:val="BF5240C0"/>
    <w:lvl w:ilvl="0" w:tplc="49107E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367A8E"/>
    <w:multiLevelType w:val="hybridMultilevel"/>
    <w:tmpl w:val="B3A40BC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1">
    <w:nsid w:val="69BA45D8"/>
    <w:multiLevelType w:val="hybridMultilevel"/>
    <w:tmpl w:val="867E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0D25B4"/>
    <w:multiLevelType w:val="hybridMultilevel"/>
    <w:tmpl w:val="6C325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14D5F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BA65BC8"/>
    <w:multiLevelType w:val="hybridMultilevel"/>
    <w:tmpl w:val="501A63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0"/>
  </w:num>
  <w:num w:numId="5">
    <w:abstractNumId w:val="20"/>
  </w:num>
  <w:num w:numId="6">
    <w:abstractNumId w:val="11"/>
  </w:num>
  <w:num w:numId="7">
    <w:abstractNumId w:val="4"/>
  </w:num>
  <w:num w:numId="8">
    <w:abstractNumId w:val="24"/>
  </w:num>
  <w:num w:numId="9">
    <w:abstractNumId w:val="22"/>
  </w:num>
  <w:num w:numId="10">
    <w:abstractNumId w:val="18"/>
  </w:num>
  <w:num w:numId="11">
    <w:abstractNumId w:val="2"/>
  </w:num>
  <w:num w:numId="12">
    <w:abstractNumId w:val="1"/>
  </w:num>
  <w:num w:numId="13">
    <w:abstractNumId w:val="8"/>
  </w:num>
  <w:num w:numId="14">
    <w:abstractNumId w:val="19"/>
  </w:num>
  <w:num w:numId="15">
    <w:abstractNumId w:val="3"/>
  </w:num>
  <w:num w:numId="16">
    <w:abstractNumId w:val="12"/>
  </w:num>
  <w:num w:numId="17">
    <w:abstractNumId w:val="6"/>
  </w:num>
  <w:num w:numId="18">
    <w:abstractNumId w:val="13"/>
  </w:num>
  <w:num w:numId="19">
    <w:abstractNumId w:val="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4"/>
  </w:num>
  <w:num w:numId="25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323"/>
    <w:rsid w:val="00003EF3"/>
    <w:rsid w:val="000A73D3"/>
    <w:rsid w:val="000D0A1E"/>
    <w:rsid w:val="000F7E6C"/>
    <w:rsid w:val="000F7EE2"/>
    <w:rsid w:val="00166527"/>
    <w:rsid w:val="001C5D45"/>
    <w:rsid w:val="001D3DCB"/>
    <w:rsid w:val="001E4CCD"/>
    <w:rsid w:val="002C1427"/>
    <w:rsid w:val="002F4D01"/>
    <w:rsid w:val="003003A5"/>
    <w:rsid w:val="00301DCF"/>
    <w:rsid w:val="00306F52"/>
    <w:rsid w:val="00342D76"/>
    <w:rsid w:val="003B5921"/>
    <w:rsid w:val="003C2F2F"/>
    <w:rsid w:val="003E0020"/>
    <w:rsid w:val="00410FB4"/>
    <w:rsid w:val="00434F6E"/>
    <w:rsid w:val="00457249"/>
    <w:rsid w:val="004D694A"/>
    <w:rsid w:val="004E25D6"/>
    <w:rsid w:val="00515C39"/>
    <w:rsid w:val="00517DC7"/>
    <w:rsid w:val="00553449"/>
    <w:rsid w:val="00565555"/>
    <w:rsid w:val="00574064"/>
    <w:rsid w:val="00693D00"/>
    <w:rsid w:val="006A2536"/>
    <w:rsid w:val="006E09E4"/>
    <w:rsid w:val="00707CC1"/>
    <w:rsid w:val="007420FC"/>
    <w:rsid w:val="00794F7F"/>
    <w:rsid w:val="007A7F3A"/>
    <w:rsid w:val="007D5DF7"/>
    <w:rsid w:val="00800774"/>
    <w:rsid w:val="00801F4D"/>
    <w:rsid w:val="00815128"/>
    <w:rsid w:val="00850E66"/>
    <w:rsid w:val="00861012"/>
    <w:rsid w:val="008735DE"/>
    <w:rsid w:val="008742EE"/>
    <w:rsid w:val="00880BFB"/>
    <w:rsid w:val="008D079B"/>
    <w:rsid w:val="008D2C32"/>
    <w:rsid w:val="008D7773"/>
    <w:rsid w:val="00946D16"/>
    <w:rsid w:val="00982D22"/>
    <w:rsid w:val="009E42FA"/>
    <w:rsid w:val="00A94BDA"/>
    <w:rsid w:val="00AA0CD9"/>
    <w:rsid w:val="00AF652D"/>
    <w:rsid w:val="00B14CF0"/>
    <w:rsid w:val="00B17CC7"/>
    <w:rsid w:val="00B24EF9"/>
    <w:rsid w:val="00B321B9"/>
    <w:rsid w:val="00B75FF7"/>
    <w:rsid w:val="00B768A6"/>
    <w:rsid w:val="00B93086"/>
    <w:rsid w:val="00BC0BB7"/>
    <w:rsid w:val="00C07DF1"/>
    <w:rsid w:val="00C16112"/>
    <w:rsid w:val="00C5283E"/>
    <w:rsid w:val="00C54448"/>
    <w:rsid w:val="00C62AC8"/>
    <w:rsid w:val="00C703A2"/>
    <w:rsid w:val="00C76977"/>
    <w:rsid w:val="00CA1E44"/>
    <w:rsid w:val="00CB26C4"/>
    <w:rsid w:val="00D31969"/>
    <w:rsid w:val="00D80553"/>
    <w:rsid w:val="00D87657"/>
    <w:rsid w:val="00DD0643"/>
    <w:rsid w:val="00DD5E60"/>
    <w:rsid w:val="00DF7ECB"/>
    <w:rsid w:val="00E57323"/>
    <w:rsid w:val="00E829A4"/>
    <w:rsid w:val="00EC594A"/>
    <w:rsid w:val="00F46945"/>
    <w:rsid w:val="00F506CD"/>
    <w:rsid w:val="00FA1CF3"/>
    <w:rsid w:val="00FB414A"/>
    <w:rsid w:val="00FB4A13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D87657"/>
    <w:rPr>
      <w:sz w:val="24"/>
      <w:szCs w:val="24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7657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8D2C3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693D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3D00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8D2C3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3D00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8D2C32"/>
    <w:rPr>
      <w:b/>
      <w:bCs/>
    </w:rPr>
  </w:style>
  <w:style w:type="paragraph" w:styleId="CM2" w:customStyle="true">
    <w:name w:val="CM2"/>
    <w:basedOn w:val="Normal"/>
    <w:next w:val="Normal"/>
    <w:uiPriority w:val="99"/>
    <w:rsid w:val="00AF652D"/>
    <w:pPr>
      <w:widowControl w:val="false"/>
      <w:autoSpaceDE w:val="false"/>
      <w:autoSpaceDN w:val="false"/>
      <w:adjustRightInd w:val="false"/>
      <w:spacing w:line="160" w:lineRule="atLeast"/>
    </w:pPr>
    <w:rPr>
      <w:rFonts w:ascii="Arial" w:hAnsi="Arial" w:cs="Arial"/>
    </w:rPr>
  </w:style>
  <w:style w:type="paragraph" w:styleId="Default" w:customStyle="true">
    <w:name w:val="Default"/>
    <w:uiPriority w:val="99"/>
    <w:rsid w:val="00AF652D"/>
    <w:pPr>
      <w:widowControl w:val="false"/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F652D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42E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DocumentMapChar" w:customStyle="true">
    <w:name w:val="Document Map Char"/>
    <w:basedOn w:val="DefaultParagraphFont"/>
    <w:link w:val="DocumentMap"/>
    <w:uiPriority w:val="99"/>
    <w:semiHidden/>
    <w:locked/>
    <w:rsid w:val="008735D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B93086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3086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448142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Baroch Sobota, advokátní kancelář s.r.o</properties:Company>
  <properties:Pages>1</properties:Pages>
  <properties:Words>1381</properties:Words>
  <properties:Characters>8149</properties:Characters>
  <properties:Lines>0</properties:Lines>
  <properties:Paragraphs>0</properties:Paragraphs>
  <properties:TotalTime>0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2013-07-25T08:32:00Z</dcterms:created>
  <dc:creator/>
  <dc:description/>
  <cp:keywords/>
  <cp:lastModifiedBy/>
  <cp:lastPrinted>2005-02-09T08:08:00Z</cp:lastPrinted>
  <dcterms:modified xmlns:xsi="http://www.w3.org/2001/XMLSchema-instance" xsi:type="dcterms:W3CDTF">2013-07-25T08:32:00Z</dcterms:modified>
  <cp:revision>3</cp:revision>
  <dc:subject/>
  <dc:title>Nákupní podmínky</dc:title>
</cp:coreProperties>
</file>