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D63B7" w:rsidR="00671F58" w:rsidP="00671F58" w:rsidRDefault="00671F58">
      <w:pPr>
        <w:pStyle w:val="Zhlav"/>
        <w:rPr>
          <w:rFonts w:ascii="Arial" w:hAnsi="Arial" w:cs="Arial"/>
          <w:b/>
          <w:sz w:val="22"/>
          <w:szCs w:val="22"/>
        </w:rPr>
      </w:pPr>
      <w:r w:rsidRPr="006D63B7">
        <w:rPr>
          <w:rFonts w:ascii="Arial" w:hAnsi="Arial" w:cs="Arial"/>
          <w:b/>
          <w:sz w:val="22"/>
          <w:szCs w:val="22"/>
        </w:rPr>
        <w:t xml:space="preserve">Příloha č. 2d </w:t>
      </w:r>
    </w:p>
    <w:p w:rsidRPr="006D63B7" w:rsidR="00671F58" w:rsidP="00671F58" w:rsidRDefault="00671F58">
      <w:pPr>
        <w:jc w:val="center"/>
        <w:rPr>
          <w:rFonts w:ascii="Arial" w:hAnsi="Arial" w:cs="Arial"/>
          <w:b/>
          <w:sz w:val="28"/>
          <w:szCs w:val="28"/>
        </w:rPr>
      </w:pPr>
      <w:r w:rsidRPr="006D63B7">
        <w:rPr>
          <w:rFonts w:ascii="Arial" w:hAnsi="Arial" w:cs="Arial"/>
          <w:b/>
          <w:sz w:val="28"/>
          <w:szCs w:val="28"/>
        </w:rPr>
        <w:t xml:space="preserve"> Rámcová smlouva</w:t>
      </w:r>
    </w:p>
    <w:p w:rsidRPr="006D63B7" w:rsidR="00671F58" w:rsidP="00671F58" w:rsidRDefault="00671F5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color w:val="auto"/>
          <w:sz w:val="28"/>
          <w:szCs w:val="28"/>
        </w:rPr>
      </w:pPr>
      <w:r w:rsidRPr="006D63B7">
        <w:rPr>
          <w:rFonts w:ascii="Arial" w:hAnsi="Arial" w:cs="Arial"/>
          <w:b/>
          <w:color w:val="auto"/>
          <w:sz w:val="28"/>
          <w:szCs w:val="28"/>
        </w:rPr>
        <w:t>o</w:t>
      </w:r>
    </w:p>
    <w:p w:rsidRPr="006D63B7" w:rsidR="00671F58" w:rsidP="00671F58" w:rsidRDefault="00671F5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color w:val="auto"/>
          <w:sz w:val="28"/>
          <w:szCs w:val="28"/>
          <w:lang w:val="cs-CZ"/>
        </w:rPr>
      </w:pPr>
      <w:r w:rsidRPr="006D63B7">
        <w:rPr>
          <w:rFonts w:ascii="Arial" w:hAnsi="Arial" w:cs="Arial"/>
          <w:b/>
          <w:color w:val="auto"/>
          <w:sz w:val="28"/>
          <w:szCs w:val="28"/>
          <w:lang w:val="cs-CZ"/>
        </w:rPr>
        <w:t>poskytování terénních a ambulantních služeb pro rodiny a děti</w:t>
      </w:r>
    </w:p>
    <w:p w:rsidRPr="006D63B7" w:rsidR="00671F58" w:rsidP="00671F58" w:rsidRDefault="00671F5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color w:val="auto"/>
          <w:szCs w:val="24"/>
          <w:lang w:val="cs-CZ"/>
        </w:rPr>
      </w:pPr>
      <w:r w:rsidRPr="006D63B7">
        <w:rPr>
          <w:rFonts w:ascii="Arial" w:hAnsi="Arial" w:cs="Arial"/>
          <w:color w:val="auto"/>
          <w:szCs w:val="24"/>
          <w:lang w:val="cs-CZ"/>
        </w:rPr>
        <w:t>(dále jen jako „Smlouva“)</w:t>
      </w:r>
    </w:p>
    <w:p w:rsidRPr="006D63B7" w:rsidR="00671F58" w:rsidP="00671F58" w:rsidRDefault="00671F58">
      <w:pPr>
        <w:jc w:val="center"/>
        <w:rPr>
          <w:rFonts w:ascii="Arial" w:hAnsi="Arial" w:cs="Arial"/>
          <w:b/>
          <w:sz w:val="22"/>
          <w:szCs w:val="22"/>
        </w:rPr>
      </w:pPr>
    </w:p>
    <w:p w:rsidRPr="006D63B7" w:rsidR="00671F58" w:rsidP="00671F58" w:rsidRDefault="00671F58">
      <w:pPr>
        <w:jc w:val="both"/>
        <w:rPr>
          <w:rFonts w:ascii="Arial" w:hAnsi="Arial" w:cs="Arial"/>
          <w:sz w:val="22"/>
          <w:szCs w:val="22"/>
        </w:rPr>
      </w:pPr>
      <w:r w:rsidRPr="006D63B7">
        <w:rPr>
          <w:rFonts w:ascii="Arial" w:hAnsi="Arial" w:cs="Arial"/>
          <w:sz w:val="22"/>
          <w:szCs w:val="22"/>
        </w:rPr>
        <w:t>uzavřená podle § 11 a § 89 zákona č. 137/2006 Sb., o veřejných zakázkách, ve znění pozdějších předpisů a zákona č. 513/1991 Sb., obchodní zákoník, ve znění pozdějších předpisů, mezi smluvními stranami:</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bCs/>
          <w:sz w:val="22"/>
          <w:szCs w:val="22"/>
        </w:rPr>
      </w:pPr>
      <w:r w:rsidRPr="006D63B7">
        <w:rPr>
          <w:rFonts w:ascii="Arial" w:hAnsi="Arial" w:cs="Arial"/>
          <w:b/>
          <w:bCs/>
          <w:sz w:val="22"/>
          <w:szCs w:val="22"/>
        </w:rPr>
        <w:t xml:space="preserve">Česká republika – Ministerstvo práce a sociálních věcí </w:t>
      </w:r>
    </w:p>
    <w:p w:rsidRPr="006D63B7" w:rsidR="00671F58" w:rsidP="00671F58" w:rsidRDefault="00671F58">
      <w:pPr>
        <w:rPr>
          <w:rFonts w:ascii="Arial" w:hAnsi="Arial" w:cs="Arial"/>
          <w:bCs/>
          <w:sz w:val="22"/>
          <w:szCs w:val="22"/>
        </w:rPr>
      </w:pPr>
      <w:r w:rsidRPr="006D63B7">
        <w:rPr>
          <w:rFonts w:ascii="Arial" w:hAnsi="Arial" w:cs="Arial"/>
          <w:sz w:val="22"/>
          <w:szCs w:val="22"/>
        </w:rPr>
        <w:t>sídlo: Na Poříčním právu 1/376, 128 01 Praha 2</w:t>
      </w:r>
    </w:p>
    <w:p w:rsidRPr="006D63B7" w:rsidR="00671F58" w:rsidP="00671F58" w:rsidRDefault="00671F58">
      <w:pPr>
        <w:rPr>
          <w:rFonts w:ascii="Arial" w:hAnsi="Arial" w:cs="Arial"/>
          <w:sz w:val="22"/>
          <w:szCs w:val="22"/>
        </w:rPr>
      </w:pPr>
      <w:r w:rsidRPr="006D63B7">
        <w:rPr>
          <w:rFonts w:ascii="Arial" w:hAnsi="Arial" w:cs="Arial"/>
          <w:sz w:val="22"/>
          <w:szCs w:val="22"/>
        </w:rPr>
        <w:t>IČO: 00551023</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r w:rsidRPr="00865B67" w:rsidR="00865B67">
        <w:rPr>
          <w:rFonts w:ascii="Arial" w:hAnsi="Arial" w:cs="Arial"/>
          <w:sz w:val="22"/>
          <w:szCs w:val="22"/>
        </w:rPr>
        <w:t xml:space="preserve">Ing. Vladimír </w:t>
      </w:r>
      <w:proofErr w:type="spellStart"/>
      <w:r w:rsidRPr="00865B67" w:rsidR="00865B67">
        <w:rPr>
          <w:rFonts w:ascii="Arial" w:hAnsi="Arial" w:cs="Arial"/>
          <w:sz w:val="22"/>
          <w:szCs w:val="22"/>
        </w:rPr>
        <w:t>Kváča</w:t>
      </w:r>
      <w:proofErr w:type="spellEnd"/>
      <w:r w:rsidRPr="00865B67" w:rsidR="00865B67">
        <w:rPr>
          <w:rFonts w:ascii="Arial" w:hAnsi="Arial" w:cs="Arial"/>
          <w:sz w:val="22"/>
          <w:szCs w:val="22"/>
        </w:rPr>
        <w:t xml:space="preserve"> Ph.D., vrchní ředitel sekce fondů EU</w:t>
      </w:r>
    </w:p>
    <w:p w:rsidRPr="006D63B7" w:rsidR="00671F58" w:rsidP="00671F58" w:rsidRDefault="00671F58">
      <w:pPr>
        <w:rPr>
          <w:rFonts w:ascii="Arial" w:hAnsi="Arial" w:cs="Arial"/>
          <w:sz w:val="22"/>
          <w:szCs w:val="22"/>
        </w:rPr>
      </w:pPr>
      <w:r w:rsidRPr="006D63B7">
        <w:rPr>
          <w:rFonts w:ascii="Arial" w:hAnsi="Arial" w:cs="Arial"/>
          <w:sz w:val="22"/>
          <w:szCs w:val="22"/>
        </w:rPr>
        <w:t>dále jen</w:t>
      </w:r>
      <w:r w:rsidRPr="006D63B7">
        <w:rPr>
          <w:rFonts w:ascii="Arial" w:hAnsi="Arial" w:cs="Arial"/>
          <w:b/>
          <w:sz w:val="22"/>
          <w:szCs w:val="22"/>
        </w:rPr>
        <w:t xml:space="preserve"> „objednatel“ </w:t>
      </w:r>
      <w:r w:rsidRPr="006D63B7">
        <w:rPr>
          <w:rFonts w:ascii="Arial" w:hAnsi="Arial" w:cs="Arial"/>
          <w:sz w:val="22"/>
          <w:szCs w:val="22"/>
        </w:rPr>
        <w:t>na straně jedné</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lastRenderedPageBreak/>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lastRenderedPageBreak/>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lastRenderedPageBreak/>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a</w:t>
      </w:r>
    </w:p>
    <w:p w:rsidRPr="006D63B7" w:rsidR="00671F58" w:rsidP="00671F58" w:rsidRDefault="00671F58">
      <w:pPr>
        <w:rPr>
          <w:rFonts w:ascii="Arial" w:hAnsi="Arial" w:cs="Arial"/>
          <w:b/>
          <w:sz w:val="22"/>
          <w:szCs w:val="22"/>
        </w:rPr>
      </w:pPr>
    </w:p>
    <w:p w:rsidRPr="006D63B7" w:rsidR="00671F58" w:rsidP="00671F58" w:rsidRDefault="00671F58">
      <w:pPr>
        <w:rPr>
          <w:rFonts w:ascii="Arial" w:hAnsi="Arial" w:cs="Arial"/>
          <w:b/>
          <w:sz w:val="22"/>
          <w:szCs w:val="22"/>
        </w:rPr>
      </w:pPr>
      <w:proofErr w:type="spellStart"/>
      <w:r w:rsidRPr="006D63B7">
        <w:rPr>
          <w:rFonts w:ascii="Arial" w:hAnsi="Arial" w:cs="Arial"/>
          <w:b/>
          <w:sz w:val="22"/>
          <w:szCs w:val="22"/>
        </w:rPr>
        <w:t>xxxxxxx</w:t>
      </w:r>
      <w:proofErr w:type="spellEnd"/>
    </w:p>
    <w:p w:rsidRPr="006D63B7" w:rsidR="00671F58" w:rsidP="00671F58" w:rsidRDefault="00671F58">
      <w:pPr>
        <w:rPr>
          <w:rFonts w:ascii="Arial" w:hAnsi="Arial" w:cs="Arial"/>
          <w:sz w:val="22"/>
          <w:szCs w:val="22"/>
        </w:rPr>
      </w:pPr>
      <w:r w:rsidRPr="006D63B7">
        <w:rPr>
          <w:rFonts w:ascii="Arial" w:hAnsi="Arial" w:cs="Arial"/>
          <w:sz w:val="22"/>
          <w:szCs w:val="22"/>
        </w:rPr>
        <w:t xml:space="preserve">sídlo: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IČO:  </w:t>
      </w:r>
    </w:p>
    <w:p w:rsidRPr="006D63B7" w:rsidR="00671F58" w:rsidP="00671F58" w:rsidRDefault="00671F58">
      <w:pPr>
        <w:rPr>
          <w:rFonts w:ascii="Arial" w:hAnsi="Arial" w:cs="Arial"/>
          <w:sz w:val="22"/>
          <w:szCs w:val="22"/>
        </w:rPr>
      </w:pPr>
      <w:r w:rsidRPr="006D63B7">
        <w:rPr>
          <w:rFonts w:ascii="Arial" w:hAnsi="Arial" w:cs="Arial"/>
          <w:sz w:val="22"/>
          <w:szCs w:val="22"/>
        </w:rPr>
        <w:t>DIČ:</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Bankovní účet číslo: </w:t>
      </w:r>
    </w:p>
    <w:p w:rsidRPr="006D63B7" w:rsidR="00671F58" w:rsidP="00671F58" w:rsidRDefault="00671F58">
      <w:pPr>
        <w:rPr>
          <w:rFonts w:ascii="Arial" w:hAnsi="Arial" w:cs="Arial"/>
          <w:sz w:val="22"/>
          <w:szCs w:val="22"/>
        </w:rPr>
      </w:pPr>
      <w:r w:rsidRPr="006D63B7">
        <w:rPr>
          <w:rFonts w:ascii="Arial" w:hAnsi="Arial" w:cs="Arial"/>
          <w:sz w:val="22"/>
          <w:szCs w:val="22"/>
        </w:rPr>
        <w:t xml:space="preserve">Jednající:  </w:t>
      </w:r>
    </w:p>
    <w:p w:rsidRPr="006D63B7" w:rsidR="00671F58" w:rsidP="00671F58" w:rsidRDefault="00671F58">
      <w:pPr>
        <w:jc w:val="both"/>
        <w:rPr>
          <w:rFonts w:ascii="Arial" w:hAnsi="Arial" w:cs="Arial"/>
          <w:sz w:val="22"/>
          <w:szCs w:val="22"/>
        </w:rPr>
      </w:pPr>
      <w:r w:rsidRPr="006D63B7">
        <w:rPr>
          <w:rFonts w:ascii="Arial" w:hAnsi="Arial" w:cs="Arial"/>
          <w:sz w:val="22"/>
          <w:szCs w:val="22"/>
        </w:rPr>
        <w:t xml:space="preserve">a zapsaná v obchodním rejstříku vedeném </w:t>
      </w:r>
    </w:p>
    <w:p w:rsidRPr="006D63B7" w:rsidR="00671F58" w:rsidP="00671F58" w:rsidRDefault="00671F58">
      <w:pPr>
        <w:jc w:val="both"/>
        <w:rPr>
          <w:rFonts w:ascii="Arial" w:hAnsi="Arial" w:cs="Arial"/>
          <w:sz w:val="22"/>
          <w:szCs w:val="22"/>
        </w:rPr>
      </w:pPr>
    </w:p>
    <w:p w:rsidRPr="006D63B7" w:rsidR="00671F58" w:rsidP="00671F58" w:rsidRDefault="00671F58">
      <w:pPr>
        <w:jc w:val="both"/>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dále jen</w:t>
      </w:r>
      <w:r w:rsidRPr="006D63B7">
        <w:rPr>
          <w:rFonts w:ascii="Arial" w:hAnsi="Arial" w:cs="Arial"/>
          <w:b/>
          <w:sz w:val="22"/>
          <w:szCs w:val="22"/>
        </w:rPr>
        <w:t xml:space="preserve"> „poskytovatelé“ </w:t>
      </w:r>
      <w:r w:rsidRPr="006D63B7">
        <w:rPr>
          <w:rFonts w:ascii="Arial" w:hAnsi="Arial" w:cs="Arial"/>
          <w:sz w:val="22"/>
          <w:szCs w:val="22"/>
        </w:rPr>
        <w:t xml:space="preserve">na straně druhé </w:t>
      </w:r>
    </w:p>
    <w:p w:rsidRPr="006D63B7" w:rsidR="00671F58" w:rsidP="00671F58" w:rsidRDefault="00671F58">
      <w:pPr>
        <w:rPr>
          <w:rFonts w:ascii="Arial" w:hAnsi="Arial" w:cs="Arial"/>
          <w:sz w:val="22"/>
          <w:szCs w:val="22"/>
        </w:rPr>
      </w:pPr>
    </w:p>
    <w:p w:rsidRPr="006D63B7" w:rsidR="00671F58" w:rsidP="00671F58" w:rsidRDefault="00671F58">
      <w:pPr>
        <w:rPr>
          <w:rFonts w:ascii="Arial" w:hAnsi="Arial" w:cs="Arial"/>
          <w:sz w:val="22"/>
          <w:szCs w:val="22"/>
        </w:rPr>
      </w:pPr>
      <w:r w:rsidRPr="006D63B7">
        <w:rPr>
          <w:rFonts w:ascii="Arial" w:hAnsi="Arial" w:cs="Arial"/>
          <w:sz w:val="22"/>
          <w:szCs w:val="22"/>
        </w:rPr>
        <w:t>společně budou objednatel a poskytovatelé dále též označováni jako „smluvní strany“.</w:t>
      </w: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I.</w:t>
      </w: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Úvodní ustanovení</w:t>
      </w:r>
    </w:p>
    <w:p w:rsidRPr="006D63B7" w:rsidR="00671F58" w:rsidP="00671F58" w:rsidRDefault="00671F58">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6D63B7">
        <w:rPr>
          <w:rFonts w:ascii="Arial" w:hAnsi="Arial" w:cs="Arial"/>
          <w:sz w:val="22"/>
          <w:szCs w:val="22"/>
        </w:rPr>
        <w:t>Tato Smlouva byla uzavřena na základě zadávacího řízení objednatele realizovaného dle zákona č. 137/2006, o veřejných zakázkách, v platném znění (dále jen „Zákon“), na veřejnou zakázku s názvem „</w:t>
      </w:r>
      <w:r w:rsidRPr="006D63B7" w:rsidR="00C60467">
        <w:rPr>
          <w:rFonts w:ascii="Arial" w:hAnsi="Arial" w:cs="Arial"/>
          <w:sz w:val="22"/>
          <w:szCs w:val="22"/>
        </w:rPr>
        <w:t>Pilotní ověřování sítě služeb v Pardubickém kraji – rámcová smlouva</w:t>
      </w:r>
      <w:r w:rsidRPr="006D63B7">
        <w:rPr>
          <w:rFonts w:ascii="Arial" w:hAnsi="Arial" w:cs="Arial"/>
          <w:sz w:val="22"/>
          <w:szCs w:val="22"/>
        </w:rPr>
        <w:t xml:space="preserve">“ (dále jen „Veřejná zakázka“). Tato Smlouva se vztahuje k části 4. této Veřejné zakázky s názvem „Terénní a ambulantní služby pro rodiny a děti“. </w:t>
      </w:r>
    </w:p>
    <w:p w:rsidRPr="006D63B7" w:rsidR="00671F58" w:rsidP="00671F58" w:rsidRDefault="00671F58">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6D63B7">
        <w:rPr>
          <w:rFonts w:ascii="Arial" w:hAnsi="Arial" w:cs="Arial"/>
          <w:sz w:val="22"/>
          <w:szCs w:val="22"/>
        </w:rPr>
        <w:t xml:space="preserve">Smluvní strany uzavírají tuto Smlouvu s ohledem na výsledek zadávacího řízení ve vztahu k 4. části Veřejné zakázky. Při výkladu ustanovení této Smlouvy je třeba přihlížet i k ustanovením zadávací dokumentace </w:t>
      </w:r>
      <w:r w:rsidRPr="006D63B7" w:rsidR="00401F40">
        <w:rPr>
          <w:rFonts w:ascii="Arial" w:hAnsi="Arial" w:cs="Arial"/>
          <w:sz w:val="22"/>
          <w:szCs w:val="22"/>
        </w:rPr>
        <w:t>vztahující se k Veřejné zakázce, která je pro smluvní strany závazná; v případě rozporů mezi zadáva</w:t>
      </w:r>
      <w:r w:rsidRPr="006D63B7" w:rsidR="0080794E">
        <w:rPr>
          <w:rFonts w:ascii="Arial" w:hAnsi="Arial" w:cs="Arial"/>
          <w:sz w:val="22"/>
          <w:szCs w:val="22"/>
        </w:rPr>
        <w:t>cí dokumentací a touto nebo D</w:t>
      </w:r>
      <w:r w:rsidRPr="006D63B7" w:rsidR="00401F40">
        <w:rPr>
          <w:rFonts w:ascii="Arial" w:hAnsi="Arial" w:cs="Arial"/>
          <w:sz w:val="22"/>
          <w:szCs w:val="22"/>
        </w:rPr>
        <w:t>ílčí</w:t>
      </w:r>
      <w:r w:rsidRPr="006D63B7" w:rsidR="0080794E">
        <w:rPr>
          <w:rFonts w:ascii="Arial" w:hAnsi="Arial" w:cs="Arial"/>
          <w:sz w:val="22"/>
          <w:szCs w:val="22"/>
        </w:rPr>
        <w:t xml:space="preserve"> smlouvou se použije tato nebo D</w:t>
      </w:r>
      <w:r w:rsidRPr="006D63B7" w:rsidR="00401F40">
        <w:rPr>
          <w:rFonts w:ascii="Arial" w:hAnsi="Arial" w:cs="Arial"/>
          <w:sz w:val="22"/>
          <w:szCs w:val="22"/>
        </w:rPr>
        <w:t>ílčí smlouva.</w:t>
      </w:r>
    </w:p>
    <w:p w:rsidRPr="006D63B7" w:rsidR="00671F58" w:rsidP="00671F58" w:rsidRDefault="00671F58">
      <w:pPr>
        <w:spacing w:before="120" w:after="120"/>
        <w:ind w:right="49"/>
        <w:rPr>
          <w:rFonts w:ascii="Arial" w:hAnsi="Arial" w:cs="Arial"/>
          <w:b/>
          <w:sz w:val="22"/>
          <w:szCs w:val="22"/>
        </w:rPr>
      </w:pP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II.</w:t>
      </w: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 xml:space="preserve">Předmět a účel smlouvy </w:t>
      </w:r>
    </w:p>
    <w:p w:rsidRPr="006D63B7" w:rsidR="00671F58" w:rsidP="00671F58" w:rsidRDefault="00671F58">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6D63B7">
        <w:rPr>
          <w:rFonts w:ascii="Arial" w:hAnsi="Arial" w:cs="Arial"/>
          <w:sz w:val="22"/>
          <w:szCs w:val="22"/>
        </w:rPr>
        <w:t xml:space="preserve">Předmětem 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6D63B7" w:rsidR="00671F58" w:rsidP="00671F58" w:rsidRDefault="00671F58">
      <w:pPr>
        <w:pStyle w:val="Odstavecseseznamem"/>
        <w:numPr>
          <w:ilvl w:val="0"/>
          <w:numId w:val="10"/>
        </w:numPr>
        <w:autoSpaceDE w:val="false"/>
        <w:autoSpaceDN w:val="false"/>
        <w:adjustRightInd w:val="false"/>
        <w:spacing w:before="120" w:after="120"/>
        <w:ind w:right="49"/>
        <w:jc w:val="both"/>
        <w:rPr>
          <w:rFonts w:ascii="Arial" w:hAnsi="Arial" w:cs="Arial"/>
          <w:b/>
          <w:sz w:val="22"/>
          <w:szCs w:val="22"/>
        </w:rPr>
      </w:pPr>
      <w:r w:rsidRPr="006D63B7">
        <w:rPr>
          <w:rFonts w:ascii="Arial" w:hAnsi="Arial" w:cs="Arial"/>
          <w:sz w:val="22"/>
          <w:szCs w:val="22"/>
        </w:rPr>
        <w:t xml:space="preserve">Poskytováním služeb se pro účely této Smlouvy rozumí: Poskytování terénních </w:t>
      </w:r>
      <w:r w:rsidRPr="006D63B7" w:rsidR="00706F53">
        <w:rPr>
          <w:rFonts w:ascii="Arial" w:hAnsi="Arial" w:cs="Arial"/>
          <w:sz w:val="22"/>
          <w:szCs w:val="22"/>
        </w:rPr>
        <w:t xml:space="preserve">a ambulantních </w:t>
      </w:r>
      <w:r w:rsidRPr="006D63B7">
        <w:rPr>
          <w:rFonts w:ascii="Arial" w:hAnsi="Arial" w:cs="Arial"/>
          <w:sz w:val="22"/>
          <w:szCs w:val="22"/>
        </w:rPr>
        <w:t>služeb pro rodiny a děti v přirozeném sociálním prostředí – to je rodina a sociální vazby k osobám blízkým a k místům, kde osoby pracují, vzdělávají se a realizují běžné sociální aktivity. Veškeré činnosti vykonávané v rámci terénních a ambulantních služeb podporují rodinu v obnovení či získání potřebných sociálních kompetencí s cílem využít v maximální možné míře jejích přirozených zdrojů.</w:t>
      </w:r>
    </w:p>
    <w:p w:rsidRPr="006D63B7" w:rsidR="00671F58" w:rsidP="00671F58" w:rsidRDefault="00671F5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671F58" w:rsidP="00671F58" w:rsidRDefault="00671F5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lastRenderedPageBreak/>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671F58" w:rsidP="00671F58" w:rsidRDefault="00671F5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w:t>
      </w:r>
      <w:r w:rsidRPr="006D63B7" w:rsidR="00401F40">
        <w:rPr>
          <w:rFonts w:ascii="Arial" w:hAnsi="Arial" w:cs="Arial"/>
          <w:sz w:val="22"/>
          <w:szCs w:val="22"/>
        </w:rPr>
        <w:t>, popřípadě do doby, na kterou</w:t>
      </w:r>
      <w:r w:rsidRPr="006D63B7" w:rsidR="0080794E">
        <w:rPr>
          <w:rFonts w:ascii="Arial" w:hAnsi="Arial" w:cs="Arial"/>
          <w:sz w:val="22"/>
          <w:szCs w:val="22"/>
        </w:rPr>
        <w:t xml:space="preserve"> bude v uvedené lhůtě uzavřena D</w:t>
      </w:r>
      <w:r w:rsidRPr="006D63B7" w:rsidR="00401F40">
        <w:rPr>
          <w:rFonts w:ascii="Arial" w:hAnsi="Arial" w:cs="Arial"/>
          <w:sz w:val="22"/>
          <w:szCs w:val="22"/>
        </w:rPr>
        <w:t>í</w:t>
      </w:r>
      <w:r w:rsidRPr="006D63B7" w:rsidR="0080794E">
        <w:rPr>
          <w:rFonts w:ascii="Arial" w:hAnsi="Arial" w:cs="Arial"/>
          <w:sz w:val="22"/>
          <w:szCs w:val="22"/>
        </w:rPr>
        <w:t>lčí smlouva, pokud doba trvání D</w:t>
      </w:r>
      <w:r w:rsidRPr="006D63B7" w:rsidR="00401F40">
        <w:rPr>
          <w:rFonts w:ascii="Arial" w:hAnsi="Arial" w:cs="Arial"/>
          <w:sz w:val="22"/>
          <w:szCs w:val="22"/>
        </w:rPr>
        <w:t>ílčí smlouvy bude uvedenou lhůtu přesahovat,</w:t>
      </w:r>
      <w:r w:rsidRPr="006D63B7">
        <w:rPr>
          <w:rFonts w:ascii="Arial" w:hAnsi="Arial" w:cs="Arial"/>
          <w:sz w:val="22"/>
          <w:szCs w:val="22"/>
        </w:rPr>
        <w:t xml:space="preserve">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671F58" w:rsidP="00671F58" w:rsidRDefault="00671F5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9">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671F58" w:rsidP="00671F58" w:rsidRDefault="00671F58">
      <w:pPr>
        <w:spacing w:before="480"/>
        <w:jc w:val="center"/>
        <w:rPr>
          <w:rFonts w:ascii="Arial" w:hAnsi="Arial" w:cs="Arial"/>
          <w:b/>
          <w:sz w:val="22"/>
          <w:szCs w:val="22"/>
        </w:rPr>
      </w:pPr>
      <w:r w:rsidRPr="006D63B7">
        <w:rPr>
          <w:rFonts w:ascii="Arial" w:hAnsi="Arial" w:cs="Arial"/>
          <w:b/>
          <w:sz w:val="22"/>
          <w:szCs w:val="22"/>
        </w:rPr>
        <w:t>III.</w:t>
      </w:r>
    </w:p>
    <w:p w:rsidRPr="006D63B7" w:rsidR="00671F58" w:rsidP="00671F58" w:rsidRDefault="00671F58">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671F58" w:rsidP="00671F58" w:rsidRDefault="00671F58">
      <w:pPr>
        <w:jc w:val="center"/>
        <w:rPr>
          <w:rFonts w:ascii="Arial" w:hAnsi="Arial" w:cs="Arial"/>
          <w:b/>
          <w:sz w:val="22"/>
          <w:szCs w:val="22"/>
        </w:rPr>
      </w:pP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w:t>
      </w:r>
      <w:proofErr w:type="spellStart"/>
      <w:r w:rsidRPr="006D63B7">
        <w:rPr>
          <w:rFonts w:ascii="Arial" w:hAnsi="Arial" w:cs="Arial"/>
          <w:sz w:val="22"/>
          <w:szCs w:val="22"/>
        </w:rPr>
        <w:t>minitendr</w:t>
      </w:r>
      <w:proofErr w:type="spellEnd"/>
      <w:r w:rsidRPr="006D63B7">
        <w:rPr>
          <w:rFonts w:ascii="Arial" w:hAnsi="Arial" w:cs="Arial"/>
          <w:sz w:val="22"/>
          <w:szCs w:val="22"/>
        </w:rPr>
        <w:t>“), tedy na základě výzvy k podání nabídek všem poskytovatelům, se kterými je uzavřena tato Smlouva, a to vzhledem k tomu, že tato Smlouva nevymezuje konkrétně všechny podmínky plnění.</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671F58" w:rsidP="00671F58" w:rsidRDefault="00C6046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Údaj o tom, že základním hodnotícím kritériem pro jednotlivé veřejné zakázky je nejnižší nabídková cena;</w:t>
      </w:r>
      <w:r w:rsidRPr="006D63B7" w:rsidR="00671F58">
        <w:rPr>
          <w:rFonts w:ascii="Arial" w:hAnsi="Arial" w:cs="Arial"/>
          <w:sz w:val="22"/>
          <w:szCs w:val="22"/>
        </w:rPr>
        <w:t>;</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Další požadavky na zpracování nabídky, obsah a/nebo plnění podle Dílčí smlouvy;</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Předmět plnění Dílčí smlouvy bude vymezen totožně s výzvou k podání nabídek. Nemusí se však, co do rozsahu, shodovat s plněním vymezeném v čl. II této Smlouvy. Pro odstranění pochybností se stanoví, že objednatel může poptávat jedno nebo i více plněn</w:t>
      </w:r>
      <w:r w:rsidRPr="006D63B7" w:rsidR="00401F40">
        <w:rPr>
          <w:rFonts w:ascii="Arial" w:hAnsi="Arial" w:cs="Arial"/>
          <w:sz w:val="22"/>
          <w:szCs w:val="22"/>
        </w:rPr>
        <w:t>í uvedených</w:t>
      </w:r>
      <w:r w:rsidRPr="006D63B7">
        <w:rPr>
          <w:rFonts w:ascii="Arial" w:hAnsi="Arial" w:cs="Arial"/>
          <w:sz w:val="22"/>
          <w:szCs w:val="22"/>
        </w:rPr>
        <w:t xml:space="preserve">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lastRenderedPageBreak/>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w:t>
      </w:r>
      <w:r w:rsidRPr="006D63B7" w:rsidR="001613F0">
        <w:rPr>
          <w:rFonts w:ascii="Arial" w:hAnsi="Arial" w:cs="Arial"/>
          <w:sz w:val="22"/>
          <w:szCs w:val="22"/>
        </w:rPr>
        <w:t>ch</w:t>
      </w:r>
      <w:r w:rsidRPr="006D63B7">
        <w:rPr>
          <w:rFonts w:ascii="Arial" w:hAnsi="Arial" w:cs="Arial"/>
          <w:sz w:val="22"/>
          <w:szCs w:val="22"/>
        </w:rPr>
        <w:t xml:space="preserve"> na základě této Smlouvy bude provedeno podle ust. § 78 a § 79 Zákona.</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uzavře Dílčí smlouvu s</w:t>
      </w:r>
      <w:r w:rsidRPr="006D63B7" w:rsidR="00991A47">
        <w:rPr>
          <w:rFonts w:ascii="Arial" w:hAnsi="Arial" w:cs="Arial"/>
          <w:sz w:val="22"/>
          <w:szCs w:val="22"/>
        </w:rPr>
        <w:t> </w:t>
      </w:r>
      <w:r w:rsidRPr="006D63B7">
        <w:rPr>
          <w:rFonts w:ascii="Arial" w:hAnsi="Arial" w:cs="Arial"/>
          <w:sz w:val="22"/>
          <w:szCs w:val="22"/>
        </w:rPr>
        <w:t>poskytovatelem</w:t>
      </w:r>
      <w:r w:rsidRPr="006D63B7" w:rsidR="00991A47">
        <w:rPr>
          <w:rFonts w:ascii="Arial" w:hAnsi="Arial" w:cs="Arial"/>
          <w:sz w:val="22"/>
          <w:szCs w:val="22"/>
        </w:rPr>
        <w:t>, jehož nabídka bude vyhodnocena jako nejvhodnější, a to</w:t>
      </w:r>
      <w:r w:rsidRPr="006D63B7">
        <w:rPr>
          <w:rFonts w:ascii="Arial" w:hAnsi="Arial" w:cs="Arial"/>
          <w:sz w:val="22"/>
          <w:szCs w:val="22"/>
        </w:rPr>
        <w:t xml:space="preserve"> po obdržení úplné nabídky</w:t>
      </w:r>
      <w:r w:rsidRPr="006D63B7" w:rsidR="00991A47">
        <w:rPr>
          <w:rFonts w:ascii="Arial" w:hAnsi="Arial" w:cs="Arial"/>
          <w:sz w:val="22"/>
          <w:szCs w:val="22"/>
        </w:rPr>
        <w:t xml:space="preserve"> ze strany takového poskytovatele.</w:t>
      </w:r>
      <w:r w:rsidRPr="006D63B7">
        <w:rPr>
          <w:rFonts w:ascii="Arial" w:hAnsi="Arial" w:cs="Arial"/>
          <w:sz w:val="22"/>
          <w:szCs w:val="22"/>
        </w:rPr>
        <w:t xml:space="preserve"> </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671F58" w:rsidP="00671F58" w:rsidRDefault="00671F5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zanikají buď řádným splněním, nebo z následujících důvodů:</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671F58" w:rsidP="00671F58" w:rsidRDefault="00671F5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671F58" w:rsidP="00671F58" w:rsidRDefault="00671F58">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 xml:space="preserve">vůči majetku poskytovatele probíhá insolvenční řízení, v němž bylo vydáno rozhodnutí o úpadku nebo insolvenční návrh byl zamítnut proto, že majetek nepostačuje k úhradě nákladů insolvenčního řízení, nebo byl konkurs zrušen </w:t>
      </w:r>
      <w:r w:rsidRPr="006D63B7">
        <w:rPr>
          <w:rFonts w:ascii="Arial" w:hAnsi="Arial" w:cs="Arial"/>
          <w:sz w:val="22"/>
          <w:szCs w:val="22"/>
        </w:rPr>
        <w:lastRenderedPageBreak/>
        <w:t>proto, že majetek byl zcela nepostačující nebo vstoupí-li poskytovatel do likvidace,</w:t>
      </w:r>
    </w:p>
    <w:p w:rsidRPr="006D63B7" w:rsidR="00671F58" w:rsidP="00671F58" w:rsidRDefault="00671F58">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671F58" w:rsidP="00671F58" w:rsidRDefault="00671F58">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671F58" w:rsidP="00671F58" w:rsidRDefault="00671F58">
      <w:pPr>
        <w:spacing w:before="120" w:after="120"/>
        <w:ind w:left="1080" w:right="49"/>
        <w:jc w:val="both"/>
        <w:rPr>
          <w:rFonts w:ascii="Arial" w:hAnsi="Arial" w:cs="Arial"/>
          <w:sz w:val="22"/>
          <w:szCs w:val="22"/>
        </w:rPr>
      </w:pPr>
      <w:r w:rsidRPr="006D63B7">
        <w:rPr>
          <w:rFonts w:ascii="Arial" w:hAnsi="Arial" w:cs="Arial"/>
          <w:sz w:val="22"/>
          <w:szCs w:val="22"/>
        </w:rPr>
        <w:t xml:space="preserve">Účinky odstoupení od </w:t>
      </w:r>
      <w:r w:rsidRPr="006D63B7" w:rsidR="00991A47">
        <w:rPr>
          <w:rFonts w:ascii="Arial" w:hAnsi="Arial" w:cs="Arial"/>
          <w:sz w:val="22"/>
          <w:szCs w:val="22"/>
        </w:rPr>
        <w:t>S</w:t>
      </w:r>
      <w:r w:rsidRPr="006D63B7">
        <w:rPr>
          <w:rFonts w:ascii="Arial" w:hAnsi="Arial" w:cs="Arial"/>
          <w:sz w:val="22"/>
          <w:szCs w:val="22"/>
        </w:rPr>
        <w:t xml:space="preserve">mlouvy nastávají v těchto případech okamžikem doručení písemného odstoupení od </w:t>
      </w:r>
      <w:r w:rsidRPr="006D63B7" w:rsidR="00991A47">
        <w:rPr>
          <w:rFonts w:ascii="Arial" w:hAnsi="Arial" w:cs="Arial"/>
          <w:sz w:val="22"/>
          <w:szCs w:val="22"/>
        </w:rPr>
        <w:t>S</w:t>
      </w:r>
      <w:r w:rsidRPr="006D63B7">
        <w:rPr>
          <w:rFonts w:ascii="Arial" w:hAnsi="Arial" w:cs="Arial"/>
          <w:sz w:val="22"/>
          <w:szCs w:val="22"/>
        </w:rPr>
        <w:t>mlouvy poskytovateli.</w:t>
      </w:r>
    </w:p>
    <w:p w:rsidRPr="006D63B7" w:rsidR="00671F58" w:rsidP="00671F58" w:rsidRDefault="00671F58">
      <w:pPr>
        <w:spacing w:before="120" w:after="120"/>
        <w:ind w:right="49"/>
        <w:jc w:val="both"/>
        <w:rPr>
          <w:rFonts w:ascii="Arial" w:hAnsi="Arial" w:cs="Arial"/>
          <w:sz w:val="22"/>
          <w:szCs w:val="22"/>
        </w:rPr>
      </w:pPr>
    </w:p>
    <w:p w:rsidRPr="006D63B7" w:rsidR="00671F58" w:rsidP="00671F58" w:rsidRDefault="00671F58">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671F58" w:rsidP="00671F58" w:rsidRDefault="00671F58">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671F58" w:rsidP="00671F58" w:rsidRDefault="00671F58">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Místem plnění předmětu smlouvy je Pardubický kraj, Česká republika</w:t>
      </w:r>
      <w:r w:rsidRPr="006D63B7">
        <w:rPr>
          <w:rFonts w:ascii="Arial" w:hAnsi="Arial" w:cs="Arial"/>
          <w:bCs/>
          <w:sz w:val="22"/>
          <w:szCs w:val="22"/>
        </w:rPr>
        <w:t xml:space="preserve"> </w:t>
      </w:r>
    </w:p>
    <w:p w:rsidRPr="006D63B7" w:rsidR="00671F58" w:rsidP="00671F58" w:rsidRDefault="00671F58">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w:t>
      </w:r>
      <w:r w:rsidRPr="006D63B7" w:rsidR="00401F40">
        <w:rPr>
          <w:rFonts w:ascii="Arial" w:hAnsi="Arial" w:cs="Arial"/>
          <w:sz w:val="22"/>
        </w:rPr>
        <w:t xml:space="preserve">2014, popřípadě doba, </w:t>
      </w:r>
      <w:r w:rsidRPr="006D63B7" w:rsidR="00401F40">
        <w:rPr>
          <w:rFonts w:ascii="Arial" w:hAnsi="Arial" w:cs="Arial"/>
          <w:sz w:val="22"/>
          <w:szCs w:val="22"/>
        </w:rPr>
        <w:t xml:space="preserve">na kterou bude v uvedené lhůtě </w:t>
      </w:r>
      <w:r w:rsidRPr="006D63B7" w:rsidR="0080794E">
        <w:rPr>
          <w:rFonts w:ascii="Arial" w:hAnsi="Arial" w:cs="Arial"/>
          <w:sz w:val="22"/>
          <w:szCs w:val="22"/>
        </w:rPr>
        <w:t>uzavřena D</w:t>
      </w:r>
      <w:r w:rsidRPr="006D63B7" w:rsidR="00401F40">
        <w:rPr>
          <w:rFonts w:ascii="Arial" w:hAnsi="Arial" w:cs="Arial"/>
          <w:sz w:val="22"/>
          <w:szCs w:val="22"/>
        </w:rPr>
        <w:t>í</w:t>
      </w:r>
      <w:r w:rsidRPr="006D63B7" w:rsidR="0080794E">
        <w:rPr>
          <w:rFonts w:ascii="Arial" w:hAnsi="Arial" w:cs="Arial"/>
          <w:sz w:val="22"/>
          <w:szCs w:val="22"/>
        </w:rPr>
        <w:t>lčí smlouva, pokud doba trvání D</w:t>
      </w:r>
      <w:r w:rsidRPr="006D63B7" w:rsidR="00401F40">
        <w:rPr>
          <w:rFonts w:ascii="Arial" w:hAnsi="Arial" w:cs="Arial"/>
          <w:sz w:val="22"/>
          <w:szCs w:val="22"/>
        </w:rPr>
        <w:t>ílčí smlouvy bude uvedenou lhůtu přesahovat</w:t>
      </w:r>
      <w:r w:rsidRPr="006D63B7" w:rsidR="00401F40">
        <w:rPr>
          <w:rFonts w:ascii="Arial" w:hAnsi="Arial" w:cs="Arial"/>
          <w:sz w:val="22"/>
        </w:rPr>
        <w:t>.</w:t>
      </w:r>
    </w:p>
    <w:p w:rsidRPr="006D63B7" w:rsidR="00671F58" w:rsidP="00671F58" w:rsidRDefault="00671F58">
      <w:pPr>
        <w:spacing w:before="120" w:after="120"/>
        <w:ind w:left="720" w:right="49"/>
        <w:jc w:val="both"/>
        <w:rPr>
          <w:rFonts w:ascii="Arial" w:hAnsi="Arial" w:cs="Arial"/>
          <w:b/>
          <w:sz w:val="22"/>
          <w:szCs w:val="22"/>
        </w:rPr>
      </w:pPr>
    </w:p>
    <w:p w:rsidRPr="006D63B7" w:rsidR="00671F58" w:rsidP="00671F58" w:rsidRDefault="00671F58">
      <w:pPr>
        <w:ind w:right="49"/>
        <w:jc w:val="center"/>
        <w:rPr>
          <w:rFonts w:ascii="Arial" w:hAnsi="Arial" w:cs="Arial"/>
          <w:b/>
          <w:sz w:val="22"/>
          <w:szCs w:val="22"/>
        </w:rPr>
      </w:pPr>
      <w:r w:rsidRPr="006D63B7">
        <w:rPr>
          <w:rFonts w:ascii="Arial" w:hAnsi="Arial" w:cs="Arial"/>
          <w:b/>
          <w:sz w:val="22"/>
          <w:szCs w:val="22"/>
        </w:rPr>
        <w:t>V.</w:t>
      </w:r>
    </w:p>
    <w:p w:rsidRPr="006D63B7" w:rsidR="00671F58" w:rsidP="00671F58" w:rsidRDefault="00671F58">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Celková cena za předmět plnění je smluvní, konečn</w:t>
      </w:r>
      <w:r w:rsidRPr="006D63B7" w:rsidR="003C0747">
        <w:rPr>
          <w:rFonts w:ascii="Arial" w:hAnsi="Arial" w:cs="Arial"/>
          <w:sz w:val="22"/>
          <w:szCs w:val="22"/>
        </w:rPr>
        <w:t>á</w:t>
      </w:r>
      <w:r w:rsidRPr="006D63B7">
        <w:rPr>
          <w:rFonts w:ascii="Arial" w:hAnsi="Arial" w:cs="Arial"/>
          <w:sz w:val="22"/>
          <w:szCs w:val="22"/>
        </w:rPr>
        <w:t xml:space="preserve"> a nepřekročiteln</w:t>
      </w:r>
      <w:r w:rsidRPr="006D63B7" w:rsidR="003C0747">
        <w:rPr>
          <w:rFonts w:ascii="Arial" w:hAnsi="Arial" w:cs="Arial"/>
          <w:sz w:val="22"/>
          <w:szCs w:val="22"/>
        </w:rPr>
        <w:t>á</w:t>
      </w:r>
      <w:r w:rsidRPr="006D63B7">
        <w:rPr>
          <w:rFonts w:ascii="Arial" w:hAnsi="Arial" w:cs="Arial"/>
          <w:sz w:val="22"/>
          <w:szCs w:val="22"/>
        </w:rPr>
        <w:t>, tj. zahrnující všechny náklady poskytovatele související s poskytováním smluvených služeb např. cenu dopravy, tisk materiálů apod. Poskytovatel není oprávněn po objednateli nad rámec smluvené ceny požadovat jakékoliv další plnění. Jedinou výjimku tvoří bod 5. níže.</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Cenu je možné překročit pouze v souvislosti se změnou daňových předpisů týkajících se DPH. </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w:t>
      </w:r>
      <w:r w:rsidRPr="006D63B7" w:rsidR="00DD1563">
        <w:rPr>
          <w:rFonts w:ascii="Arial" w:hAnsi="Arial" w:cs="Arial"/>
          <w:sz w:val="22"/>
          <w:szCs w:val="22"/>
        </w:rPr>
        <w:t>b</w:t>
      </w:r>
      <w:r w:rsidRPr="006D63B7">
        <w:rPr>
          <w:rFonts w:ascii="Arial" w:hAnsi="Arial" w:cs="Arial"/>
          <w:sz w:val="22"/>
          <w:szCs w:val="22"/>
        </w:rPr>
        <w:t>řezna</w:t>
      </w:r>
      <w:r w:rsidRPr="006D63B7" w:rsidR="00DD1563">
        <w:rPr>
          <w:rFonts w:ascii="Arial" w:hAnsi="Arial" w:cs="Arial"/>
          <w:sz w:val="22"/>
          <w:szCs w:val="22"/>
        </w:rPr>
        <w:t xml:space="preserve"> následujícího roku</w:t>
      </w:r>
      <w:r w:rsidRPr="006D63B7">
        <w:rPr>
          <w:rFonts w:ascii="Arial" w:hAnsi="Arial" w:cs="Arial"/>
          <w:sz w:val="22"/>
          <w:szCs w:val="22"/>
        </w:rPr>
        <w:t>.</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671F58" w:rsidP="00671F58" w:rsidRDefault="00671F5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671F58" w:rsidP="00671F58" w:rsidRDefault="00671F58">
      <w:pPr>
        <w:ind w:right="49"/>
        <w:jc w:val="center"/>
        <w:rPr>
          <w:rFonts w:ascii="Arial" w:hAnsi="Arial" w:cs="Arial"/>
          <w:b/>
          <w:sz w:val="22"/>
          <w:szCs w:val="22"/>
        </w:rPr>
      </w:pPr>
    </w:p>
    <w:p w:rsidRPr="006D63B7" w:rsidR="00671F58" w:rsidP="00671F58" w:rsidRDefault="00671F58">
      <w:pPr>
        <w:ind w:right="49"/>
        <w:jc w:val="center"/>
        <w:rPr>
          <w:rFonts w:ascii="Arial" w:hAnsi="Arial" w:cs="Arial"/>
          <w:b/>
          <w:sz w:val="22"/>
          <w:szCs w:val="22"/>
        </w:rPr>
      </w:pPr>
      <w:r w:rsidRPr="006D63B7">
        <w:rPr>
          <w:rFonts w:ascii="Arial" w:hAnsi="Arial" w:cs="Arial"/>
          <w:b/>
          <w:sz w:val="22"/>
          <w:szCs w:val="22"/>
        </w:rPr>
        <w:t>VI.</w:t>
      </w:r>
    </w:p>
    <w:p w:rsidRPr="006D63B7" w:rsidR="00671F58" w:rsidP="00671F58" w:rsidRDefault="00671F58">
      <w:pPr>
        <w:ind w:right="49"/>
        <w:jc w:val="center"/>
        <w:rPr>
          <w:rFonts w:ascii="Arial" w:hAnsi="Arial" w:cs="Arial"/>
          <w:b/>
          <w:sz w:val="22"/>
          <w:szCs w:val="22"/>
        </w:rPr>
      </w:pPr>
      <w:r w:rsidRPr="006D63B7">
        <w:rPr>
          <w:rFonts w:ascii="Arial" w:hAnsi="Arial" w:cs="Arial"/>
          <w:b/>
          <w:sz w:val="22"/>
          <w:szCs w:val="22"/>
        </w:rPr>
        <w:t>Subdodavatelé</w:t>
      </w:r>
    </w:p>
    <w:p w:rsidRPr="006D63B7" w:rsidR="00671F58" w:rsidP="00671F58" w:rsidRDefault="00671F58">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671F58" w:rsidP="00671F58" w:rsidRDefault="00671F58">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671F58" w:rsidP="00671F58" w:rsidRDefault="00671F58">
      <w:pPr>
        <w:spacing w:before="120" w:after="120"/>
        <w:ind w:right="49"/>
        <w:jc w:val="center"/>
        <w:rPr>
          <w:rFonts w:ascii="Arial" w:hAnsi="Arial" w:cs="Arial"/>
          <w:b/>
          <w:sz w:val="22"/>
          <w:szCs w:val="22"/>
        </w:rPr>
      </w:pP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VII.</w:t>
      </w: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Práva a povinnosti smluvních stran</w:t>
      </w:r>
    </w:p>
    <w:p w:rsidRPr="006D63B7" w:rsidR="00671F58" w:rsidP="00671F58" w:rsidRDefault="00671F58">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671F58" w:rsidP="00671F58" w:rsidRDefault="00671F58">
      <w:pPr>
        <w:numPr>
          <w:ilvl w:val="0"/>
          <w:numId w:val="5"/>
        </w:numPr>
        <w:spacing w:before="240" w:after="120"/>
        <w:ind w:right="49"/>
        <w:jc w:val="both"/>
        <w:rPr>
          <w:rFonts w:ascii="Arial" w:hAnsi="Arial" w:cs="Arial"/>
          <w:sz w:val="22"/>
          <w:szCs w:val="22"/>
        </w:rPr>
      </w:pPr>
      <w:r w:rsidRPr="006D63B7">
        <w:rPr>
          <w:rFonts w:ascii="Arial" w:hAnsi="Arial" w:cs="Arial"/>
          <w:sz w:val="22"/>
          <w:szCs w:val="22"/>
        </w:rPr>
        <w:t>Poskytovatel se zavazuje během plnění zakázky a zároveň do konce roku 202</w:t>
      </w:r>
      <w:r w:rsidRPr="006D63B7" w:rsidR="00991CF0">
        <w:rPr>
          <w:rFonts w:ascii="Arial" w:hAnsi="Arial" w:cs="Arial"/>
          <w:sz w:val="22"/>
          <w:szCs w:val="22"/>
        </w:rPr>
        <w:t>5</w:t>
      </w:r>
      <w:r w:rsidRPr="006D63B7">
        <w:rPr>
          <w:rFonts w:ascii="Arial" w:hAnsi="Arial" w:cs="Arial"/>
          <w:sz w:val="22"/>
          <w:szCs w:val="22"/>
        </w:rPr>
        <w:t xml:space="preserve">,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w:t>
      </w:r>
      <w:r w:rsidRPr="006D63B7" w:rsidR="00991CF0">
        <w:rPr>
          <w:rFonts w:ascii="Arial" w:hAnsi="Arial" w:cs="Arial"/>
          <w:sz w:val="22"/>
          <w:szCs w:val="22"/>
        </w:rPr>
        <w:t>5</w:t>
      </w:r>
      <w:r w:rsidRPr="006D63B7">
        <w:rPr>
          <w:rFonts w:ascii="Arial" w:hAnsi="Arial" w:cs="Arial"/>
          <w:sz w:val="22"/>
          <w:szCs w:val="22"/>
        </w:rPr>
        <w:t xml:space="preserve">, příp. po dobu stanovenou právními předpisy ČR, pokud je tato lhůta delší. Účetní doklady budou uchovány způsobem uvedeným v zákoně č. 563/1991 Sb., o účetnictví, ve znění pozdějších předpisů. </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w:t>
      </w:r>
      <w:r w:rsidRPr="006D63B7" w:rsidR="00991CF0">
        <w:rPr>
          <w:rFonts w:ascii="Arial" w:hAnsi="Arial" w:cs="Arial"/>
          <w:sz w:val="22"/>
          <w:szCs w:val="22"/>
        </w:rPr>
        <w:t xml:space="preserve">požadovanou </w:t>
      </w:r>
      <w:r w:rsidRPr="006D63B7">
        <w:rPr>
          <w:rFonts w:ascii="Arial" w:hAnsi="Arial" w:cs="Arial"/>
          <w:sz w:val="22"/>
          <w:szCs w:val="22"/>
        </w:rPr>
        <w:t xml:space="preserve">kvalifikaci či specializaci mají. </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w:t>
      </w:r>
      <w:r w:rsidRPr="006D63B7" w:rsidR="00401F40">
        <w:rPr>
          <w:rFonts w:ascii="Arial" w:hAnsi="Arial" w:cs="Arial"/>
          <w:sz w:val="22"/>
          <w:szCs w:val="22"/>
        </w:rPr>
        <w:t>, které určí objednatel,</w:t>
      </w:r>
      <w:r w:rsidRPr="006D63B7">
        <w:rPr>
          <w:rFonts w:ascii="Arial" w:hAnsi="Arial" w:cs="Arial"/>
          <w:sz w:val="22"/>
          <w:szCs w:val="22"/>
        </w:rPr>
        <w:t xml:space="preserve"> budou realizovány v sídle objednatele. </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671F58" w:rsidP="00671F58" w:rsidRDefault="00671F58">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bude spolupracovat s objednatelem (konkrétně odborem 21), expertním týmem. Objednatel požaduje od poskytovatele otevřený přístup, průběžnou komunikaci a interakci se zadavatelem, společné upřesnění dílčích postupů tak, aby </w:t>
      </w:r>
      <w:r w:rsidRPr="006D63B7">
        <w:rPr>
          <w:rFonts w:ascii="Arial" w:hAnsi="Arial" w:cs="Arial"/>
          <w:sz w:val="22"/>
          <w:szCs w:val="22"/>
        </w:rPr>
        <w:lastRenderedPageBreak/>
        <w:t>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671F58" w:rsidP="00671F58" w:rsidRDefault="00671F58">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671F58" w:rsidP="00671F58" w:rsidRDefault="00671F58">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0"/>
      <w:bookmarkStart w:name="_Toc346902954" w:id="1"/>
      <w:bookmarkStart w:name="_Toc349033230" w:id="2"/>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0"/>
      <w:bookmarkEnd w:id="1"/>
      <w:bookmarkEnd w:id="2"/>
      <w:r w:rsidRPr="006D63B7">
        <w:rPr>
          <w:rFonts w:ascii="Arial" w:hAnsi="Arial" w:cs="Arial"/>
          <w:b w:val="false"/>
          <w:sz w:val="22"/>
          <w:szCs w:val="22"/>
        </w:rPr>
        <w:t xml:space="preserve"> </w:t>
      </w:r>
    </w:p>
    <w:p w:rsidRPr="006D63B7" w:rsidR="00671F58" w:rsidP="00671F58" w:rsidRDefault="00671F5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671F58" w:rsidP="00671F58" w:rsidRDefault="00671F58">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934BB7" w:rsidP="00934BB7" w:rsidRDefault="00934BB7">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934BB7" w:rsidP="00D81427" w:rsidRDefault="00934BB7">
      <w:pPr>
        <w:pStyle w:val="FreeFormA"/>
        <w:ind w:left="720"/>
        <w:jc w:val="both"/>
        <w:rPr>
          <w:rFonts w:ascii="Arial" w:hAnsi="Arial"/>
          <w:color w:val="auto"/>
          <w:sz w:val="22"/>
          <w:szCs w:val="22"/>
        </w:rPr>
      </w:pPr>
    </w:p>
    <w:p w:rsidRPr="006D63B7" w:rsidR="00671F58" w:rsidP="00671F58" w:rsidRDefault="00671F58">
      <w:pPr>
        <w:spacing w:before="120" w:after="120"/>
        <w:ind w:right="49"/>
        <w:jc w:val="center"/>
        <w:rPr>
          <w:rFonts w:ascii="Arial" w:hAnsi="Arial" w:cs="Arial"/>
          <w:b/>
          <w:sz w:val="22"/>
          <w:szCs w:val="22"/>
        </w:rPr>
      </w:pPr>
    </w:p>
    <w:p w:rsidRPr="006D63B7" w:rsidR="00671F58" w:rsidP="00671F58" w:rsidRDefault="00E64D73">
      <w:pPr>
        <w:spacing w:before="120" w:after="120"/>
        <w:ind w:right="49"/>
        <w:jc w:val="center"/>
        <w:rPr>
          <w:rFonts w:ascii="Arial" w:hAnsi="Arial" w:cs="Arial"/>
          <w:b/>
          <w:sz w:val="22"/>
          <w:szCs w:val="22"/>
        </w:rPr>
      </w:pPr>
      <w:r w:rsidRPr="006D63B7">
        <w:rPr>
          <w:rFonts w:ascii="Arial" w:hAnsi="Arial" w:cs="Arial"/>
          <w:b/>
          <w:sz w:val="22"/>
          <w:szCs w:val="22"/>
        </w:rPr>
        <w:t>VIII</w:t>
      </w:r>
      <w:r w:rsidRPr="006D63B7" w:rsidR="00671F58">
        <w:rPr>
          <w:rFonts w:ascii="Arial" w:hAnsi="Arial" w:cs="Arial"/>
          <w:b/>
          <w:sz w:val="22"/>
          <w:szCs w:val="22"/>
        </w:rPr>
        <w:t>.</w:t>
      </w: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671F58" w:rsidP="00671F58" w:rsidRDefault="00671F5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w:t>
      </w:r>
      <w:r w:rsidRPr="006D63B7" w:rsidR="001E72E4">
        <w:rPr>
          <w:rFonts w:ascii="Arial" w:hAnsi="Arial" w:cs="Arial"/>
          <w:sz w:val="22"/>
          <w:szCs w:val="22"/>
        </w:rPr>
        <w:t xml:space="preserve">ohledně </w:t>
      </w:r>
      <w:r w:rsidRPr="006D63B7">
        <w:rPr>
          <w:rFonts w:ascii="Arial" w:hAnsi="Arial" w:cs="Arial"/>
          <w:sz w:val="22"/>
          <w:szCs w:val="22"/>
        </w:rPr>
        <w:t>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671F58" w:rsidP="00671F58" w:rsidRDefault="00671F5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porušení mlčenlivosti</w:t>
      </w:r>
      <w:r w:rsidRPr="006D63B7" w:rsidR="001E72E4">
        <w:rPr>
          <w:rFonts w:ascii="Arial" w:hAnsi="Arial" w:cs="Arial"/>
          <w:sz w:val="22"/>
          <w:szCs w:val="22"/>
        </w:rPr>
        <w:t xml:space="preserve"> (článek VII. bod </w:t>
      </w:r>
      <w:r w:rsidR="001911EC">
        <w:rPr>
          <w:rFonts w:ascii="Arial" w:hAnsi="Arial" w:cs="Arial"/>
          <w:sz w:val="22"/>
          <w:szCs w:val="22"/>
        </w:rPr>
        <w:t>19</w:t>
      </w:r>
      <w:r w:rsidRPr="006D63B7" w:rsidR="001E72E4">
        <w:rPr>
          <w:rFonts w:ascii="Arial" w:hAnsi="Arial" w:cs="Arial"/>
          <w:sz w:val="22"/>
          <w:szCs w:val="22"/>
        </w:rPr>
        <w:t>. Smlouvy)</w:t>
      </w:r>
      <w:r w:rsidRPr="006D63B7">
        <w:rPr>
          <w:rFonts w:ascii="Arial" w:hAnsi="Arial" w:cs="Arial"/>
          <w:sz w:val="22"/>
          <w:szCs w:val="22"/>
        </w:rPr>
        <w:t xml:space="preserve"> a povinností stanovených v čl. VII. a XI. odst. 1 této Smlouvy se poskytovatel zavazuje zaplatit </w:t>
      </w:r>
      <w:r w:rsidRPr="006D63B7">
        <w:rPr>
          <w:rFonts w:ascii="Arial" w:hAnsi="Arial" w:cs="Arial"/>
          <w:sz w:val="22"/>
          <w:szCs w:val="22"/>
        </w:rPr>
        <w:lastRenderedPageBreak/>
        <w:t>objednateli smluvní pokutu ve výši 10.000,- Kč za každé takové porušení Smlouvy, a to i opakovaně</w:t>
      </w:r>
      <w:r w:rsidRPr="006D63B7" w:rsidR="00401F40">
        <w:rPr>
          <w:rFonts w:ascii="Arial" w:hAnsi="Arial" w:cs="Arial"/>
          <w:sz w:val="22"/>
          <w:szCs w:val="22"/>
        </w:rPr>
        <w:t>,</w:t>
      </w:r>
      <w:r w:rsidRPr="006D63B7">
        <w:rPr>
          <w:rFonts w:ascii="Arial" w:hAnsi="Arial" w:cs="Arial"/>
          <w:sz w:val="22"/>
          <w:szCs w:val="22"/>
        </w:rPr>
        <w:t xml:space="preserve"> až do splnění povinností poskytovatele vyplývajících z této Smlouvy.  </w:t>
      </w:r>
    </w:p>
    <w:p w:rsidRPr="006D63B7" w:rsidR="00CF0F7C" w:rsidP="00671F58" w:rsidRDefault="00CF0F7C">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w:t>
      </w:r>
      <w:bookmarkStart w:name="_GoBack" w:id="3"/>
      <w:bookmarkEnd w:id="3"/>
      <w:r w:rsidRPr="006D63B7">
        <w:rPr>
          <w:rFonts w:ascii="Arial" w:hAnsi="Arial" w:cs="Arial"/>
          <w:sz w:val="22"/>
          <w:szCs w:val="22"/>
        </w:rPr>
        <w:t xml:space="preserve">II bod </w:t>
      </w:r>
      <w:r w:rsidR="001911EC">
        <w:rPr>
          <w:rFonts w:ascii="Arial" w:hAnsi="Arial" w:cs="Arial"/>
          <w:sz w:val="22"/>
          <w:szCs w:val="22"/>
        </w:rPr>
        <w:t>20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671F58" w:rsidP="00671F58" w:rsidRDefault="00671F5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671F58" w:rsidP="00671F58" w:rsidRDefault="00671F5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671F58" w:rsidP="00671F58" w:rsidRDefault="00671F5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671F58" w:rsidP="00671F58" w:rsidRDefault="00671F58">
      <w:pPr>
        <w:spacing w:before="120" w:after="120"/>
        <w:ind w:right="49"/>
        <w:rPr>
          <w:rFonts w:ascii="Arial" w:hAnsi="Arial" w:cs="Arial"/>
          <w:b/>
          <w:sz w:val="22"/>
          <w:szCs w:val="22"/>
        </w:rPr>
      </w:pPr>
    </w:p>
    <w:p w:rsidRPr="006D63B7" w:rsidR="00671F58" w:rsidP="00671F58" w:rsidRDefault="00E64D73">
      <w:pPr>
        <w:spacing w:before="120" w:after="120"/>
        <w:ind w:right="49"/>
        <w:jc w:val="center"/>
        <w:rPr>
          <w:rFonts w:ascii="Arial" w:hAnsi="Arial" w:cs="Arial"/>
          <w:b/>
          <w:sz w:val="22"/>
          <w:szCs w:val="22"/>
        </w:rPr>
      </w:pPr>
      <w:r w:rsidRPr="006D63B7">
        <w:rPr>
          <w:rFonts w:ascii="Arial" w:hAnsi="Arial" w:cs="Arial"/>
          <w:b/>
          <w:sz w:val="22"/>
          <w:szCs w:val="22"/>
        </w:rPr>
        <w:t>I</w:t>
      </w:r>
      <w:r w:rsidRPr="006D63B7" w:rsidR="00671F58">
        <w:rPr>
          <w:rFonts w:ascii="Arial" w:hAnsi="Arial" w:cs="Arial"/>
          <w:b/>
          <w:sz w:val="22"/>
          <w:szCs w:val="22"/>
        </w:rPr>
        <w:t>X.</w:t>
      </w:r>
    </w:p>
    <w:p w:rsidRPr="006D63B7" w:rsidR="00671F58" w:rsidP="00671F58" w:rsidRDefault="00401F40">
      <w:pPr>
        <w:spacing w:before="120" w:after="120"/>
        <w:ind w:right="49"/>
        <w:jc w:val="center"/>
        <w:rPr>
          <w:rFonts w:ascii="Arial" w:hAnsi="Arial" w:cs="Arial"/>
          <w:b/>
          <w:sz w:val="22"/>
          <w:szCs w:val="22"/>
        </w:rPr>
      </w:pPr>
      <w:r w:rsidRPr="006D63B7">
        <w:rPr>
          <w:rFonts w:ascii="Arial" w:hAnsi="Arial" w:cs="Arial"/>
          <w:b/>
          <w:sz w:val="22"/>
          <w:szCs w:val="22"/>
        </w:rPr>
        <w:t>Doba trvání a u</w:t>
      </w:r>
      <w:r w:rsidRPr="006D63B7" w:rsidR="00671F58">
        <w:rPr>
          <w:rFonts w:ascii="Arial" w:hAnsi="Arial" w:cs="Arial"/>
          <w:b/>
          <w:sz w:val="22"/>
          <w:szCs w:val="22"/>
        </w:rPr>
        <w:t>končení smlouvy</w:t>
      </w:r>
    </w:p>
    <w:p w:rsidRPr="006D63B7" w:rsidR="00401F40" w:rsidP="00401F40" w:rsidRDefault="00401F40">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rámcová smlouva se uzavírá na dobu určitou do 31. 12. 2014. Tím není dotčeno ustanovení článku II. bod 5. této </w:t>
      </w:r>
      <w:r w:rsidRPr="006D63B7" w:rsidR="00934BB7">
        <w:rPr>
          <w:rFonts w:ascii="Arial" w:hAnsi="Arial" w:cs="Arial"/>
          <w:sz w:val="22"/>
          <w:szCs w:val="22"/>
        </w:rPr>
        <w:t>S</w:t>
      </w:r>
      <w:r w:rsidRPr="006D63B7">
        <w:rPr>
          <w:rFonts w:ascii="Arial" w:hAnsi="Arial" w:cs="Arial"/>
          <w:sz w:val="22"/>
          <w:szCs w:val="22"/>
        </w:rPr>
        <w:t>mlouvy.</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Smlouva bude ukončena uplynutím doby, na kterou byla sjednána. Ukončením této Smlouvy není dotčena platnost ani účinnost Dílčích smluv uzavřených na základě této Smlouvy před uplynutím doby</w:t>
      </w:r>
      <w:r w:rsidRPr="006D63B7" w:rsidR="00FD7F17">
        <w:rPr>
          <w:rFonts w:ascii="Arial" w:hAnsi="Arial" w:cs="Arial"/>
          <w:sz w:val="22"/>
          <w:szCs w:val="22"/>
        </w:rPr>
        <w:t xml:space="preserve"> jejího trvání</w:t>
      </w:r>
      <w:r w:rsidRPr="006D63B7">
        <w:rPr>
          <w:rFonts w:ascii="Arial" w:hAnsi="Arial" w:cs="Arial"/>
          <w:sz w:val="22"/>
          <w:szCs w:val="22"/>
        </w:rPr>
        <w:t xml:space="preserve">. Předčasné ukončení Smlouvy přichází v úvahu písemnou výpovědí </w:t>
      </w:r>
      <w:r w:rsidRPr="006D63B7" w:rsidR="00FD7F17">
        <w:rPr>
          <w:rFonts w:ascii="Arial" w:hAnsi="Arial" w:cs="Arial"/>
          <w:sz w:val="22"/>
          <w:szCs w:val="22"/>
        </w:rPr>
        <w:t xml:space="preserve">ze strany objednatele </w:t>
      </w:r>
      <w:r w:rsidRPr="006D63B7">
        <w:rPr>
          <w:rFonts w:ascii="Arial" w:hAnsi="Arial" w:cs="Arial"/>
          <w:sz w:val="22"/>
          <w:szCs w:val="22"/>
        </w:rPr>
        <w:t xml:space="preserve">či odstoupením od Smlouvy. </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sidR="006D63B7">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upravující podmínky, za kterých je smluvní strana oprávněna od této Smlouvy odstoupit, tímto ustanovením nejsou dotčeny.</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lastRenderedPageBreak/>
        <w:t>Účinky odstoupení od Smlouvy nastávají dnem doručení písemného oznámení druhé smluvní straně.</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671F58" w:rsidP="00671F58" w:rsidRDefault="00671F5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671F58" w:rsidP="00671F58" w:rsidRDefault="00671F58">
      <w:pPr>
        <w:spacing w:before="120" w:after="120"/>
        <w:ind w:left="720" w:right="49"/>
        <w:jc w:val="both"/>
        <w:rPr>
          <w:rFonts w:ascii="Arial" w:hAnsi="Arial" w:cs="Arial"/>
          <w:sz w:val="22"/>
          <w:szCs w:val="22"/>
        </w:rPr>
      </w:pP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671F58" w:rsidP="00671F58" w:rsidRDefault="00671F58">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w:t>
      </w:r>
      <w:r w:rsidRPr="006D63B7" w:rsidR="00855181">
        <w:rPr>
          <w:rFonts w:ascii="Arial" w:hAnsi="Arial" w:cs="Arial"/>
          <w:sz w:val="22"/>
          <w:szCs w:val="22"/>
        </w:rPr>
        <w:t xml:space="preserve"> či se zadávacími podmínkami uvedenými v zadávací dokumentaci</w:t>
      </w:r>
      <w:r w:rsidRPr="006D63B7">
        <w:rPr>
          <w:rFonts w:ascii="Arial" w:hAnsi="Arial" w:cs="Arial"/>
          <w:sz w:val="22"/>
          <w:szCs w:val="22"/>
        </w:rPr>
        <w:t>.</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Veškeré vztahy vzniklé mezi oběma smluvními stranami na základě této Smlouvy či jednotlivých Dílčích smluv a touto Smlouvou či jednotlivými Dílčími smlouvami neupravené se řídí příslušnými ustanoveními </w:t>
      </w:r>
      <w:r w:rsidRPr="006D63B7" w:rsidR="00855181">
        <w:rPr>
          <w:rFonts w:ascii="Arial" w:hAnsi="Arial" w:cs="Arial"/>
          <w:sz w:val="22"/>
          <w:szCs w:val="22"/>
        </w:rPr>
        <w:t xml:space="preserve">zákona č. 513/1991 Sb., </w:t>
      </w:r>
      <w:r w:rsidRPr="006D63B7">
        <w:rPr>
          <w:rFonts w:ascii="Arial" w:hAnsi="Arial" w:cs="Arial"/>
          <w:sz w:val="22"/>
          <w:szCs w:val="22"/>
        </w:rPr>
        <w:t>obchodního zákoníku</w:t>
      </w:r>
      <w:r w:rsidRPr="006D63B7" w:rsidR="00855181">
        <w:rPr>
          <w:rFonts w:ascii="Arial" w:hAnsi="Arial" w:cs="Arial"/>
          <w:sz w:val="22"/>
          <w:szCs w:val="22"/>
        </w:rPr>
        <w:t>, ve znění pozdějších předpisů</w:t>
      </w:r>
      <w:r w:rsidRPr="006D63B7">
        <w:rPr>
          <w:rFonts w:ascii="Arial" w:hAnsi="Arial" w:cs="Arial"/>
          <w:sz w:val="22"/>
          <w:szCs w:val="22"/>
        </w:rPr>
        <w:t>.</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w:t>
      </w:r>
      <w:r w:rsidRPr="006D63B7">
        <w:rPr>
          <w:rFonts w:ascii="Arial" w:hAnsi="Arial" w:cs="Arial"/>
          <w:sz w:val="22"/>
          <w:szCs w:val="22"/>
        </w:rPr>
        <w:lastRenderedPageBreak/>
        <w:t xml:space="preserve">zbývajících ustanovení. Neúčinné nebo neproveditelné ustanovení se smluvní strany zavazují nahradit ustanovením, které nejvíce odpovídá smyslu a účelu neúčinného ustanovení, resp. smyslu a účelu této Smlouvy. </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671F58" w:rsidP="00671F58" w:rsidRDefault="00671F5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671F58" w:rsidP="00671F58" w:rsidRDefault="00671F58">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 xml:space="preserve">Nedílnou součást této Smlouvy tvoří </w:t>
      </w:r>
      <w:r w:rsidRPr="006D63B7" w:rsidR="00EA1956">
        <w:rPr>
          <w:rFonts w:ascii="Arial" w:hAnsi="Arial" w:cs="Arial"/>
          <w:sz w:val="22"/>
          <w:szCs w:val="22"/>
        </w:rPr>
        <w:t xml:space="preserve">tyto </w:t>
      </w:r>
      <w:r w:rsidRPr="006D63B7">
        <w:rPr>
          <w:rFonts w:ascii="Arial" w:hAnsi="Arial" w:cs="Arial"/>
          <w:sz w:val="22"/>
          <w:szCs w:val="22"/>
        </w:rPr>
        <w:t>příloh</w:t>
      </w:r>
      <w:r w:rsidRPr="006D63B7" w:rsidR="00EA1956">
        <w:rPr>
          <w:rFonts w:ascii="Arial" w:hAnsi="Arial" w:cs="Arial"/>
          <w:sz w:val="22"/>
          <w:szCs w:val="22"/>
        </w:rPr>
        <w:t>y</w:t>
      </w:r>
      <w:r w:rsidRPr="006D63B7">
        <w:rPr>
          <w:rFonts w:ascii="Arial" w:hAnsi="Arial" w:cs="Arial"/>
          <w:sz w:val="22"/>
          <w:szCs w:val="22"/>
        </w:rPr>
        <w:t>:</w:t>
      </w:r>
    </w:p>
    <w:p w:rsidRPr="006D63B7" w:rsidR="00671F58" w:rsidP="00671F58" w:rsidRDefault="00671F58">
      <w:pPr>
        <w:spacing w:before="120" w:after="120"/>
        <w:ind w:left="360" w:right="49"/>
        <w:jc w:val="both"/>
        <w:rPr>
          <w:rFonts w:ascii="Arial" w:hAnsi="Arial" w:cs="Arial"/>
          <w:bCs/>
          <w:sz w:val="22"/>
          <w:szCs w:val="22"/>
        </w:rPr>
      </w:pPr>
    </w:p>
    <w:p w:rsidRPr="006D63B7" w:rsidR="00671F58" w:rsidP="00671F58" w:rsidRDefault="00671F58">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 xml:space="preserve">„Pilotní ověřování sítě služeb </w:t>
      </w:r>
      <w:r w:rsidRPr="006D63B7" w:rsidR="00CF0F7C">
        <w:rPr>
          <w:rFonts w:ascii="Arial" w:hAnsi="Arial" w:cs="Arial"/>
          <w:sz w:val="22"/>
          <w:szCs w:val="22"/>
        </w:rPr>
        <w:t xml:space="preserve">v </w:t>
      </w:r>
      <w:r w:rsidRPr="006D63B7">
        <w:rPr>
          <w:rFonts w:ascii="Arial" w:hAnsi="Arial" w:cs="Arial"/>
          <w:sz w:val="22"/>
          <w:szCs w:val="22"/>
        </w:rPr>
        <w:t>Pardubick</w:t>
      </w:r>
      <w:r w:rsidRPr="006D63B7" w:rsidR="00CF0F7C">
        <w:rPr>
          <w:rFonts w:ascii="Arial" w:hAnsi="Arial" w:cs="Arial"/>
          <w:sz w:val="22"/>
          <w:szCs w:val="22"/>
        </w:rPr>
        <w:t>ém</w:t>
      </w:r>
      <w:r w:rsidRPr="006D63B7">
        <w:rPr>
          <w:rFonts w:ascii="Arial" w:hAnsi="Arial" w:cs="Arial"/>
          <w:sz w:val="22"/>
          <w:szCs w:val="22"/>
        </w:rPr>
        <w:t xml:space="preserve"> kraj</w:t>
      </w:r>
      <w:r w:rsidRPr="006D63B7" w:rsidR="00CF0F7C">
        <w:rPr>
          <w:rFonts w:ascii="Arial" w:hAnsi="Arial" w:cs="Arial"/>
          <w:sz w:val="22"/>
          <w:szCs w:val="22"/>
        </w:rPr>
        <w:t>i – rámcová smlouva</w:t>
      </w:r>
      <w:r w:rsidRPr="006D63B7">
        <w:rPr>
          <w:rFonts w:ascii="Arial" w:hAnsi="Arial" w:cs="Arial"/>
          <w:sz w:val="22"/>
          <w:szCs w:val="22"/>
        </w:rPr>
        <w:t>“</w:t>
      </w:r>
      <w:r w:rsidRPr="006D63B7">
        <w:rPr>
          <w:rFonts w:ascii="Arial" w:hAnsi="Arial" w:cs="Arial"/>
          <w:bCs/>
          <w:sz w:val="22"/>
          <w:szCs w:val="22"/>
        </w:rPr>
        <w:t xml:space="preserve"> </w:t>
      </w:r>
    </w:p>
    <w:p w:rsidRPr="006D63B7" w:rsidR="00671F58" w:rsidP="00671F58" w:rsidRDefault="00671F58">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671F58" w:rsidP="00671F58" w:rsidRDefault="00671F58">
      <w:pPr>
        <w:pStyle w:val="WW-Zkladntextodsazen3"/>
        <w:tabs>
          <w:tab w:val="left" w:pos="1560"/>
        </w:tabs>
        <w:spacing w:before="60"/>
        <w:ind w:left="1560" w:hanging="1276"/>
      </w:pPr>
      <w:r w:rsidRPr="006D63B7">
        <w:rPr>
          <w:rFonts w:ascii="Arial" w:hAnsi="Arial" w:cs="Arial"/>
          <w:bCs/>
          <w:sz w:val="22"/>
          <w:szCs w:val="22"/>
        </w:rPr>
        <w:t xml:space="preserve">            </w:t>
      </w:r>
    </w:p>
    <w:p w:rsidRPr="006D63B7" w:rsidR="00671F58" w:rsidP="00671F58" w:rsidRDefault="00671F58">
      <w:pPr>
        <w:spacing w:before="120" w:after="120"/>
        <w:ind w:right="49"/>
        <w:jc w:val="both"/>
        <w:rPr>
          <w:rFonts w:ascii="Arial" w:hAnsi="Arial" w:cs="Arial"/>
          <w:sz w:val="22"/>
          <w:szCs w:val="22"/>
        </w:rPr>
      </w:pPr>
    </w:p>
    <w:p w:rsidRPr="006D63B7" w:rsidR="00671F58" w:rsidP="00671F58" w:rsidRDefault="00671F58">
      <w:pPr>
        <w:spacing w:before="120" w:after="120"/>
        <w:ind w:right="49"/>
        <w:jc w:val="both"/>
        <w:rPr>
          <w:rFonts w:ascii="Arial" w:hAnsi="Arial" w:cs="Arial"/>
          <w:sz w:val="22"/>
          <w:szCs w:val="22"/>
        </w:rPr>
      </w:pPr>
    </w:p>
    <w:p w:rsidRPr="006D63B7" w:rsidR="00671F58" w:rsidP="00671F58" w:rsidRDefault="00671F58">
      <w:pPr>
        <w:spacing w:before="120" w:after="120"/>
        <w:ind w:right="49"/>
        <w:jc w:val="both"/>
        <w:rPr>
          <w:rFonts w:ascii="Arial" w:hAnsi="Arial" w:cs="Arial"/>
          <w:sz w:val="22"/>
          <w:szCs w:val="22"/>
        </w:rPr>
      </w:pPr>
    </w:p>
    <w:p w:rsidRPr="006D63B7" w:rsidR="00671F58" w:rsidP="00671F58" w:rsidRDefault="00671F58">
      <w:pPr>
        <w:spacing w:before="120" w:after="120"/>
        <w:ind w:right="49"/>
        <w:jc w:val="both"/>
        <w:rPr>
          <w:rFonts w:ascii="Arial" w:hAnsi="Arial" w:cs="Arial"/>
          <w:sz w:val="22"/>
          <w:szCs w:val="22"/>
        </w:rPr>
      </w:pPr>
    </w:p>
    <w:p w:rsidRPr="006D63B7" w:rsidR="00671F58" w:rsidP="00671F58" w:rsidRDefault="00671F58">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6D63B7" w:rsidTr="001613F0">
        <w:tc>
          <w:tcPr>
            <w:tcW w:w="4605" w:type="dxa"/>
            <w:shd w:val="clear" w:color="auto" w:fill="auto"/>
          </w:tcPr>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V Praze dne _____________</w:t>
            </w:r>
          </w:p>
        </w:tc>
      </w:tr>
      <w:tr w:rsidRPr="006D63B7" w:rsidR="006D63B7" w:rsidTr="001613F0">
        <w:tc>
          <w:tcPr>
            <w:tcW w:w="4605" w:type="dxa"/>
            <w:shd w:val="clear" w:color="auto" w:fill="auto"/>
          </w:tcPr>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__________________________________</w:t>
            </w: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Za objednatele:</w:t>
            </w: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sociálních věcí</w:t>
            </w:r>
          </w:p>
          <w:p w:rsidR="00865B67" w:rsidP="001613F0" w:rsidRDefault="00865B67">
            <w:pPr>
              <w:jc w:val="center"/>
              <w:rPr>
                <w:rFonts w:ascii="Arial" w:hAnsi="Arial" w:eastAsia="Calibri" w:cs="Arial"/>
                <w:sz w:val="22"/>
                <w:szCs w:val="22"/>
              </w:rPr>
            </w:pPr>
            <w:r w:rsidRPr="00865B67">
              <w:rPr>
                <w:rFonts w:ascii="Arial" w:hAnsi="Arial" w:eastAsia="Calibri" w:cs="Arial"/>
                <w:sz w:val="22"/>
                <w:szCs w:val="22"/>
              </w:rPr>
              <w:t xml:space="preserve">Ing. Vladimír </w:t>
            </w:r>
            <w:proofErr w:type="spellStart"/>
            <w:r w:rsidRPr="00865B67">
              <w:rPr>
                <w:rFonts w:ascii="Arial" w:hAnsi="Arial" w:eastAsia="Calibri" w:cs="Arial"/>
                <w:sz w:val="22"/>
                <w:szCs w:val="22"/>
              </w:rPr>
              <w:t>Kváča</w:t>
            </w:r>
            <w:proofErr w:type="spellEnd"/>
            <w:r w:rsidRPr="00865B67">
              <w:rPr>
                <w:rFonts w:ascii="Arial" w:hAnsi="Arial" w:eastAsia="Calibri" w:cs="Arial"/>
                <w:sz w:val="22"/>
                <w:szCs w:val="22"/>
              </w:rPr>
              <w:t xml:space="preserve"> Ph.D.</w:t>
            </w:r>
          </w:p>
          <w:p w:rsidRPr="006D63B7" w:rsidR="00671F58" w:rsidP="001613F0" w:rsidRDefault="00865B67">
            <w:pPr>
              <w:jc w:val="center"/>
              <w:rPr>
                <w:rFonts w:ascii="Arial" w:hAnsi="Arial" w:eastAsia="Calibri" w:cs="Arial"/>
              </w:rPr>
            </w:pPr>
            <w:r w:rsidRPr="00865B67">
              <w:rPr>
                <w:rFonts w:ascii="Arial" w:hAnsi="Arial" w:eastAsia="Calibri" w:cs="Arial"/>
                <w:sz w:val="22"/>
                <w:szCs w:val="22"/>
              </w:rPr>
              <w:t>vrchní ředitel sekce fondů EU</w:t>
            </w:r>
            <w:r w:rsidRPr="006D63B7" w:rsidR="00671F58">
              <w:rPr>
                <w:rFonts w:ascii="Arial" w:hAnsi="Arial" w:eastAsia="Calibri" w:cs="Arial"/>
                <w:sz w:val="22"/>
                <w:szCs w:val="22"/>
              </w:rPr>
              <w:t xml:space="preserve">     </w:t>
            </w:r>
          </w:p>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i/>
              </w:rPr>
            </w:pPr>
          </w:p>
          <w:p w:rsidRPr="006D63B7" w:rsidR="00671F58" w:rsidP="001613F0" w:rsidRDefault="00671F58">
            <w:pPr>
              <w:rPr>
                <w:rFonts w:ascii="Arial" w:hAnsi="Arial" w:eastAsia="Calibri" w:cs="Arial"/>
              </w:rPr>
            </w:pPr>
          </w:p>
          <w:p w:rsidRPr="006D63B7" w:rsidR="00671F58" w:rsidP="001613F0" w:rsidRDefault="00671F58">
            <w:pPr>
              <w:ind w:right="-4592"/>
              <w:rPr>
                <w:rFonts w:ascii="Arial" w:hAnsi="Arial" w:eastAsia="Calibri" w:cs="Arial"/>
              </w:rPr>
            </w:pPr>
          </w:p>
        </w:tc>
        <w:tc>
          <w:tcPr>
            <w:tcW w:w="4605" w:type="dxa"/>
            <w:shd w:val="clear" w:color="auto" w:fill="auto"/>
          </w:tcPr>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rPr>
            </w:pP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__________________________________</w:t>
            </w: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Za poskytovatele:</w:t>
            </w:r>
          </w:p>
          <w:p w:rsidRPr="006D63B7" w:rsidR="00671F58" w:rsidP="001613F0" w:rsidRDefault="00671F58">
            <w:pPr>
              <w:jc w:val="center"/>
              <w:rPr>
                <w:rFonts w:ascii="Arial" w:hAnsi="Arial" w:eastAsia="Calibri" w:cs="Arial"/>
              </w:rPr>
            </w:pPr>
            <w:r w:rsidRPr="006D63B7">
              <w:rPr>
                <w:rFonts w:ascii="Arial" w:hAnsi="Arial" w:eastAsia="Calibri" w:cs="Arial"/>
                <w:sz w:val="22"/>
                <w:szCs w:val="22"/>
              </w:rPr>
              <w:t>…………</w:t>
            </w:r>
          </w:p>
          <w:p w:rsidRPr="006D63B7" w:rsidR="00671F58" w:rsidP="001613F0" w:rsidRDefault="00671F58">
            <w:pPr>
              <w:jc w:val="center"/>
              <w:rPr>
                <w:rFonts w:ascii="Arial" w:hAnsi="Arial" w:eastAsia="Calibri" w:cs="Arial"/>
                <w:i/>
              </w:rPr>
            </w:pPr>
          </w:p>
          <w:p w:rsidRPr="006D63B7" w:rsidR="00671F58" w:rsidP="001613F0" w:rsidRDefault="00671F58">
            <w:pPr>
              <w:jc w:val="center"/>
              <w:rPr>
                <w:rFonts w:ascii="Arial" w:hAnsi="Arial" w:eastAsia="Calibri" w:cs="Arial"/>
              </w:rPr>
            </w:pPr>
          </w:p>
        </w:tc>
      </w:tr>
    </w:tbl>
    <w:p w:rsidR="005B2B4C" w:rsidP="00671F58" w:rsidRDefault="005B2B4C">
      <w:pPr>
        <w:rPr>
          <w:rFonts w:ascii="Arial" w:hAnsi="Arial" w:cs="Arial"/>
        </w:rPr>
      </w:pPr>
    </w:p>
    <w:p w:rsidR="005B2B4C" w:rsidRDefault="005B2B4C">
      <w:pPr>
        <w:spacing w:after="200" w:line="276" w:lineRule="auto"/>
        <w:rPr>
          <w:rFonts w:ascii="Arial" w:hAnsi="Arial" w:cs="Arial"/>
        </w:rPr>
      </w:pPr>
      <w:r>
        <w:rPr>
          <w:rFonts w:ascii="Arial" w:hAnsi="Arial" w:cs="Arial"/>
        </w:rPr>
        <w:br w:type="page"/>
      </w:r>
    </w:p>
    <w:p w:rsidRPr="006D63B7" w:rsidR="00671F58" w:rsidP="00671F58" w:rsidRDefault="00671F58">
      <w:pPr>
        <w:rPr>
          <w:rFonts w:ascii="Arial" w:hAnsi="Arial" w:cs="Arial"/>
        </w:rPr>
      </w:pPr>
      <w:r w:rsidRPr="006D63B7">
        <w:rPr>
          <w:rFonts w:ascii="Arial" w:hAnsi="Arial" w:cs="Arial"/>
        </w:rPr>
        <w:lastRenderedPageBreak/>
        <w:t xml:space="preserve">Příloha A – Zadávací dokumentace veřejné zakázky „Pilotní ověřování sítě služeb </w:t>
      </w:r>
      <w:r w:rsidRPr="006D63B7" w:rsidR="00CF0F7C">
        <w:rPr>
          <w:rFonts w:ascii="Arial" w:hAnsi="Arial" w:cs="Arial"/>
        </w:rPr>
        <w:t xml:space="preserve">v </w:t>
      </w:r>
      <w:r w:rsidRPr="006D63B7">
        <w:rPr>
          <w:rFonts w:ascii="Arial" w:hAnsi="Arial" w:cs="Arial"/>
        </w:rPr>
        <w:t>Pardubick</w:t>
      </w:r>
      <w:r w:rsidRPr="006D63B7" w:rsidR="00CF0F7C">
        <w:rPr>
          <w:rFonts w:ascii="Arial" w:hAnsi="Arial" w:cs="Arial"/>
        </w:rPr>
        <w:t>ém</w:t>
      </w:r>
      <w:r w:rsidRPr="006D63B7">
        <w:rPr>
          <w:rFonts w:ascii="Arial" w:hAnsi="Arial" w:cs="Arial"/>
        </w:rPr>
        <w:t xml:space="preserve"> kraj</w:t>
      </w:r>
      <w:r w:rsidRPr="006D63B7" w:rsidR="00CF0F7C">
        <w:rPr>
          <w:rFonts w:ascii="Arial" w:hAnsi="Arial" w:cs="Arial"/>
        </w:rPr>
        <w:t>i – rámcová smlouva</w:t>
      </w:r>
      <w:r w:rsidRPr="006D63B7">
        <w:rPr>
          <w:rFonts w:ascii="Arial" w:hAnsi="Arial" w:cs="Arial"/>
        </w:rPr>
        <w:t>“</w:t>
      </w:r>
    </w:p>
    <w:p w:rsidRPr="006D63B7" w:rsidR="00671F58" w:rsidP="00671F58" w:rsidRDefault="00671F58">
      <w:pPr>
        <w:rPr>
          <w:rFonts w:ascii="Arial" w:hAnsi="Arial" w:cs="Arial"/>
        </w:rPr>
      </w:pPr>
      <w:r w:rsidRPr="006D63B7">
        <w:rPr>
          <w:rFonts w:ascii="Arial" w:hAnsi="Arial" w:cs="Arial"/>
        </w:rPr>
        <w:br w:type="page"/>
      </w:r>
    </w:p>
    <w:p w:rsidRPr="006D63B7" w:rsidR="00671F58" w:rsidP="00671F58" w:rsidRDefault="00671F58">
      <w:pPr>
        <w:rPr>
          <w:rFonts w:ascii="Arial" w:hAnsi="Arial" w:cs="Arial"/>
        </w:rPr>
      </w:pPr>
      <w:r w:rsidRPr="006D63B7">
        <w:rPr>
          <w:rFonts w:ascii="Arial" w:hAnsi="Arial" w:cs="Arial"/>
        </w:rPr>
        <w:lastRenderedPageBreak/>
        <w:t>Příloha B – Maximální jednotkové nabídkové ceny jednotlivých poskytovatelů</w:t>
      </w:r>
    </w:p>
    <w:p w:rsidRPr="006D63B7" w:rsidR="00671F58" w:rsidP="00671F58" w:rsidRDefault="00671F58">
      <w:pPr>
        <w:rPr>
          <w:rFonts w:ascii="Arial" w:hAnsi="Arial" w:cs="Arial"/>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rPr>
          <w:rFonts w:ascii="Arial" w:hAnsi="Arial" w:cs="Arial"/>
        </w:rPr>
      </w:pPr>
    </w:p>
    <w:p w:rsidRPr="006D63B7" w:rsidR="00671F58" w:rsidP="00671F58" w:rsidRDefault="00671F58">
      <w:pPr>
        <w:rPr>
          <w:rFonts w:ascii="Arial" w:hAnsi="Arial" w:cs="Arial"/>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lastRenderedPageBreak/>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lastRenderedPageBreak/>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r w:rsidRPr="006D63B7">
        <w:rPr>
          <w:b/>
          <w:bCs/>
        </w:rPr>
        <w:t>Poskytovatel: _____________</w:t>
      </w:r>
    </w:p>
    <w:p w:rsidRPr="006D63B7" w:rsidR="00671F58" w:rsidP="00671F58" w:rsidRDefault="00671F58">
      <w:pPr>
        <w:widowControl w:val="false"/>
        <w:spacing w:line="280" w:lineRule="atLeast"/>
        <w:rPr>
          <w:b/>
          <w:bCs/>
        </w:rPr>
      </w:pPr>
    </w:p>
    <w:p w:rsidRPr="006D63B7" w:rsidR="00671F58" w:rsidP="00671F58" w:rsidRDefault="00671F58">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6D63B7" w:rsidR="006D63B7" w:rsidTr="001613F0">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6D63B7" w:rsidR="00671F58" w:rsidP="001613F0" w:rsidRDefault="00671F58">
            <w:pPr>
              <w:pStyle w:val="Smlouva-slo"/>
              <w:tabs>
                <w:tab w:val="left" w:pos="0"/>
                <w:tab w:val="left" w:pos="426"/>
                <w:tab w:val="right" w:pos="6804"/>
              </w:tabs>
              <w:spacing w:before="0" w:line="280" w:lineRule="atLeast"/>
              <w:jc w:val="center"/>
              <w:rPr>
                <w:szCs w:val="22"/>
              </w:rPr>
            </w:pPr>
            <w:r w:rsidRPr="006D63B7">
              <w:rPr>
                <w:sz w:val="22"/>
                <w:szCs w:val="22"/>
              </w:rPr>
              <w:t>Nabídková cena odpovídající 1hodině poskytování služeb</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bez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 xml:space="preserve"> 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r w:rsidRPr="006D63B7" w:rsidR="006D63B7" w:rsidTr="001613F0">
        <w:tc>
          <w:tcPr>
            <w:tcW w:w="6096" w:type="dxa"/>
            <w:tcBorders>
              <w:top w:val="single" w:color="auto" w:sz="4" w:space="0"/>
              <w:left w:val="single" w:color="auto" w:sz="4" w:space="0"/>
              <w:bottom w:val="single" w:color="auto" w:sz="4" w:space="0"/>
              <w:right w:val="single" w:color="auto" w:sz="4" w:space="0"/>
            </w:tcBorders>
            <w:vAlign w:val="center"/>
          </w:tcPr>
          <w:p w:rsidRPr="006D63B7" w:rsidR="00671F58" w:rsidP="001613F0" w:rsidRDefault="00671F58">
            <w:pPr>
              <w:pStyle w:val="Smlouva-slo"/>
              <w:tabs>
                <w:tab w:val="left" w:pos="176"/>
                <w:tab w:val="right" w:pos="6804"/>
              </w:tabs>
              <w:spacing w:before="0" w:line="280" w:lineRule="atLeast"/>
              <w:ind w:left="176"/>
              <w:jc w:val="left"/>
              <w:rPr>
                <w:szCs w:val="22"/>
              </w:rPr>
            </w:pPr>
            <w:r w:rsidRPr="006D63B7">
              <w:rPr>
                <w:sz w:val="22"/>
                <w:szCs w:val="22"/>
              </w:rPr>
              <w:t>Cena za 1 hodinu poskytování služeb vč. DPH</w:t>
            </w:r>
          </w:p>
        </w:tc>
        <w:tc>
          <w:tcPr>
            <w:tcW w:w="2976" w:type="dxa"/>
            <w:tcBorders>
              <w:top w:val="single" w:color="auto" w:sz="4" w:space="0"/>
              <w:left w:val="single" w:color="auto" w:sz="4" w:space="0"/>
              <w:bottom w:val="single" w:color="auto" w:sz="4" w:space="0"/>
              <w:right w:val="single" w:color="auto" w:sz="4" w:space="0"/>
            </w:tcBorders>
          </w:tcPr>
          <w:p w:rsidRPr="006D63B7" w:rsidR="00671F58" w:rsidP="001613F0" w:rsidRDefault="00671F58">
            <w:pPr>
              <w:pStyle w:val="Smlouva-slo"/>
              <w:tabs>
                <w:tab w:val="left" w:pos="0"/>
                <w:tab w:val="left" w:pos="426"/>
                <w:tab w:val="right" w:pos="6804"/>
              </w:tabs>
              <w:spacing w:before="0" w:line="280" w:lineRule="atLeast"/>
              <w:jc w:val="right"/>
              <w:rPr>
                <w:szCs w:val="22"/>
              </w:rPr>
            </w:pPr>
            <w:r w:rsidRPr="006D63B7">
              <w:rPr>
                <w:sz w:val="22"/>
                <w:szCs w:val="22"/>
              </w:rPr>
              <w:t>Kč</w:t>
            </w:r>
          </w:p>
        </w:tc>
      </w:tr>
    </w:tbl>
    <w:p w:rsidRPr="006D63B7" w:rsidR="002119F3" w:rsidP="00671F58" w:rsidRDefault="002119F3">
      <w:pPr>
        <w:widowControl w:val="false"/>
        <w:spacing w:line="280" w:lineRule="atLeast"/>
      </w:pPr>
    </w:p>
    <w:sectPr w:rsidRPr="006D63B7" w:rsidR="002119F3" w:rsidSect="001613F0">
      <w:headerReference w:type="default" r:id="rId10"/>
      <w:footerReference w:type="even" r:id="rId11"/>
      <w:footerReference w:type="default" r:id="rId12"/>
      <w:headerReference w:type="first" r:id="rId13"/>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C37C6" w:rsidP="0002475B" w:rsidRDefault="004C37C6">
      <w:r>
        <w:separator/>
      </w:r>
    </w:p>
  </w:endnote>
  <w:endnote w:type="continuationSeparator" w:id="0">
    <w:p w:rsidR="004C37C6" w:rsidP="0002475B" w:rsidRDefault="004C37C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C60467" w:rsidRDefault="00C60467">
    <w:pPr>
      <w:pStyle w:val="Zpat"/>
      <w:framePr w:wrap="around" w:hAnchor="margin" w:vAnchor="text" w:xAlign="center" w:y="1"/>
      <w:rPr>
        <w:rStyle w:val="slostrnky"/>
        <w:sz w:val="19"/>
        <w:szCs w:val="19"/>
      </w:rPr>
    </w:pPr>
    <w:r w:rsidRPr="00547EB6">
      <w:rPr>
        <w:rStyle w:val="slostrnky"/>
        <w:sz w:val="19"/>
        <w:szCs w:val="19"/>
      </w:rPr>
      <w:fldChar w:fldCharType="begin"/>
    </w:r>
    <w:r w:rsidRPr="00547EB6">
      <w:rPr>
        <w:rStyle w:val="slostrnky"/>
        <w:sz w:val="19"/>
        <w:szCs w:val="19"/>
      </w:rPr>
      <w:instrText xml:space="preserve">PAGE  </w:instrText>
    </w:r>
    <w:r w:rsidRPr="00547EB6">
      <w:rPr>
        <w:rStyle w:val="slostrnky"/>
        <w:sz w:val="19"/>
        <w:szCs w:val="19"/>
      </w:rPr>
      <w:fldChar w:fldCharType="end"/>
    </w:r>
  </w:p>
  <w:p w:rsidRPr="00547EB6" w:rsidR="00C60467" w:rsidRDefault="00C60467">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60467" w:rsidRDefault="00C60467">
    <w:pPr>
      <w:pStyle w:val="Zpat"/>
      <w:framePr w:wrap="around" w:hAnchor="margin" w:vAnchor="text" w:xAlign="center" w:y="1"/>
      <w:jc w:val="center"/>
      <w:rPr>
        <w:rStyle w:val="slostrnky"/>
        <w:sz w:val="19"/>
        <w:szCs w:val="19"/>
      </w:rPr>
    </w:pPr>
  </w:p>
  <w:p w:rsidRPr="00547EB6" w:rsidR="00C60467" w:rsidRDefault="00C60467">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Pr>
        <w:rStyle w:val="slostrnky"/>
        <w:sz w:val="19"/>
        <w:szCs w:val="19"/>
      </w:rPr>
      <w:instrText xml:space="preserve">PAGE  </w:instrText>
    </w:r>
    <w:r w:rsidRPr="00547EB6">
      <w:rPr>
        <w:rStyle w:val="slostrnky"/>
        <w:sz w:val="19"/>
        <w:szCs w:val="19"/>
      </w:rPr>
      <w:fldChar w:fldCharType="separate"/>
    </w:r>
    <w:r w:rsidR="00F71497">
      <w:rPr>
        <w:rStyle w:val="slostrnky"/>
        <w:noProof/>
        <w:sz w:val="19"/>
        <w:szCs w:val="19"/>
      </w:rPr>
      <w:t>11</w:t>
    </w:r>
    <w:r w:rsidRPr="00547EB6">
      <w:rPr>
        <w:rStyle w:val="slostrnky"/>
        <w:sz w:val="19"/>
        <w:szCs w:val="19"/>
      </w:rPr>
      <w:fldChar w:fldCharType="end"/>
    </w:r>
  </w:p>
  <w:p w:rsidRPr="00547EB6" w:rsidR="00C60467" w:rsidRDefault="00C60467">
    <w:pPr>
      <w:pStyle w:val="Zpat"/>
      <w:framePr w:wrap="around" w:hAnchor="margin" w:vAnchor="text" w:xAlign="center" w:y="1"/>
      <w:rPr>
        <w:rStyle w:val="slostrnky"/>
        <w:sz w:val="19"/>
        <w:szCs w:val="19"/>
      </w:rPr>
    </w:pPr>
  </w:p>
  <w:p w:rsidRPr="00547EB6" w:rsidR="00C60467" w:rsidRDefault="00C60467">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C37C6" w:rsidP="0002475B" w:rsidRDefault="004C37C6">
      <w:r>
        <w:separator/>
      </w:r>
    </w:p>
  </w:footnote>
  <w:footnote w:type="continuationSeparator" w:id="0">
    <w:p w:rsidR="004C37C6" w:rsidP="0002475B" w:rsidRDefault="004C37C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60467" w:rsidP="001613F0" w:rsidRDefault="00C60467">
    <w:pPr>
      <w:pStyle w:val="Zhlav"/>
      <w:jc w:val="center"/>
    </w:pPr>
  </w:p>
  <w:p w:rsidR="00C60467" w:rsidP="001613F0" w:rsidRDefault="00C60467">
    <w:pPr>
      <w:pStyle w:val="Zhlav"/>
      <w:jc w:val="center"/>
    </w:pPr>
    <w:r>
      <w:rPr>
        <w:noProof/>
      </w:rPr>
      <w:drawing>
        <wp:inline distT="0" distB="0" distL="0" distR="0">
          <wp:extent cx="5753100" cy="542925"/>
          <wp:effectExtent l="0" t="0" r="0" b="952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542925"/>
                  </a:xfrm>
                  <a:prstGeom prst="rect">
                    <a:avLst/>
                  </a:prstGeom>
                  <a:noFill/>
                  <a:ln>
                    <a:noFill/>
                  </a:ln>
                </pic:spPr>
              </pic:pic>
            </a:graphicData>
          </a:graphic>
        </wp:inline>
      </w:drawing>
    </w:r>
  </w:p>
  <w:p w:rsidRPr="00547EB6" w:rsidR="00C60467" w:rsidRDefault="00C60467">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60467" w:rsidP="001613F0" w:rsidRDefault="00C60467">
    <w:pPr>
      <w:pStyle w:val="Zhlav"/>
      <w:jc w:val="center"/>
    </w:pPr>
  </w:p>
  <w:p w:rsidR="00C60467" w:rsidP="001613F0" w:rsidRDefault="00C60467">
    <w:pPr>
      <w:pStyle w:val="Zhlav"/>
      <w:jc w:val="center"/>
    </w:pPr>
    <w:r>
      <w:rPr>
        <w:noProof/>
      </w:rPr>
      <w:drawing>
        <wp:inline distT="0" distB="0" distL="0" distR="0">
          <wp:extent cx="5753100" cy="542925"/>
          <wp:effectExtent l="0" t="0" r="0" b="9525"/>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542925"/>
                  </a:xfrm>
                  <a:prstGeom prst="rect">
                    <a:avLst/>
                  </a:prstGeom>
                  <a:noFill/>
                  <a:ln>
                    <a:noFill/>
                  </a:ln>
                </pic:spPr>
              </pic:pic>
            </a:graphicData>
          </a:graphic>
        </wp:inline>
      </w:drawing>
    </w:r>
  </w:p>
  <w:p w:rsidRPr="00A8157D" w:rsidR="00C60467" w:rsidP="001613F0" w:rsidRDefault="00C60467">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1433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58"/>
    <w:rsid w:val="0001741B"/>
    <w:rsid w:val="0002475B"/>
    <w:rsid w:val="000427C7"/>
    <w:rsid w:val="00101C9A"/>
    <w:rsid w:val="001320EA"/>
    <w:rsid w:val="001613F0"/>
    <w:rsid w:val="001911EC"/>
    <w:rsid w:val="001D1FED"/>
    <w:rsid w:val="001E567E"/>
    <w:rsid w:val="001E72E4"/>
    <w:rsid w:val="002119F3"/>
    <w:rsid w:val="002A2D6C"/>
    <w:rsid w:val="002E560E"/>
    <w:rsid w:val="00316779"/>
    <w:rsid w:val="003537F2"/>
    <w:rsid w:val="003C0747"/>
    <w:rsid w:val="003D4B86"/>
    <w:rsid w:val="00401F40"/>
    <w:rsid w:val="004C37C6"/>
    <w:rsid w:val="00567235"/>
    <w:rsid w:val="005B1A6D"/>
    <w:rsid w:val="005B2B4C"/>
    <w:rsid w:val="0061361A"/>
    <w:rsid w:val="00671F58"/>
    <w:rsid w:val="006D63B7"/>
    <w:rsid w:val="00706B82"/>
    <w:rsid w:val="00706F53"/>
    <w:rsid w:val="007860C3"/>
    <w:rsid w:val="0080794E"/>
    <w:rsid w:val="00833CF1"/>
    <w:rsid w:val="00855181"/>
    <w:rsid w:val="00865B67"/>
    <w:rsid w:val="008B3604"/>
    <w:rsid w:val="009056F1"/>
    <w:rsid w:val="00934BB7"/>
    <w:rsid w:val="00991A47"/>
    <w:rsid w:val="00991CF0"/>
    <w:rsid w:val="00A057F8"/>
    <w:rsid w:val="00AE0B3F"/>
    <w:rsid w:val="00B66EA3"/>
    <w:rsid w:val="00BF4AE1"/>
    <w:rsid w:val="00C60467"/>
    <w:rsid w:val="00CF0F7C"/>
    <w:rsid w:val="00D007DA"/>
    <w:rsid w:val="00D81427"/>
    <w:rsid w:val="00DD1563"/>
    <w:rsid w:val="00E64D73"/>
    <w:rsid w:val="00EA1956"/>
    <w:rsid w:val="00EB54EC"/>
    <w:rsid w:val="00F40207"/>
    <w:rsid w:val="00F71497"/>
    <w:rsid w:val="00FD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433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671F58"/>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671F58"/>
    <w:pPr>
      <w:tabs>
        <w:tab w:val="center" w:pos="4536"/>
        <w:tab w:val="right" w:pos="9072"/>
      </w:tabs>
    </w:pPr>
    <w:rPr>
      <w:sz w:val="20"/>
      <w:szCs w:val="20"/>
      <w:lang w:val="en-GB"/>
    </w:rPr>
  </w:style>
  <w:style w:type="character" w:styleId="ZpatChar" w:customStyle="true">
    <w:name w:val="Zápatí Char"/>
    <w:basedOn w:val="Standardnpsmoodstavce"/>
    <w:link w:val="Zpat"/>
    <w:rsid w:val="00671F58"/>
    <w:rPr>
      <w:rFonts w:ascii="Times New Roman" w:hAnsi="Times New Roman" w:eastAsia="Times New Roman" w:cs="Times New Roman"/>
      <w:sz w:val="20"/>
      <w:szCs w:val="20"/>
      <w:lang w:val="en-GB" w:eastAsia="cs-CZ"/>
    </w:rPr>
  </w:style>
  <w:style w:type="character" w:styleId="slostrnky">
    <w:name w:val="page number"/>
    <w:basedOn w:val="Standardnpsmoodstavce"/>
    <w:rsid w:val="00671F58"/>
  </w:style>
  <w:style w:type="paragraph" w:styleId="Zhlav">
    <w:name w:val="header"/>
    <w:basedOn w:val="Normln"/>
    <w:link w:val="ZhlavChar"/>
    <w:rsid w:val="00671F58"/>
    <w:pPr>
      <w:tabs>
        <w:tab w:val="center" w:pos="4536"/>
        <w:tab w:val="right" w:pos="9072"/>
      </w:tabs>
    </w:pPr>
  </w:style>
  <w:style w:type="character" w:styleId="ZhlavChar" w:customStyle="true">
    <w:name w:val="Záhlaví Char"/>
    <w:basedOn w:val="Standardnpsmoodstavce"/>
    <w:link w:val="Zhlav"/>
    <w:rsid w:val="00671F58"/>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671F58"/>
    <w:pPr>
      <w:widowControl w:val="false"/>
      <w:ind w:left="765"/>
      <w:jc w:val="both"/>
    </w:pPr>
    <w:rPr>
      <w:szCs w:val="20"/>
    </w:rPr>
  </w:style>
  <w:style w:type="paragraph" w:styleId="BodyA" w:customStyle="true">
    <w:name w:val="Body A"/>
    <w:rsid w:val="00671F58"/>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671F58"/>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671F58"/>
    <w:pPr>
      <w:ind w:left="708"/>
    </w:pPr>
  </w:style>
  <w:style w:type="paragraph" w:styleId="VZnadpis1" w:customStyle="true">
    <w:name w:val="VZ_nadpis 1"/>
    <w:basedOn w:val="Normln"/>
    <w:uiPriority w:val="99"/>
    <w:rsid w:val="00671F58"/>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671F58"/>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671F58"/>
    <w:pPr>
      <w:widowControl w:val="false"/>
      <w:snapToGrid w:val="false"/>
      <w:spacing w:before="120" w:line="240" w:lineRule="atLeast"/>
      <w:jc w:val="both"/>
    </w:pPr>
    <w:rPr>
      <w:szCs w:val="20"/>
    </w:rPr>
  </w:style>
  <w:style w:type="paragraph" w:styleId="Textbubliny">
    <w:name w:val="Balloon Text"/>
    <w:basedOn w:val="Normln"/>
    <w:link w:val="TextbublinyChar"/>
    <w:uiPriority w:val="99"/>
    <w:semiHidden/>
    <w:unhideWhenUsed/>
    <w:rsid w:val="001613F0"/>
    <w:rPr>
      <w:rFonts w:ascii="Tahoma" w:hAnsi="Tahoma" w:cs="Tahoma"/>
      <w:sz w:val="16"/>
      <w:szCs w:val="16"/>
    </w:rPr>
  </w:style>
  <w:style w:type="character" w:styleId="TextbublinyChar" w:customStyle="true">
    <w:name w:val="Text bubliny Char"/>
    <w:basedOn w:val="Standardnpsmoodstavce"/>
    <w:link w:val="Textbubliny"/>
    <w:uiPriority w:val="99"/>
    <w:semiHidden/>
    <w:rsid w:val="001613F0"/>
    <w:rPr>
      <w:rFonts w:ascii="Tahoma" w:hAnsi="Tahoma" w:eastAsia="Times New Roman" w:cs="Tahoma"/>
      <w:sz w:val="16"/>
      <w:szCs w:val="16"/>
      <w:lang w:eastAsia="cs-CZ"/>
    </w:rPr>
  </w:style>
  <w:style w:type="character" w:styleId="Odkaznakoment">
    <w:name w:val="annotation reference"/>
    <w:basedOn w:val="Standardnpsmoodstavce"/>
    <w:uiPriority w:val="99"/>
    <w:semiHidden/>
    <w:unhideWhenUsed/>
    <w:rsid w:val="001613F0"/>
    <w:rPr>
      <w:sz w:val="16"/>
      <w:szCs w:val="16"/>
    </w:rPr>
  </w:style>
  <w:style w:type="paragraph" w:styleId="Textkomente">
    <w:name w:val="annotation text"/>
    <w:basedOn w:val="Normln"/>
    <w:link w:val="TextkomenteChar"/>
    <w:uiPriority w:val="99"/>
    <w:semiHidden/>
    <w:unhideWhenUsed/>
    <w:rsid w:val="001613F0"/>
    <w:rPr>
      <w:sz w:val="20"/>
      <w:szCs w:val="20"/>
    </w:rPr>
  </w:style>
  <w:style w:type="character" w:styleId="TextkomenteChar" w:customStyle="true">
    <w:name w:val="Text komentáře Char"/>
    <w:basedOn w:val="Standardnpsmoodstavce"/>
    <w:link w:val="Textkomente"/>
    <w:uiPriority w:val="99"/>
    <w:semiHidden/>
    <w:rsid w:val="001613F0"/>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613F0"/>
    <w:rPr>
      <w:b/>
      <w:bCs/>
    </w:rPr>
  </w:style>
  <w:style w:type="character" w:styleId="PedmtkomenteChar" w:customStyle="true">
    <w:name w:val="Předmět komentáře Char"/>
    <w:basedOn w:val="TextkomenteChar"/>
    <w:link w:val="Pedmtkomente"/>
    <w:uiPriority w:val="99"/>
    <w:semiHidden/>
    <w:rsid w:val="001613F0"/>
    <w:rPr>
      <w:rFonts w:ascii="Times New Roman" w:hAnsi="Times New Roman" w:eastAsia="Times New Roman" w:cs="Times New Roman"/>
      <w:b/>
      <w:bCs/>
      <w:sz w:val="20"/>
      <w:szCs w:val="20"/>
      <w:lang w:eastAsia="cs-CZ"/>
    </w:rPr>
  </w:style>
  <w:style w:type="paragraph" w:styleId="Zkladntextodsazen2">
    <w:name w:val="Body Text Indent 2"/>
    <w:basedOn w:val="Normln"/>
    <w:link w:val="Zkladntextodsazen2Char"/>
    <w:uiPriority w:val="99"/>
    <w:semiHidden/>
    <w:unhideWhenUsed/>
    <w:rsid w:val="00934BB7"/>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934BB7"/>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uiPriority="35"/>
    <w:lsdException w:name="page number"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671F58"/>
    <w:pPr>
      <w:spacing w:after="0" w:line="240" w:lineRule="auto"/>
    </w:pPr>
    <w:rPr>
      <w:rFonts w:ascii="Times New Roman" w:cs="Times New Roman" w:eastAsia="Times New Roman" w:hAnsi="Times New Roman"/>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rsid w:val="00671F58"/>
    <w:pPr>
      <w:tabs>
        <w:tab w:pos="4536" w:val="center"/>
        <w:tab w:pos="9072" w:val="right"/>
      </w:tabs>
    </w:pPr>
    <w:rPr>
      <w:sz w:val="20"/>
      <w:szCs w:val="20"/>
      <w:lang w:val="en-GB"/>
    </w:rPr>
  </w:style>
  <w:style w:customStyle="1" w:styleId="ZpatChar" w:type="character">
    <w:name w:val="Zápatí Char"/>
    <w:basedOn w:val="Standardnpsmoodstavce"/>
    <w:link w:val="Zpat"/>
    <w:rsid w:val="00671F58"/>
    <w:rPr>
      <w:rFonts w:ascii="Times New Roman" w:cs="Times New Roman" w:eastAsia="Times New Roman" w:hAnsi="Times New Roman"/>
      <w:sz w:val="20"/>
      <w:szCs w:val="20"/>
      <w:lang w:eastAsia="cs-CZ" w:val="en-GB"/>
    </w:rPr>
  </w:style>
  <w:style w:styleId="slostrnky" w:type="character">
    <w:name w:val="page number"/>
    <w:basedOn w:val="Standardnpsmoodstavce"/>
    <w:rsid w:val="00671F58"/>
  </w:style>
  <w:style w:styleId="Zhlav" w:type="paragraph">
    <w:name w:val="header"/>
    <w:basedOn w:val="Normln"/>
    <w:link w:val="ZhlavChar"/>
    <w:rsid w:val="00671F58"/>
    <w:pPr>
      <w:tabs>
        <w:tab w:pos="4536" w:val="center"/>
        <w:tab w:pos="9072" w:val="right"/>
      </w:tabs>
    </w:pPr>
  </w:style>
  <w:style w:customStyle="1" w:styleId="ZhlavChar" w:type="character">
    <w:name w:val="Záhlaví Char"/>
    <w:basedOn w:val="Standardnpsmoodstavce"/>
    <w:link w:val="Zhlav"/>
    <w:rsid w:val="00671F58"/>
    <w:rPr>
      <w:rFonts w:ascii="Times New Roman" w:cs="Times New Roman" w:eastAsia="Times New Roman" w:hAnsi="Times New Roman"/>
      <w:sz w:val="24"/>
      <w:szCs w:val="24"/>
      <w:lang w:eastAsia="cs-CZ"/>
    </w:rPr>
  </w:style>
  <w:style w:customStyle="1" w:styleId="WW-Zkladntextodsazen3" w:type="paragraph">
    <w:name w:val="WW-Základní text odsazený 3"/>
    <w:basedOn w:val="Normln"/>
    <w:rsid w:val="00671F58"/>
    <w:pPr>
      <w:widowControl w:val="0"/>
      <w:ind w:left="765"/>
      <w:jc w:val="both"/>
    </w:pPr>
    <w:rPr>
      <w:szCs w:val="20"/>
    </w:rPr>
  </w:style>
  <w:style w:customStyle="1" w:styleId="BodyA" w:type="paragraph">
    <w:name w:val="Body A"/>
    <w:rsid w:val="00671F58"/>
    <w:pPr>
      <w:spacing w:after="0" w:line="240" w:lineRule="auto"/>
    </w:pPr>
    <w:rPr>
      <w:rFonts w:ascii="Helvetica" w:cs="Times New Roman" w:eastAsia="ヒラギノ角ゴ Pro W3" w:hAnsi="Helvetica"/>
      <w:color w:val="000000"/>
      <w:sz w:val="24"/>
      <w:szCs w:val="20"/>
      <w:lang w:eastAsia="cs-CZ" w:val="en-US"/>
    </w:rPr>
  </w:style>
  <w:style w:customStyle="1" w:styleId="FreeFormA" w:type="paragraph">
    <w:name w:val="Free Form A"/>
    <w:rsid w:val="00671F58"/>
    <w:pPr>
      <w:spacing w:after="0" w:line="240" w:lineRule="auto"/>
    </w:pPr>
    <w:rPr>
      <w:rFonts w:ascii="Times New Roman" w:cs="Times New Roman" w:eastAsia="ヒラギノ角ゴ Pro W3" w:hAnsi="Times New Roman"/>
      <w:color w:val="000000"/>
      <w:sz w:val="20"/>
      <w:szCs w:val="20"/>
      <w:lang w:eastAsia="cs-CZ"/>
    </w:rPr>
  </w:style>
  <w:style w:styleId="Odstavecseseznamem" w:type="paragraph">
    <w:name w:val="List Paragraph"/>
    <w:basedOn w:val="Normln"/>
    <w:uiPriority w:val="34"/>
    <w:qFormat/>
    <w:rsid w:val="00671F58"/>
    <w:pPr>
      <w:ind w:left="708"/>
    </w:pPr>
  </w:style>
  <w:style w:customStyle="1" w:styleId="VZnadpis1" w:type="paragraph">
    <w:name w:val="VZ_nadpis 1"/>
    <w:basedOn w:val="Normln"/>
    <w:uiPriority w:val="99"/>
    <w:rsid w:val="00671F58"/>
    <w:pPr>
      <w:numPr>
        <w:numId w:val="14"/>
      </w:numPr>
      <w:tabs>
        <w:tab w:pos="4140" w:val="left"/>
      </w:tabs>
      <w:spacing w:line="320" w:lineRule="atLeast"/>
      <w:jc w:val="both"/>
    </w:pPr>
    <w:rPr>
      <w:b/>
      <w:sz w:val="32"/>
      <w:szCs w:val="32"/>
    </w:rPr>
  </w:style>
  <w:style w:customStyle="1" w:styleId="VZpodnadpis" w:type="paragraph">
    <w:name w:val="VZ_podnadpis"/>
    <w:basedOn w:val="Normln"/>
    <w:uiPriority w:val="99"/>
    <w:rsid w:val="00671F58"/>
    <w:pPr>
      <w:numPr>
        <w:ilvl w:val="1"/>
        <w:numId w:val="14"/>
      </w:numPr>
      <w:autoSpaceDE w:val="0"/>
      <w:autoSpaceDN w:val="0"/>
      <w:adjustRightInd w:val="0"/>
      <w:spacing w:line="320" w:lineRule="atLeast"/>
    </w:pPr>
  </w:style>
  <w:style w:customStyle="1" w:styleId="Smlouva-slo" w:type="paragraph">
    <w:name w:val="Smlouva-číslo"/>
    <w:basedOn w:val="Normln"/>
    <w:rsid w:val="00671F58"/>
    <w:pPr>
      <w:widowControl w:val="0"/>
      <w:snapToGrid w:val="0"/>
      <w:spacing w:before="120" w:line="240" w:lineRule="atLeast"/>
      <w:jc w:val="both"/>
    </w:pPr>
    <w:rPr>
      <w:szCs w:val="20"/>
    </w:rPr>
  </w:style>
  <w:style w:styleId="Textbubliny" w:type="paragraph">
    <w:name w:val="Balloon Text"/>
    <w:basedOn w:val="Normln"/>
    <w:link w:val="TextbublinyChar"/>
    <w:uiPriority w:val="99"/>
    <w:semiHidden/>
    <w:unhideWhenUsed/>
    <w:rsid w:val="001613F0"/>
    <w:rPr>
      <w:rFonts w:ascii="Tahoma" w:cs="Tahoma" w:hAnsi="Tahoma"/>
      <w:sz w:val="16"/>
      <w:szCs w:val="16"/>
    </w:rPr>
  </w:style>
  <w:style w:customStyle="1" w:styleId="TextbublinyChar" w:type="character">
    <w:name w:val="Text bubliny Char"/>
    <w:basedOn w:val="Standardnpsmoodstavce"/>
    <w:link w:val="Textbubliny"/>
    <w:uiPriority w:val="99"/>
    <w:semiHidden/>
    <w:rsid w:val="001613F0"/>
    <w:rPr>
      <w:rFonts w:ascii="Tahoma" w:cs="Tahoma" w:eastAsia="Times New Roman" w:hAnsi="Tahoma"/>
      <w:sz w:val="16"/>
      <w:szCs w:val="16"/>
      <w:lang w:eastAsia="cs-CZ"/>
    </w:rPr>
  </w:style>
  <w:style w:styleId="Odkaznakoment" w:type="character">
    <w:name w:val="annotation reference"/>
    <w:basedOn w:val="Standardnpsmoodstavce"/>
    <w:uiPriority w:val="99"/>
    <w:semiHidden/>
    <w:unhideWhenUsed/>
    <w:rsid w:val="001613F0"/>
    <w:rPr>
      <w:sz w:val="16"/>
      <w:szCs w:val="16"/>
    </w:rPr>
  </w:style>
  <w:style w:styleId="Textkomente" w:type="paragraph">
    <w:name w:val="annotation text"/>
    <w:basedOn w:val="Normln"/>
    <w:link w:val="TextkomenteChar"/>
    <w:uiPriority w:val="99"/>
    <w:semiHidden/>
    <w:unhideWhenUsed/>
    <w:rsid w:val="001613F0"/>
    <w:rPr>
      <w:sz w:val="20"/>
      <w:szCs w:val="20"/>
    </w:rPr>
  </w:style>
  <w:style w:customStyle="1" w:styleId="TextkomenteChar" w:type="character">
    <w:name w:val="Text komentáře Char"/>
    <w:basedOn w:val="Standardnpsmoodstavce"/>
    <w:link w:val="Textkomente"/>
    <w:uiPriority w:val="99"/>
    <w:semiHidden/>
    <w:rsid w:val="001613F0"/>
    <w:rPr>
      <w:rFonts w:ascii="Times New Roman" w:cs="Times New Roman" w:eastAsia="Times New Roman" w:hAnsi="Times New Roman"/>
      <w:sz w:val="20"/>
      <w:szCs w:val="20"/>
      <w:lang w:eastAsia="cs-CZ"/>
    </w:rPr>
  </w:style>
  <w:style w:styleId="Pedmtkomente" w:type="paragraph">
    <w:name w:val="annotation subject"/>
    <w:basedOn w:val="Textkomente"/>
    <w:next w:val="Textkomente"/>
    <w:link w:val="PedmtkomenteChar"/>
    <w:uiPriority w:val="99"/>
    <w:semiHidden/>
    <w:unhideWhenUsed/>
    <w:rsid w:val="001613F0"/>
    <w:rPr>
      <w:b/>
      <w:bCs/>
    </w:rPr>
  </w:style>
  <w:style w:customStyle="1" w:styleId="PedmtkomenteChar" w:type="character">
    <w:name w:val="Předmět komentáře Char"/>
    <w:basedOn w:val="TextkomenteChar"/>
    <w:link w:val="Pedmtkomente"/>
    <w:uiPriority w:val="99"/>
    <w:semiHidden/>
    <w:rsid w:val="001613F0"/>
    <w:rPr>
      <w:rFonts w:ascii="Times New Roman" w:cs="Times New Roman" w:eastAsia="Times New Roman" w:hAnsi="Times New Roman"/>
      <w:b/>
      <w:bCs/>
      <w:sz w:val="20"/>
      <w:szCs w:val="20"/>
      <w:lang w:eastAsia="cs-CZ"/>
    </w:rPr>
  </w:style>
  <w:style w:styleId="Zkladntextodsazen2" w:type="paragraph">
    <w:name w:val="Body Text Indent 2"/>
    <w:basedOn w:val="Normln"/>
    <w:link w:val="Zkladntextodsazen2Char"/>
    <w:uiPriority w:val="99"/>
    <w:semiHidden/>
    <w:unhideWhenUsed/>
    <w:rsid w:val="00934BB7"/>
    <w:pPr>
      <w:ind w:left="426"/>
      <w:jc w:val="both"/>
    </w:pPr>
    <w:rPr>
      <w:rFonts w:ascii="Arial" w:cs="Arial" w:eastAsiaTheme="minorHAnsi" w:hAnsi="Arial"/>
      <w:sz w:val="22"/>
      <w:szCs w:val="22"/>
      <w:lang w:eastAsia="x-none"/>
    </w:rPr>
  </w:style>
  <w:style w:customStyle="1" w:styleId="Zkladntextodsazen2Char" w:type="character">
    <w:name w:val="Základní text odsazený 2 Char"/>
    <w:basedOn w:val="Standardnpsmoodstavce"/>
    <w:link w:val="Zkladntextodsazen2"/>
    <w:uiPriority w:val="99"/>
    <w:semiHidden/>
    <w:rsid w:val="00934BB7"/>
    <w:rPr>
      <w:rFonts w:ascii="Arial" w:cs="Arial" w:hAnsi="Arial"/>
      <w:lang w:eastAsia="x-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5142871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2.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theme/theme1.xml" Type="http://schemas.openxmlformats.org/officeDocument/2006/relationships/theme" Id="rId15"/>
    <Relationship Target="header1.xml" Type="http://schemas.openxmlformats.org/officeDocument/2006/relationships/header" Id="rId10"/>
    <Relationship Target="stylesWithEffects.xml" Type="http://schemas.microsoft.com/office/2007/relationships/stylesWithEffects" Id="rId4"/>
    <Relationship TargetMode="External" Target="http://www.esfcr.cz/dokumenty"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DBE3AFB-3AFC-4D3B-A9FD-CBC1D7E4E50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18</properties:Pages>
  <properties:Words>5147</properties:Words>
  <properties:Characters>30372</properties:Characters>
  <properties:Lines>253</properties:Lines>
  <properties:Paragraphs>70</properties:Paragraphs>
  <properties:TotalTime>302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35449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2013-05-03T14:05:00Z</dcterms:created>
  <dc:creator/>
  <cp:lastModifiedBy/>
  <dcterms:modified xmlns:xsi="http://www.w3.org/2001/XMLSchema-instance" xsi:type="dcterms:W3CDTF">2013-05-27T09:14:00Z</dcterms:modified>
  <cp:revision>29</cp:revision>
</cp:coreProperties>
</file>