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0660B6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4A0027" w:rsidP="004A0027" w:rsidRDefault="004A002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0660B6">
        <w:rPr>
          <w:rFonts w:ascii="Palatino Linotype" w:hAnsi="Palatino Linotype" w:cs="Calibri"/>
          <w:b/>
          <w:bCs/>
          <w:i/>
          <w:iCs/>
          <w:sz w:val="28"/>
          <w:szCs w:val="28"/>
        </w:rPr>
        <w:t>Nízkoprahová denní centra – osoby bez přístřeší - Hradecko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0660B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0660B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0660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0660B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0660B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660B6"/>
    <w:rsid w:val="00322BCD"/>
    <w:rsid w:val="003A5298"/>
    <w:rsid w:val="003E01C2"/>
    <w:rsid w:val="004A0027"/>
    <w:rsid w:val="00536619"/>
    <w:rsid w:val="00547B8C"/>
    <w:rsid w:val="006601E0"/>
    <w:rsid w:val="00713C2B"/>
    <w:rsid w:val="007154CA"/>
    <w:rsid w:val="008353FE"/>
    <w:rsid w:val="00846DEB"/>
    <w:rsid w:val="008F329E"/>
    <w:rsid w:val="00A70DD7"/>
    <w:rsid w:val="00A8076D"/>
    <w:rsid w:val="00B93901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8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2"/>
        <o:r id="V:Rule18" type="connector" idref="#Přímá spojnice se šipkou 11"/>
        <o:r id="V:Rule19" type="connector" idref="#Přímá spojnice se šipkou 9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277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0345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202</properties:Words>
  <properties:Characters>1196</properties:Characters>
  <properties:Lines>9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2014-11-20T13:31:00Z</dcterms:modified>
  <cp:revision>16</cp:revision>
</cp:coreProperties>
</file>