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0A57DC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0A57DC">
        <w:rPr>
          <w:rFonts w:ascii="Palatino Linotype" w:hAnsi="Palatino Linotype" w:cs="Calibri"/>
          <w:b/>
          <w:bCs/>
          <w:i/>
          <w:iCs/>
          <w:sz w:val="28"/>
          <w:szCs w:val="28"/>
        </w:rPr>
        <w:t>Azylové domy – matky s dětmi – Náchodsko, Broumovsko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0A57D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0A57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0A57D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0A57D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0A57DC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3A5298"/>
    <w:rsid w:val="007154CA"/>
    <w:rsid w:val="008353FE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9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8"/>
        <o:r id="V:Rule18" type="connector" idref="#Přímá spojnice se šipkou 7"/>
        <o:r id="V:Rule19" type="connector" idref="#Přímá spojnice se šipkou 2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201</properties:Words>
  <properties:Characters>1191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2014-11-12T13:47:00Z</dcterms:modified>
  <cp:revision>4</cp:revision>
</cp:coreProperties>
</file>