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EF5EDD" w:rsidR="00073F52" w:rsidP="00073F52" w:rsidRDefault="00073F52">
      <w:pPr>
        <w:spacing w:after="0" w:line="240" w:lineRule="auto"/>
        <w:rPr>
          <w:rFonts w:eastAsia="Times New Roman" w:cstheme="minorHAnsi"/>
          <w:lang w:eastAsia="cs-CZ"/>
        </w:rPr>
      </w:pPr>
      <w:r w:rsidRPr="00EF5EDD">
        <w:rPr>
          <w:rFonts w:eastAsia="Times New Roman" w:cstheme="minorHAnsi"/>
          <w:lang w:eastAsia="cs-CZ"/>
        </w:rPr>
        <w:t xml:space="preserve">Příloha č. </w:t>
      </w:r>
      <w:r w:rsidR="00DA31FF">
        <w:rPr>
          <w:rFonts w:eastAsia="Times New Roman" w:cstheme="minorHAnsi"/>
          <w:lang w:eastAsia="cs-CZ"/>
        </w:rPr>
        <w:t>6</w:t>
      </w:r>
      <w:r w:rsidRPr="00EF5EDD">
        <w:rPr>
          <w:rFonts w:eastAsia="Times New Roman" w:cstheme="minorHAnsi"/>
          <w:lang w:eastAsia="cs-CZ"/>
        </w:rPr>
        <w:t>a</w:t>
      </w:r>
    </w:p>
    <w:p w:rsidRPr="00EF5EDD" w:rsidR="00073F52" w:rsidP="00073F52" w:rsidRDefault="00073F52">
      <w:pPr>
        <w:spacing w:after="0" w:line="240" w:lineRule="auto"/>
        <w:rPr>
          <w:rFonts w:eastAsia="Times New Roman" w:cstheme="minorHAnsi"/>
          <w:lang w:eastAsia="cs-CZ"/>
        </w:rPr>
      </w:pPr>
    </w:p>
    <w:p w:rsidRPr="00EF5EDD" w:rsidR="00073F52" w:rsidP="00073F52" w:rsidRDefault="00073F52">
      <w:pPr>
        <w:spacing w:after="0" w:line="240" w:lineRule="auto"/>
        <w:jc w:val="center"/>
        <w:rPr>
          <w:rFonts w:eastAsia="Times New Roman" w:cstheme="minorHAnsi"/>
          <w:b/>
          <w:sz w:val="28"/>
          <w:u w:val="single"/>
          <w:lang w:eastAsia="cs-CZ"/>
        </w:rPr>
      </w:pPr>
      <w:r w:rsidRPr="00EF5EDD">
        <w:rPr>
          <w:rFonts w:eastAsia="Times New Roman" w:cstheme="minorHAnsi"/>
          <w:b/>
          <w:sz w:val="28"/>
          <w:u w:val="single"/>
          <w:lang w:eastAsia="cs-CZ"/>
        </w:rPr>
        <w:t>RÁMCOVÁ SMLOUVA S JEDNÍM ÚČASTNÍKEM</w:t>
      </w:r>
    </w:p>
    <w:p w:rsidRPr="00EF5EDD" w:rsidR="00073F52" w:rsidP="00073F52" w:rsidRDefault="00073F52">
      <w:pPr>
        <w:spacing w:after="0" w:line="240" w:lineRule="auto"/>
        <w:jc w:val="center"/>
        <w:rPr>
          <w:rFonts w:eastAsia="Times New Roman" w:cstheme="minorHAnsi"/>
          <w:bCs/>
          <w:sz w:val="28"/>
          <w:lang w:eastAsia="cs-CZ"/>
        </w:rPr>
      </w:pPr>
      <w:r w:rsidRPr="00EF5EDD">
        <w:rPr>
          <w:rFonts w:eastAsia="Times New Roman" w:cstheme="minorHAnsi"/>
          <w:b/>
          <w:sz w:val="28"/>
          <w:u w:val="single"/>
          <w:lang w:eastAsia="cs-CZ"/>
        </w:rPr>
        <w:t xml:space="preserve"> O REALIZACI REKVALIFIKAČNÍCH KURZŮ</w:t>
      </w:r>
    </w:p>
    <w:p w:rsidRPr="00EF5EDD" w:rsidR="00073F52" w:rsidP="00073F52" w:rsidRDefault="00073F52">
      <w:pPr>
        <w:spacing w:after="0" w:line="240" w:lineRule="auto"/>
        <w:jc w:val="center"/>
        <w:rPr>
          <w:rFonts w:eastAsia="Times New Roman" w:cstheme="minorHAnsi"/>
          <w:bCs/>
          <w:lang w:eastAsia="cs-CZ"/>
        </w:rPr>
      </w:pPr>
    </w:p>
    <w:p w:rsidRPr="00EF5EDD" w:rsidR="00073F52" w:rsidP="000D2FDE" w:rsidRDefault="00073F52">
      <w:pPr>
        <w:spacing w:after="0" w:line="240" w:lineRule="auto"/>
        <w:jc w:val="both"/>
        <w:rPr>
          <w:rFonts w:eastAsia="Times New Roman" w:cstheme="minorHAnsi"/>
          <w:bCs/>
          <w:lang w:eastAsia="cs-CZ"/>
        </w:rPr>
      </w:pPr>
      <w:r w:rsidRPr="00EF5EDD">
        <w:rPr>
          <w:rFonts w:eastAsia="Times New Roman" w:cstheme="minorHAnsi"/>
          <w:bCs/>
          <w:lang w:eastAsia="cs-CZ"/>
        </w:rPr>
        <w:t xml:space="preserve">uzavřená podle § 269 odst. 2 zák.  č. 513/1991 Sb., obchodní zákoník, ve znění pozdějších předpisů </w:t>
      </w:r>
      <w:r w:rsidRPr="00EF5EDD">
        <w:rPr>
          <w:rFonts w:eastAsia="Times New Roman" w:cstheme="minorHAnsi"/>
          <w:kern w:val="28"/>
          <w:lang w:eastAsia="cs-CZ"/>
        </w:rPr>
        <w:t>v návaznosti na zákon č. 137/2006 Sb., o veřejných zakázkách, ve znění pozdějších předpisů</w:t>
      </w:r>
      <w:r w:rsidRPr="00EF5EDD" w:rsidR="00EF5EDD">
        <w:rPr>
          <w:rFonts w:cstheme="minorHAnsi"/>
          <w:kern w:val="28"/>
        </w:rPr>
        <w:t>a na výsledek otevřeného zadávacího řízení na veřejnou zakázku „</w:t>
      </w:r>
      <w:r w:rsidRPr="00EF5EDD" w:rsidR="00EF5EDD">
        <w:rPr>
          <w:rFonts w:cstheme="minorHAnsi"/>
        </w:rPr>
        <w:t xml:space="preserve">Rekvalifikační kurzy pro ÚP ČR – krajskou pobočku v Liberci“, </w:t>
      </w:r>
      <w:r w:rsidRPr="00EF5EDD" w:rsidR="00EF5EDD">
        <w:rPr>
          <w:rFonts w:cstheme="minorHAnsi"/>
          <w:kern w:val="28"/>
        </w:rPr>
        <w:t>ev. č.: </w:t>
      </w:r>
      <w:r w:rsidRPr="00EF5EDD" w:rsidR="00EF5EDD">
        <w:rPr>
          <w:rFonts w:cstheme="minorHAnsi"/>
          <w:b/>
          <w:highlight w:val="yellow"/>
        </w:rPr>
        <w:t>VZ xxxxxxxx</w:t>
      </w:r>
      <w:r w:rsidRPr="00EF5EDD" w:rsidR="00EF5EDD">
        <w:rPr>
          <w:rFonts w:cstheme="minorHAnsi"/>
        </w:rPr>
        <w:t xml:space="preserve">- </w:t>
      </w:r>
      <w:r w:rsidRPr="00EF5EDD" w:rsidR="00EF5EDD">
        <w:rPr>
          <w:rFonts w:cstheme="minorHAnsi"/>
          <w:highlight w:val="yellow"/>
        </w:rPr>
        <w:t>část č. XXX ………………………..</w:t>
      </w:r>
      <w:r w:rsidRPr="00EF5EDD" w:rsidR="00EF5EDD">
        <w:rPr>
          <w:rFonts w:cstheme="minorHAnsi"/>
          <w:i/>
          <w:highlight w:val="yellow"/>
        </w:rPr>
        <w:t>uchazeč doplní číslo a název příslušné části VZ</w:t>
      </w:r>
    </w:p>
    <w:p w:rsidRPr="00EF5EDD" w:rsidR="00073F52" w:rsidP="00073F52" w:rsidRDefault="00073F52">
      <w:pPr>
        <w:spacing w:after="0" w:line="240" w:lineRule="auto"/>
        <w:rPr>
          <w:rFonts w:eastAsia="Times New Roman" w:cstheme="minorHAnsi"/>
          <w:lang w:eastAsia="cs-CZ"/>
        </w:rPr>
      </w:pPr>
    </w:p>
    <w:p w:rsidRPr="00EF5EDD" w:rsidR="00073F52" w:rsidP="00073F52" w:rsidRDefault="00073F52">
      <w:pPr>
        <w:spacing w:after="0" w:line="240" w:lineRule="auto"/>
        <w:rPr>
          <w:rFonts w:eastAsia="Times New Roman" w:cstheme="minorHAnsi"/>
          <w:lang w:eastAsia="cs-CZ"/>
        </w:rPr>
      </w:pPr>
      <w:r w:rsidRPr="00EF5EDD">
        <w:rPr>
          <w:rFonts w:eastAsia="Times New Roman" w:cstheme="minorHAnsi"/>
          <w:lang w:eastAsia="cs-CZ"/>
        </w:rPr>
        <w:t>Smluvní strany</w:t>
      </w:r>
    </w:p>
    <w:p w:rsidRPr="00EF5EDD" w:rsidR="00073F52" w:rsidP="00073F52" w:rsidRDefault="00073F52">
      <w:pPr>
        <w:spacing w:after="0" w:line="240" w:lineRule="auto"/>
        <w:jc w:val="both"/>
        <w:rPr>
          <w:rFonts w:eastAsia="Times New Roman" w:cstheme="minorHAnsi"/>
          <w:lang w:eastAsia="cs-CZ"/>
        </w:rPr>
      </w:pPr>
    </w:p>
    <w:p w:rsidRPr="00EF5EDD" w:rsidR="00073F52" w:rsidP="00073F52" w:rsidRDefault="00073F52">
      <w:pPr>
        <w:spacing w:after="0" w:line="240" w:lineRule="auto"/>
        <w:rPr>
          <w:rFonts w:eastAsia="Times New Roman" w:cstheme="minorHAnsi"/>
          <w:b/>
          <w:lang w:eastAsia="cs-CZ"/>
        </w:rPr>
      </w:pPr>
      <w:r w:rsidRPr="00EF5EDD">
        <w:rPr>
          <w:rFonts w:eastAsia="Times New Roman" w:cstheme="minorHAnsi"/>
          <w:b/>
          <w:lang w:eastAsia="cs-CZ"/>
        </w:rPr>
        <w:t>Úřad práce České republiky</w:t>
      </w:r>
    </w:p>
    <w:p w:rsidRPr="00EF5EDD" w:rsidR="00073F52" w:rsidP="00073F52" w:rsidRDefault="00073F52">
      <w:pPr>
        <w:spacing w:after="0" w:line="240" w:lineRule="auto"/>
        <w:rPr>
          <w:rFonts w:eastAsia="Times New Roman" w:cstheme="minorHAnsi"/>
          <w:b/>
          <w:lang w:eastAsia="cs-CZ"/>
        </w:rPr>
      </w:pPr>
      <w:r w:rsidRPr="00EF5EDD">
        <w:rPr>
          <w:rFonts w:eastAsia="Times New Roman" w:cstheme="minorHAnsi"/>
          <w:b/>
          <w:lang w:eastAsia="cs-CZ"/>
        </w:rPr>
        <w:t>Sídlo: Karlovo náměstí 1359/1, 128 00 Praha 2</w:t>
      </w:r>
    </w:p>
    <w:p w:rsidRPr="00EF5EDD" w:rsidR="00073F52" w:rsidP="00073F52" w:rsidRDefault="00073F52">
      <w:pPr>
        <w:tabs>
          <w:tab w:val="left" w:pos="2212"/>
        </w:tabs>
        <w:spacing w:after="0" w:line="240" w:lineRule="auto"/>
        <w:ind w:left="1" w:hanging="1"/>
        <w:rPr>
          <w:rFonts w:eastAsia="Times New Roman" w:cstheme="minorHAnsi"/>
          <w:b/>
          <w:lang w:eastAsia="cs-CZ"/>
        </w:rPr>
      </w:pPr>
      <w:r w:rsidRPr="00EF5EDD">
        <w:rPr>
          <w:rFonts w:eastAsia="Times New Roman" w:cstheme="minorHAnsi"/>
          <w:b/>
          <w:lang w:eastAsia="cs-CZ"/>
        </w:rPr>
        <w:t>kontaktní adresa: Úřad práce České republiky – krajská pobočka v Liberci</w:t>
      </w:r>
    </w:p>
    <w:p w:rsidRPr="00EF5EDD" w:rsidR="00073F52" w:rsidP="00073F52" w:rsidRDefault="00073F52">
      <w:pPr>
        <w:spacing w:after="0" w:line="240" w:lineRule="auto"/>
        <w:ind w:left="1" w:hanging="1"/>
        <w:rPr>
          <w:rFonts w:eastAsia="Times New Roman" w:cstheme="minorHAnsi"/>
          <w:b/>
          <w:lang w:eastAsia="cs-CZ"/>
        </w:rPr>
      </w:pPr>
      <w:r w:rsidRPr="00EF5EDD">
        <w:rPr>
          <w:rFonts w:eastAsia="Times New Roman" w:cstheme="minorHAnsi"/>
          <w:b/>
          <w:lang w:eastAsia="cs-CZ"/>
        </w:rPr>
        <w:tab/>
      </w:r>
      <w:r w:rsidRPr="00EF5EDD">
        <w:rPr>
          <w:rFonts w:eastAsia="Times New Roman" w:cstheme="minorHAnsi"/>
          <w:b/>
          <w:lang w:eastAsia="cs-CZ"/>
        </w:rPr>
        <w:tab/>
      </w:r>
      <w:r w:rsidRPr="00EF5EDD">
        <w:rPr>
          <w:rFonts w:eastAsia="Times New Roman" w:cstheme="minorHAnsi"/>
          <w:b/>
          <w:lang w:eastAsia="cs-CZ"/>
        </w:rPr>
        <w:tab/>
        <w:t xml:space="preserve">    Dr. Milady Horákové 580/7, Liberec IV – Perštýn, 460 01  Liberec 1</w:t>
      </w:r>
    </w:p>
    <w:p w:rsidR="00073F52" w:rsidP="00073F52" w:rsidRDefault="00073F52">
      <w:pPr>
        <w:spacing w:after="0" w:line="240" w:lineRule="auto"/>
        <w:ind w:left="1" w:hanging="1"/>
        <w:rPr>
          <w:rFonts w:eastAsia="Times New Roman" w:cstheme="minorHAnsi"/>
          <w:b/>
          <w:lang w:eastAsia="cs-CZ"/>
        </w:rPr>
      </w:pPr>
      <w:r w:rsidRPr="00EF5EDD">
        <w:rPr>
          <w:rFonts w:eastAsia="Times New Roman" w:cstheme="minorHAnsi"/>
          <w:b/>
          <w:lang w:eastAsia="cs-CZ"/>
        </w:rPr>
        <w:t>IČ: 72496991</w:t>
      </w:r>
    </w:p>
    <w:p w:rsidR="0084310F" w:rsidP="0084310F" w:rsidRDefault="0084310F">
      <w:pPr>
        <w:ind w:left="1" w:hanging="1"/>
        <w:rPr>
          <w:rFonts w:ascii="Calibri" w:hAnsi="Calibri" w:cs="Calibri"/>
          <w:b/>
        </w:rPr>
      </w:pPr>
      <w:r>
        <w:rPr>
          <w:rFonts w:ascii="Calibri" w:hAnsi="Calibri" w:cs="Calibri"/>
          <w:b/>
        </w:rPr>
        <w:t>Zastoupený: JUDr. Jiřím Kubešou,  generálním ředitelem Úřadu práce ČR</w:t>
      </w:r>
    </w:p>
    <w:p w:rsidRPr="00EF5EDD" w:rsidR="0084310F" w:rsidP="00073F52" w:rsidRDefault="0084310F">
      <w:pPr>
        <w:spacing w:after="0" w:line="240" w:lineRule="auto"/>
        <w:ind w:left="1" w:hanging="1"/>
        <w:rPr>
          <w:rFonts w:eastAsia="Times New Roman" w:cstheme="minorHAnsi"/>
          <w:b/>
          <w:lang w:eastAsia="cs-CZ"/>
        </w:rPr>
      </w:pPr>
    </w:p>
    <w:p w:rsidRPr="00EF5EDD" w:rsidR="00073F52" w:rsidP="00073F52" w:rsidRDefault="00073F52">
      <w:pPr>
        <w:spacing w:after="0" w:line="240" w:lineRule="auto"/>
        <w:rPr>
          <w:rFonts w:eastAsia="Times New Roman" w:cstheme="minorHAnsi"/>
          <w:b/>
          <w:lang w:eastAsia="cs-CZ"/>
        </w:rPr>
      </w:pPr>
    </w:p>
    <w:p w:rsidRPr="00EF5EDD" w:rsidR="00073F52" w:rsidP="00073F52" w:rsidRDefault="00073F52">
      <w:pPr>
        <w:spacing w:after="0" w:line="240" w:lineRule="auto"/>
        <w:jc w:val="both"/>
        <w:rPr>
          <w:rFonts w:eastAsia="Times New Roman" w:cstheme="minorHAnsi"/>
          <w:lang w:eastAsia="cs-CZ"/>
        </w:rPr>
      </w:pPr>
      <w:r w:rsidRPr="00EF5EDD">
        <w:rPr>
          <w:rFonts w:eastAsia="Times New Roman" w:cstheme="minorHAnsi"/>
          <w:lang w:eastAsia="cs-CZ"/>
        </w:rPr>
        <w:t xml:space="preserve">na straně jedné jako zadavatel (dále jen zadavatel) </w:t>
      </w:r>
    </w:p>
    <w:p w:rsidRPr="00EF5EDD" w:rsidR="00073F52" w:rsidP="00073F52" w:rsidRDefault="00073F52">
      <w:pPr>
        <w:spacing w:after="0" w:line="240" w:lineRule="auto"/>
        <w:jc w:val="both"/>
        <w:rPr>
          <w:rFonts w:eastAsia="Times New Roman" w:cstheme="minorHAnsi"/>
          <w:lang w:eastAsia="cs-CZ"/>
        </w:rPr>
      </w:pPr>
    </w:p>
    <w:p w:rsidRPr="00EF5EDD" w:rsidR="00073F52" w:rsidP="00073F52" w:rsidRDefault="00073F52">
      <w:pPr>
        <w:spacing w:after="0" w:line="240" w:lineRule="auto"/>
        <w:jc w:val="both"/>
        <w:rPr>
          <w:rFonts w:eastAsia="Times New Roman" w:cstheme="minorHAnsi"/>
          <w:lang w:eastAsia="cs-CZ"/>
        </w:rPr>
      </w:pPr>
      <w:r w:rsidRPr="00EF5EDD">
        <w:rPr>
          <w:rFonts w:eastAsia="Times New Roman" w:cstheme="minorHAnsi"/>
          <w:lang w:eastAsia="cs-CZ"/>
        </w:rPr>
        <w:t>a</w:t>
      </w:r>
    </w:p>
    <w:p w:rsidRPr="00EF5EDD" w:rsidR="00073F52" w:rsidP="00073F52" w:rsidRDefault="00073F52">
      <w:pPr>
        <w:spacing w:after="0" w:line="240" w:lineRule="auto"/>
        <w:jc w:val="both"/>
        <w:rPr>
          <w:rFonts w:eastAsia="Times New Roman" w:cstheme="minorHAnsi"/>
          <w:lang w:eastAsia="cs-CZ"/>
        </w:rPr>
      </w:pPr>
    </w:p>
    <w:p w:rsidRPr="00EF5EDD" w:rsidR="00073F52" w:rsidP="00073F52" w:rsidRDefault="00073F52">
      <w:pPr>
        <w:spacing w:after="0" w:line="240" w:lineRule="auto"/>
        <w:rPr>
          <w:rFonts w:eastAsia="Times New Roman" w:cstheme="minorHAnsi"/>
          <w:highlight w:val="yellow"/>
          <w:lang w:eastAsia="cs-CZ"/>
        </w:rPr>
      </w:pPr>
      <w:r w:rsidRPr="00EF5EDD">
        <w:rPr>
          <w:rFonts w:eastAsia="Times New Roman" w:cstheme="minorHAnsi"/>
          <w:highlight w:val="yellow"/>
          <w:lang w:eastAsia="cs-CZ"/>
        </w:rPr>
        <w:t>………………………………………………………………………………..…………………</w:t>
      </w:r>
    </w:p>
    <w:p w:rsidRPr="00EF5EDD" w:rsidR="00073F52" w:rsidP="00073F52" w:rsidRDefault="00073F52">
      <w:pPr>
        <w:spacing w:after="0" w:line="240" w:lineRule="auto"/>
        <w:rPr>
          <w:rFonts w:eastAsia="Times New Roman" w:cstheme="minorHAnsi"/>
          <w:highlight w:val="yellow"/>
          <w:lang w:eastAsia="cs-CZ"/>
        </w:rPr>
      </w:pPr>
      <w:r w:rsidRPr="00EF5EDD">
        <w:rPr>
          <w:rFonts w:eastAsia="Times New Roman" w:cstheme="minorHAnsi"/>
          <w:highlight w:val="yellow"/>
          <w:lang w:eastAsia="cs-CZ"/>
        </w:rPr>
        <w:t>se sídlem …………………………………………………………………………………………………</w:t>
      </w:r>
    </w:p>
    <w:p w:rsidRPr="00EF5EDD" w:rsidR="00073F52" w:rsidP="00073F52" w:rsidRDefault="00073F52">
      <w:pPr>
        <w:spacing w:after="0" w:line="240" w:lineRule="auto"/>
        <w:rPr>
          <w:rFonts w:eastAsia="Times New Roman" w:cstheme="minorHAnsi"/>
          <w:highlight w:val="yellow"/>
          <w:lang w:eastAsia="cs-CZ"/>
        </w:rPr>
      </w:pPr>
      <w:r w:rsidRPr="00EF5EDD">
        <w:rPr>
          <w:rFonts w:eastAsia="Times New Roman" w:cstheme="minorHAnsi"/>
          <w:highlight w:val="yellow"/>
          <w:lang w:eastAsia="cs-CZ"/>
        </w:rPr>
        <w:t xml:space="preserve">zastoupený ……………………………………………………………………………………………… </w:t>
      </w:r>
    </w:p>
    <w:p w:rsidRPr="00EF5EDD" w:rsidR="00073F52" w:rsidP="00073F52" w:rsidRDefault="00073F52">
      <w:pPr>
        <w:spacing w:after="0" w:line="240" w:lineRule="auto"/>
        <w:rPr>
          <w:rFonts w:eastAsia="Times New Roman" w:cstheme="minorHAnsi"/>
          <w:highlight w:val="yellow"/>
          <w:lang w:eastAsia="cs-CZ"/>
        </w:rPr>
      </w:pPr>
      <w:r w:rsidRPr="00EF5EDD">
        <w:rPr>
          <w:rFonts w:eastAsia="Times New Roman" w:cstheme="minorHAnsi"/>
          <w:highlight w:val="yellow"/>
          <w:lang w:eastAsia="cs-CZ"/>
        </w:rPr>
        <w:t>IČ:  ………………………………………………………………………………………………………..</w:t>
      </w:r>
    </w:p>
    <w:p w:rsidRPr="00EF5EDD" w:rsidR="00073F52" w:rsidP="00073F52" w:rsidRDefault="00073F52">
      <w:pPr>
        <w:spacing w:after="0" w:line="240" w:lineRule="auto"/>
        <w:rPr>
          <w:rFonts w:eastAsia="Times New Roman" w:cstheme="minorHAnsi"/>
          <w:highlight w:val="yellow"/>
          <w:lang w:eastAsia="cs-CZ"/>
        </w:rPr>
      </w:pPr>
      <w:r w:rsidRPr="00EF5EDD">
        <w:rPr>
          <w:rFonts w:eastAsia="Times New Roman" w:cstheme="minorHAnsi"/>
          <w:highlight w:val="yellow"/>
          <w:lang w:eastAsia="cs-CZ"/>
        </w:rPr>
        <w:t>DIČ:  ………………………………………………………………………………………………………</w:t>
      </w:r>
    </w:p>
    <w:p w:rsidRPr="00EF5EDD" w:rsidR="00073F52" w:rsidP="00073F52" w:rsidRDefault="00073F52">
      <w:pPr>
        <w:spacing w:after="0" w:line="240" w:lineRule="auto"/>
        <w:rPr>
          <w:rFonts w:eastAsia="Times New Roman" w:cstheme="minorHAnsi"/>
          <w:lang w:eastAsia="cs-CZ"/>
        </w:rPr>
      </w:pPr>
      <w:r w:rsidRPr="00EF5EDD">
        <w:rPr>
          <w:rFonts w:eastAsia="Times New Roman" w:cstheme="minorHAnsi"/>
          <w:highlight w:val="yellow"/>
          <w:lang w:eastAsia="cs-CZ"/>
        </w:rPr>
        <w:t>Zapsaný v………………………………………………………………………………………………..</w:t>
      </w:r>
    </w:p>
    <w:p w:rsidRPr="00EF5EDD" w:rsidR="00073F52" w:rsidP="00073F52" w:rsidRDefault="00073F52">
      <w:pPr>
        <w:spacing w:after="0" w:line="240" w:lineRule="auto"/>
        <w:jc w:val="both"/>
        <w:rPr>
          <w:rFonts w:eastAsia="Times New Roman" w:cstheme="minorHAnsi"/>
          <w:lang w:eastAsia="cs-CZ"/>
        </w:rPr>
      </w:pPr>
    </w:p>
    <w:p w:rsidRPr="00EF5EDD" w:rsidR="00073F52" w:rsidP="00073F52" w:rsidRDefault="00073F52">
      <w:pPr>
        <w:spacing w:after="0" w:line="240" w:lineRule="auto"/>
        <w:jc w:val="both"/>
        <w:rPr>
          <w:rFonts w:eastAsia="Times New Roman" w:cstheme="minorHAnsi"/>
          <w:lang w:eastAsia="cs-CZ"/>
        </w:rPr>
      </w:pPr>
      <w:r w:rsidRPr="00EF5EDD">
        <w:rPr>
          <w:rFonts w:eastAsia="Times New Roman" w:cstheme="minorHAnsi"/>
          <w:lang w:eastAsia="cs-CZ"/>
        </w:rPr>
        <w:t xml:space="preserve">na straně druhé jako dodavatel (dále jen dodavatel) </w:t>
      </w:r>
    </w:p>
    <w:p w:rsidRPr="00EF5EDD" w:rsidR="00073F52" w:rsidP="00073F52" w:rsidRDefault="00073F52">
      <w:pPr>
        <w:spacing w:after="0" w:line="240" w:lineRule="auto"/>
        <w:jc w:val="both"/>
        <w:rPr>
          <w:rFonts w:eastAsia="Times New Roman" w:cstheme="minorHAnsi"/>
          <w:b/>
          <w:lang w:eastAsia="cs-CZ"/>
        </w:rPr>
      </w:pPr>
    </w:p>
    <w:p w:rsidRPr="00EF5EDD" w:rsidR="00073F52" w:rsidP="00073F52" w:rsidRDefault="00073F52">
      <w:pPr>
        <w:spacing w:after="0" w:line="240" w:lineRule="auto"/>
        <w:jc w:val="both"/>
        <w:rPr>
          <w:rFonts w:eastAsia="Times New Roman" w:cstheme="minorHAnsi"/>
          <w:lang w:eastAsia="cs-CZ"/>
        </w:rPr>
      </w:pPr>
      <w:r w:rsidRPr="00EF5EDD">
        <w:rPr>
          <w:rFonts w:eastAsia="Times New Roman" w:cstheme="minorHAnsi"/>
          <w:lang w:eastAsia="cs-CZ"/>
        </w:rPr>
        <w:t>uzavřely níže uvedeného dne, měsíce a roku následující smlouvu:</w:t>
      </w: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283" w:hanging="283"/>
        <w:jc w:val="center"/>
        <w:rPr>
          <w:rFonts w:eastAsia="Times New Roman" w:cstheme="minorHAnsi"/>
          <w:b/>
          <w:lang w:eastAsia="cs-CZ"/>
        </w:rPr>
      </w:pP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283" w:hanging="283"/>
        <w:jc w:val="center"/>
        <w:rPr>
          <w:rFonts w:eastAsia="Times New Roman" w:cstheme="minorHAnsi"/>
          <w:b/>
          <w:lang w:eastAsia="cs-CZ"/>
        </w:rPr>
      </w:pP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283" w:hanging="283"/>
        <w:jc w:val="center"/>
        <w:rPr>
          <w:rFonts w:eastAsia="Times New Roman" w:cstheme="minorHAnsi"/>
          <w:b/>
          <w:lang w:eastAsia="cs-CZ"/>
        </w:rPr>
      </w:pPr>
      <w:r w:rsidRPr="00EF5EDD">
        <w:rPr>
          <w:rFonts w:eastAsia="Times New Roman" w:cstheme="minorHAnsi"/>
          <w:b/>
          <w:lang w:eastAsia="cs-CZ"/>
        </w:rPr>
        <w:t xml:space="preserve">I.     </w:t>
      </w: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283" w:hanging="283"/>
        <w:jc w:val="center"/>
        <w:rPr>
          <w:rFonts w:eastAsia="Times New Roman" w:cstheme="minorHAnsi"/>
          <w:b/>
          <w:lang w:eastAsia="cs-CZ"/>
        </w:rPr>
      </w:pPr>
      <w:r w:rsidRPr="00EF5EDD">
        <w:rPr>
          <w:rFonts w:eastAsia="Times New Roman" w:cstheme="minorHAnsi"/>
          <w:b/>
          <w:lang w:eastAsia="cs-CZ"/>
        </w:rPr>
        <w:t>Úvodní ustanovení</w:t>
      </w: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283" w:hanging="283"/>
        <w:jc w:val="center"/>
        <w:rPr>
          <w:rFonts w:eastAsia="Times New Roman" w:cstheme="minorHAnsi"/>
          <w:b/>
          <w:lang w:eastAsia="cs-CZ"/>
        </w:rPr>
      </w:pPr>
    </w:p>
    <w:p w:rsidRPr="00EF5EDD" w:rsidR="00073F52" w:rsidP="00073F52" w:rsidRDefault="00073F52">
      <w:pPr>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eastAsia="Times New Roman" w:cstheme="minorHAnsi"/>
          <w:color w:val="000000"/>
          <w:lang w:eastAsia="cs-CZ"/>
        </w:rPr>
      </w:pPr>
      <w:r w:rsidRPr="00EF5EDD">
        <w:rPr>
          <w:rFonts w:eastAsia="Times New Roman" w:cstheme="minorHAnsi"/>
          <w:color w:val="000000"/>
          <w:lang w:eastAsia="cs-CZ"/>
        </w:rPr>
        <w:t xml:space="preserve">Smluvní strany se ve smyslu § 89 odst. 1 zákona dohodly na uzavření této rámcové smlouvy s jedním účastníkem o realizaci následujících rekvalifikačních kurzů: </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426" w:hanging="284"/>
        <w:jc w:val="both"/>
        <w:rPr>
          <w:rFonts w:eastAsia="Times New Roman" w:cstheme="minorHAnsi"/>
          <w:color w:val="000000"/>
          <w:lang w:eastAsia="cs-CZ"/>
        </w:rPr>
      </w:pPr>
      <w:r w:rsidRPr="00EF5EDD">
        <w:rPr>
          <w:rFonts w:eastAsia="Times New Roman" w:cstheme="minorHAnsi"/>
          <w:color w:val="000000"/>
          <w:lang w:eastAsia="cs-CZ"/>
        </w:rPr>
        <w:t xml:space="preserve">    (přesný název rekvalifikačního kurzu dle dokladu prokazujícího odbornou způsobilost dodavatele dle § 108  odst.2 zákona č.435/2004 Sb., o zaměstnanosti):</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color w:val="FF0000"/>
          <w:lang w:eastAsia="cs-CZ"/>
        </w:rPr>
      </w:pP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highlight w:val="yellow"/>
          <w:lang w:eastAsia="cs-CZ"/>
        </w:rPr>
      </w:pPr>
      <w:r w:rsidRPr="00EF5EDD">
        <w:rPr>
          <w:rFonts w:eastAsia="Times New Roman" w:cstheme="minorHAnsi"/>
          <w:color w:val="FF0000"/>
          <w:lang w:eastAsia="cs-CZ"/>
        </w:rPr>
        <w:tab/>
      </w:r>
      <w:r w:rsidRPr="00EF5EDD">
        <w:rPr>
          <w:rFonts w:eastAsia="Times New Roman" w:cstheme="minorHAnsi"/>
          <w:highlight w:val="yellow"/>
          <w:lang w:eastAsia="cs-CZ"/>
        </w:rPr>
        <w:t>………………………..</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highlight w:val="yellow"/>
          <w:lang w:eastAsia="cs-CZ"/>
        </w:rPr>
      </w:pPr>
      <w:r w:rsidRPr="00EF5EDD">
        <w:rPr>
          <w:rFonts w:eastAsia="Times New Roman" w:cstheme="minorHAnsi"/>
          <w:highlight w:val="yellow"/>
          <w:lang w:eastAsia="cs-CZ"/>
        </w:rPr>
        <w:tab/>
        <w:t>………………………..</w:t>
      </w:r>
    </w:p>
    <w:p w:rsidRPr="00EF5EDD" w:rsidR="00073F52" w:rsidP="00073F52" w:rsidRDefault="00073F52">
      <w:pPr>
        <w:tabs>
          <w:tab w:val="left" w:pos="709"/>
          <w:tab w:val="center" w:pos="4536"/>
          <w:tab w:val="right" w:pos="9072"/>
        </w:tabs>
        <w:spacing w:after="0" w:line="240" w:lineRule="auto"/>
        <w:jc w:val="both"/>
        <w:rPr>
          <w:rFonts w:eastAsia="Times New Roman" w:cstheme="minorHAnsi"/>
          <w:highlight w:val="yellow"/>
          <w:lang w:eastAsia="cs-CZ"/>
        </w:rPr>
      </w:pPr>
      <w:r w:rsidRPr="00EF5EDD">
        <w:rPr>
          <w:rFonts w:eastAsia="Times New Roman" w:cstheme="minorHAnsi"/>
          <w:highlight w:val="yellow"/>
          <w:lang w:eastAsia="cs-CZ"/>
        </w:rPr>
        <w:tab/>
        <w:t xml:space="preserve">……………………….. </w:t>
      </w:r>
    </w:p>
    <w:p w:rsidRPr="00EF5EDD" w:rsidR="00073F52" w:rsidP="00073F52" w:rsidRDefault="00073F52">
      <w:pPr>
        <w:tabs>
          <w:tab w:val="left" w:pos="709"/>
          <w:tab w:val="center" w:pos="4536"/>
          <w:tab w:val="right" w:pos="9072"/>
        </w:tabs>
        <w:spacing w:after="0" w:line="240" w:lineRule="auto"/>
        <w:jc w:val="both"/>
        <w:rPr>
          <w:rFonts w:eastAsia="Times New Roman" w:cstheme="minorHAnsi"/>
          <w:highlight w:val="yellow"/>
          <w:lang w:eastAsia="cs-CZ"/>
        </w:rPr>
      </w:pP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lang w:eastAsia="cs-CZ"/>
        </w:rPr>
      </w:pPr>
      <w:r w:rsidRPr="00EF5EDD">
        <w:rPr>
          <w:rFonts w:eastAsia="Times New Roman" w:cstheme="minorHAnsi"/>
          <w:highlight w:val="yellow"/>
          <w:lang w:eastAsia="cs-CZ"/>
        </w:rPr>
        <w:lastRenderedPageBreak/>
        <w:tab/>
        <w:t>………………………..</w:t>
      </w:r>
    </w:p>
    <w:p w:rsidRPr="00EF5EDD" w:rsidR="00073F52" w:rsidP="00073F52" w:rsidRDefault="00073F52">
      <w:pPr>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lang w:eastAsia="cs-CZ"/>
        </w:rPr>
      </w:pPr>
      <w:r w:rsidRPr="00EF5EDD">
        <w:rPr>
          <w:rFonts w:eastAsia="Times New Roman" w:cstheme="minorHAnsi"/>
          <w:lang w:eastAsia="cs-CZ"/>
        </w:rPr>
        <w:t>Tato rámcová smlouva obsahuje podrobné obchodní podmínky pro realizaci jednotlivých rekvalifikačních kurzů a tvoří právně závazný základ pro uzavírání jednotlivých Dohod o provedení rekvalifikace na základě výzvy ze strany zadavatele.</w:t>
      </w:r>
    </w:p>
    <w:p w:rsidRPr="00EF5EDD" w:rsidR="00073F52" w:rsidP="00073F52" w:rsidRDefault="00073F52">
      <w:pPr>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lang w:eastAsia="cs-CZ"/>
        </w:rPr>
      </w:pPr>
      <w:r w:rsidRPr="00EF5EDD">
        <w:rPr>
          <w:rFonts w:eastAsia="Times New Roman" w:cstheme="minorHAnsi"/>
          <w:lang w:eastAsia="cs-CZ"/>
        </w:rPr>
        <w:t>Jednotlivé Dohody o provedení rekvalifikace budou uzavírány v souladu s ust. § 108 zákona číslo 435/2004 Sb., o zaměstnanosti, v platném znění a vyhláškou č. 519/2004 Sb., o rekvalifikaci uchazečů o zaměstnání a zájemců o zaměstnání a o rekvalifikaci zaměstnanců, v platném znění.</w:t>
      </w:r>
    </w:p>
    <w:p w:rsidRPr="00EF5EDD" w:rsidR="00073F52" w:rsidP="00073F52" w:rsidRDefault="00073F52">
      <w:pPr>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both"/>
        <w:rPr>
          <w:rFonts w:eastAsia="Times New Roman" w:cstheme="minorHAnsi"/>
          <w:lang w:eastAsia="cs-CZ"/>
        </w:rPr>
      </w:pPr>
      <w:r w:rsidRPr="00EF5EDD">
        <w:rPr>
          <w:rFonts w:eastAsia="Times New Roman" w:cstheme="minorHAnsi"/>
          <w:u w:val="single"/>
          <w:lang w:eastAsia="cs-CZ"/>
        </w:rPr>
        <w:t xml:space="preserve">Nedílnou součástí této rámcové smlouvy je vždy </w:t>
      </w:r>
      <w:r w:rsidRPr="00EF5EDD">
        <w:rPr>
          <w:rFonts w:eastAsia="Times New Roman" w:cstheme="minorHAnsi"/>
          <w:color w:val="000000"/>
          <w:u w:val="single"/>
          <w:lang w:eastAsia="cs-CZ"/>
        </w:rPr>
        <w:t>nabídka konkrétního dodavatele, na základě které byl jako uchazeč v předcházejícím zadávacím řízení vybrán jako účastník této rámcové smlouvy a která je ve svých příslušných částech pro dodavatele závazná v případech, které nejsou v rámcové smlouvě ošetřeny</w:t>
      </w:r>
      <w:r w:rsidRPr="00EF5EDD">
        <w:rPr>
          <w:rFonts w:eastAsia="Times New Roman" w:cstheme="minorHAnsi"/>
          <w:color w:val="000000"/>
          <w:lang w:eastAsia="cs-CZ"/>
        </w:rPr>
        <w:t>. Nabídka podaná dodavatelem pro předmětné zadávací řízení je proto vždy nedílnou přílohou č. 1 této smlouvy.</w:t>
      </w:r>
    </w:p>
    <w:p w:rsidRPr="00EF5EDD" w:rsidR="00073F52" w:rsidP="00073F52" w:rsidRDefault="00073F52">
      <w:pPr>
        <w:spacing w:after="0" w:line="240" w:lineRule="auto"/>
        <w:jc w:val="center"/>
        <w:rPr>
          <w:rFonts w:eastAsia="Times New Roman" w:cstheme="minorHAnsi"/>
          <w:lang w:eastAsia="cs-CZ"/>
        </w:rPr>
      </w:pPr>
      <w:r w:rsidRPr="00EF5EDD">
        <w:rPr>
          <w:rFonts w:eastAsia="Times New Roman" w:cstheme="minorHAnsi"/>
          <w:b/>
          <w:lang w:eastAsia="cs-CZ"/>
        </w:rPr>
        <w:t>II</w:t>
      </w:r>
      <w:r w:rsidRPr="00EF5EDD">
        <w:rPr>
          <w:rFonts w:eastAsia="Times New Roman" w:cstheme="minorHAnsi"/>
          <w:lang w:eastAsia="cs-CZ"/>
        </w:rPr>
        <w:t>.</w:t>
      </w:r>
    </w:p>
    <w:p w:rsidRPr="00EF5EDD" w:rsidR="00073F52" w:rsidP="00073F52" w:rsidRDefault="00073F52">
      <w:pPr>
        <w:spacing w:after="0" w:line="240" w:lineRule="auto"/>
        <w:jc w:val="center"/>
        <w:rPr>
          <w:rFonts w:eastAsia="Times New Roman" w:cstheme="minorHAnsi"/>
          <w:b/>
          <w:lang w:eastAsia="cs-CZ"/>
        </w:rPr>
      </w:pPr>
      <w:r w:rsidRPr="00EF5EDD">
        <w:rPr>
          <w:rFonts w:eastAsia="Times New Roman" w:cstheme="minorHAnsi"/>
          <w:b/>
          <w:lang w:eastAsia="cs-CZ"/>
        </w:rPr>
        <w:t>Předmět smlouvy</w:t>
      </w:r>
    </w:p>
    <w:p w:rsidRPr="00EF5EDD" w:rsidR="00073F52" w:rsidP="00073F52" w:rsidRDefault="00073F52">
      <w:pPr>
        <w:keepNext/>
        <w:tabs>
          <w:tab w:val="num" w:pos="426"/>
        </w:tabs>
        <w:spacing w:after="60" w:line="240" w:lineRule="auto"/>
        <w:jc w:val="both"/>
        <w:outlineLvl w:val="3"/>
        <w:rPr>
          <w:rFonts w:eastAsia="Times New Roman" w:cstheme="minorHAnsi"/>
          <w:bCs/>
          <w:lang w:eastAsia="cs-CZ"/>
        </w:rPr>
      </w:pPr>
    </w:p>
    <w:p w:rsidR="00073F52" w:rsidP="00073F52" w:rsidRDefault="00073F52">
      <w:pPr>
        <w:keepNext/>
        <w:numPr>
          <w:ilvl w:val="0"/>
          <w:numId w:val="2"/>
        </w:numPr>
        <w:tabs>
          <w:tab w:val="clear" w:pos="360"/>
        </w:tabs>
        <w:spacing w:after="0" w:line="240" w:lineRule="auto"/>
        <w:ind w:left="284" w:hanging="284"/>
        <w:jc w:val="both"/>
        <w:outlineLvl w:val="3"/>
        <w:rPr>
          <w:rFonts w:eastAsia="Times New Roman" w:cstheme="minorHAnsi"/>
          <w:bCs/>
          <w:lang w:eastAsia="cs-CZ"/>
        </w:rPr>
      </w:pPr>
      <w:r w:rsidRPr="00EF5EDD">
        <w:rPr>
          <w:rFonts w:eastAsia="Times New Roman" w:cstheme="minorHAnsi"/>
          <w:bCs/>
          <w:lang w:eastAsia="cs-CZ"/>
        </w:rPr>
        <w:t xml:space="preserve">Předmětem této rámcové smlouvy je v souladu s § 11 </w:t>
      </w:r>
      <w:r w:rsidRPr="00EF5EDD">
        <w:rPr>
          <w:rFonts w:eastAsia="Times New Roman" w:cstheme="minorHAnsi"/>
          <w:bCs/>
          <w:kern w:val="28"/>
          <w:lang w:eastAsia="cs-CZ"/>
        </w:rPr>
        <w:t xml:space="preserve">zákona č. 137/2006 Sb., o veřejných zakázkách, (dále jen „ZVZ“) </w:t>
      </w:r>
      <w:r w:rsidRPr="00EF5EDD">
        <w:rPr>
          <w:rFonts w:eastAsia="Times New Roman" w:cstheme="minorHAnsi"/>
          <w:bCs/>
          <w:lang w:eastAsia="cs-CZ"/>
        </w:rPr>
        <w:t>úprava podmínek týkajících se dílčích veřejných zakázek na služby spočívající v realizaci jednotlivých rekvalifikačních kurzů uvedených v článku I. této smlouvy podle jednotlivých Dohod o provedení rekvalifikace uzavřených na základě požadavků a potřeb zadavatele, zadávaných na základě této rámcové smlouvy po dobu její platnosti.</w:t>
      </w:r>
    </w:p>
    <w:p w:rsidR="002B2BAD" w:rsidP="002B2BAD" w:rsidRDefault="002B2BAD">
      <w:pPr>
        <w:keepNext/>
        <w:spacing w:after="0" w:line="240" w:lineRule="auto"/>
        <w:ind w:left="284"/>
        <w:jc w:val="both"/>
        <w:outlineLvl w:val="3"/>
        <w:rPr>
          <w:rFonts w:eastAsia="Times New Roman" w:cstheme="minorHAnsi"/>
          <w:bCs/>
          <w:lang w:eastAsia="cs-CZ"/>
        </w:rPr>
      </w:pPr>
    </w:p>
    <w:p w:rsidRPr="00EF5EDD" w:rsidR="002B2BAD" w:rsidP="002B2BAD" w:rsidRDefault="002B2BAD">
      <w:pPr>
        <w:keepNext/>
        <w:spacing w:after="0" w:line="240" w:lineRule="auto"/>
        <w:ind w:left="284"/>
        <w:jc w:val="both"/>
        <w:outlineLvl w:val="3"/>
        <w:rPr>
          <w:rFonts w:eastAsia="Times New Roman" w:cstheme="minorHAnsi"/>
          <w:bCs/>
          <w:lang w:eastAsia="cs-CZ"/>
        </w:rPr>
      </w:pPr>
    </w:p>
    <w:tbl>
      <w:tblPr>
        <w:tblStyle w:val="Mkatabulky"/>
        <w:tblW w:w="0" w:type="auto"/>
        <w:tblLook w:val="04A0"/>
      </w:tblPr>
      <w:tblGrid>
        <w:gridCol w:w="4606"/>
        <w:gridCol w:w="4606"/>
      </w:tblGrid>
      <w:tr w:rsidR="002B2BAD" w:rsidTr="002B2BAD">
        <w:trPr>
          <w:trHeight w:val="537"/>
        </w:trPr>
        <w:tc>
          <w:tcPr>
            <w:tcW w:w="4606" w:type="dxa"/>
            <w:vAlign w:val="center"/>
          </w:tcPr>
          <w:p w:rsidR="002B2BAD" w:rsidP="002B2BAD" w:rsidRDefault="002B2BAD">
            <w:pPr>
              <w:rPr>
                <w:rFonts w:eastAsia="Times New Roman" w:cstheme="minorHAnsi"/>
                <w:lang w:eastAsia="cs-CZ"/>
              </w:rPr>
            </w:pPr>
            <w:r w:rsidRPr="00EF5EDD">
              <w:rPr>
                <w:rFonts w:eastAsia="Times New Roman" w:cstheme="minorHAnsi"/>
                <w:b/>
                <w:highlight w:val="yellow"/>
                <w:lang w:eastAsia="cs-CZ"/>
              </w:rPr>
              <w:t>min. počet účastníků</w:t>
            </w:r>
            <w:r>
              <w:rPr>
                <w:rFonts w:eastAsia="Times New Roman" w:cstheme="minorHAnsi"/>
                <w:lang w:eastAsia="cs-CZ"/>
              </w:rPr>
              <w:t>:</w:t>
            </w:r>
          </w:p>
        </w:tc>
        <w:tc>
          <w:tcPr>
            <w:tcW w:w="4606" w:type="dxa"/>
            <w:vAlign w:val="center"/>
          </w:tcPr>
          <w:p w:rsidR="002B2BAD" w:rsidP="002B2BAD" w:rsidRDefault="002B2BAD">
            <w:pPr>
              <w:rPr>
                <w:rFonts w:eastAsia="Times New Roman" w:cstheme="minorHAnsi"/>
                <w:lang w:eastAsia="cs-CZ"/>
              </w:rPr>
            </w:pPr>
          </w:p>
        </w:tc>
      </w:tr>
      <w:tr w:rsidR="002B2BAD" w:rsidTr="002B2BAD">
        <w:trPr>
          <w:trHeight w:val="537"/>
        </w:trPr>
        <w:tc>
          <w:tcPr>
            <w:tcW w:w="4606" w:type="dxa"/>
            <w:vAlign w:val="center"/>
          </w:tcPr>
          <w:p w:rsidRPr="002B2BAD" w:rsidR="002B2BAD" w:rsidP="002B2BAD" w:rsidRDefault="002B2BAD">
            <w:pPr>
              <w:rPr>
                <w:rFonts w:eastAsia="Times New Roman" w:cstheme="minorHAnsi"/>
                <w:b/>
                <w:lang w:eastAsia="cs-CZ"/>
              </w:rPr>
            </w:pPr>
            <w:r w:rsidRPr="00EF5EDD">
              <w:rPr>
                <w:rFonts w:eastAsia="Times New Roman" w:cstheme="minorHAnsi"/>
                <w:b/>
                <w:highlight w:val="yellow"/>
                <w:lang w:eastAsia="cs-CZ"/>
              </w:rPr>
              <w:t xml:space="preserve">cena </w:t>
            </w:r>
            <w:r>
              <w:rPr>
                <w:rFonts w:eastAsia="Times New Roman" w:cstheme="minorHAnsi"/>
                <w:b/>
                <w:highlight w:val="yellow"/>
                <w:lang w:eastAsia="cs-CZ"/>
              </w:rPr>
              <w:t xml:space="preserve">v KČ </w:t>
            </w:r>
            <w:r w:rsidRPr="00EF5EDD">
              <w:rPr>
                <w:rFonts w:eastAsia="Times New Roman" w:cstheme="minorHAnsi"/>
                <w:b/>
                <w:highlight w:val="yellow"/>
                <w:lang w:eastAsia="cs-CZ"/>
              </w:rPr>
              <w:t>za jednoho účastníka/hod (bez DPH)</w:t>
            </w:r>
            <w:r>
              <w:rPr>
                <w:rFonts w:eastAsia="Times New Roman" w:cstheme="minorHAnsi"/>
                <w:b/>
                <w:lang w:eastAsia="cs-CZ"/>
              </w:rPr>
              <w:t>:</w:t>
            </w:r>
          </w:p>
        </w:tc>
        <w:tc>
          <w:tcPr>
            <w:tcW w:w="4606" w:type="dxa"/>
            <w:vAlign w:val="center"/>
          </w:tcPr>
          <w:p w:rsidR="002B2BAD" w:rsidP="002B2BAD" w:rsidRDefault="002B2BAD">
            <w:pPr>
              <w:rPr>
                <w:rFonts w:eastAsia="Times New Roman" w:cstheme="minorHAnsi"/>
                <w:lang w:eastAsia="cs-CZ"/>
              </w:rPr>
            </w:pPr>
          </w:p>
        </w:tc>
      </w:tr>
    </w:tbl>
    <w:p w:rsidRPr="00EF5EDD" w:rsidR="00073F52" w:rsidP="00073F52" w:rsidRDefault="00073F52">
      <w:pPr>
        <w:spacing w:after="0" w:line="240" w:lineRule="auto"/>
        <w:rPr>
          <w:rFonts w:eastAsia="Times New Roman" w:cstheme="minorHAnsi"/>
          <w:lang w:eastAsia="cs-CZ"/>
        </w:rPr>
      </w:pPr>
    </w:p>
    <w:p w:rsidRPr="00EF5EDD" w:rsidR="00073F52" w:rsidP="00073F52" w:rsidRDefault="00073F52">
      <w:pPr>
        <w:keepNext/>
        <w:numPr>
          <w:ilvl w:val="0"/>
          <w:numId w:val="2"/>
        </w:numPr>
        <w:tabs>
          <w:tab w:val="clear" w:pos="360"/>
        </w:tabs>
        <w:spacing w:after="0" w:line="240" w:lineRule="auto"/>
        <w:ind w:left="284" w:hanging="284"/>
        <w:jc w:val="both"/>
        <w:outlineLvl w:val="3"/>
        <w:rPr>
          <w:rFonts w:eastAsia="Times New Roman" w:cstheme="minorHAnsi"/>
          <w:bCs/>
          <w:lang w:eastAsia="cs-CZ"/>
        </w:rPr>
      </w:pPr>
      <w:r w:rsidRPr="00EF5EDD">
        <w:rPr>
          <w:rFonts w:eastAsia="Times New Roman" w:cstheme="minorHAnsi"/>
          <w:bCs/>
          <w:lang w:eastAsia="cs-CZ"/>
        </w:rPr>
        <w:t xml:space="preserve">Dodavatel se po dobu účinnosti této rámcové smlouvy zavazuje zajišťovat pro zadavatele realizaci jednotlivých rekvalifikačních kurzů uvedených v článku I. této smlouvy podle jednotlivých Dohod </w:t>
      </w:r>
      <w:r w:rsidR="002B2BAD">
        <w:rPr>
          <w:rFonts w:eastAsia="Times New Roman" w:cstheme="minorHAnsi"/>
          <w:bCs/>
          <w:lang w:eastAsia="cs-CZ"/>
        </w:rPr>
        <w:br/>
      </w:r>
      <w:r w:rsidRPr="00EF5EDD">
        <w:rPr>
          <w:rFonts w:eastAsia="Times New Roman" w:cstheme="minorHAnsi"/>
          <w:bCs/>
          <w:lang w:eastAsia="cs-CZ"/>
        </w:rPr>
        <w:t>o provedení rekvalifikace uzavřených na základě požadavků a potřeb zadavatele v souladu s touto rámcovou smlouvou, přičemž se dodavatel dále zavazuje:</w:t>
      </w:r>
    </w:p>
    <w:p w:rsidRPr="00EF5EDD" w:rsidR="00073F52" w:rsidP="00073F52" w:rsidRDefault="00073F52">
      <w:pPr>
        <w:spacing w:after="0" w:line="240" w:lineRule="auto"/>
        <w:rPr>
          <w:rFonts w:eastAsia="Times New Roman" w:cstheme="minorHAnsi"/>
          <w:lang w:eastAsia="cs-CZ"/>
        </w:rPr>
      </w:pP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realizovat konkrétní rekvalifikační kurzy v plném rozsahu za podmínek stanovených pro tento typ rekvalifikačního kurzu v předchozím ustanovení,</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Pr="00563893" w:rsidR="00073F52" w:rsidP="000D2FDE" w:rsidRDefault="000D2FDE">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Pr>
          <w:rFonts w:eastAsia="Times New Roman" w:cstheme="minorHAnsi"/>
          <w:lang w:eastAsia="cs-CZ"/>
        </w:rPr>
        <w:t>p</w:t>
      </w:r>
      <w:r w:rsidRPr="002B2BAD" w:rsidR="00073F52">
        <w:rPr>
          <w:rFonts w:eastAsia="Times New Roman" w:cstheme="minorHAnsi"/>
          <w:lang w:eastAsia="cs-CZ"/>
        </w:rPr>
        <w:t xml:space="preserve">ředložit před podpisem Dohody o provedení rekvalifikace originál pojistné smlouvy </w:t>
      </w:r>
      <w:r w:rsidRPr="002B2BAD" w:rsidR="002B2BAD">
        <w:rPr>
          <w:rFonts w:eastAsia="Times New Roman" w:cstheme="minorHAnsi"/>
          <w:lang w:eastAsia="cs-CZ"/>
        </w:rPr>
        <w:br/>
      </w:r>
      <w:r w:rsidRPr="002B2BAD" w:rsidR="00073F52">
        <w:rPr>
          <w:rFonts w:eastAsia="Times New Roman" w:cstheme="minorHAnsi"/>
          <w:lang w:eastAsia="cs-CZ"/>
        </w:rPr>
        <w:t>o pojištění odpovědnosti za škodu na zdraví způsobenou dodavatelem třetí osobě s </w:t>
      </w:r>
      <w:r w:rsidRPr="00563893" w:rsidR="00073F52">
        <w:rPr>
          <w:rFonts w:eastAsia="Times New Roman" w:cstheme="minorHAnsi"/>
          <w:lang w:eastAsia="cs-CZ"/>
        </w:rPr>
        <w:t xml:space="preserve">minimálním plněním </w:t>
      </w:r>
      <w:r w:rsidRPr="00563893" w:rsidR="00563893">
        <w:rPr>
          <w:rFonts w:eastAsia="Times New Roman" w:cstheme="minorHAnsi"/>
          <w:lang w:eastAsia="cs-CZ"/>
        </w:rPr>
        <w:t>1 0</w:t>
      </w:r>
      <w:r w:rsidRPr="00563893" w:rsidR="00073F52">
        <w:rPr>
          <w:rFonts w:eastAsia="Times New Roman" w:cstheme="minorHAnsi"/>
          <w:lang w:eastAsia="cs-CZ"/>
        </w:rPr>
        <w:t>00 000,- Kč.</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 xml:space="preserve">v průběhu rekvalifikace zajistit prokazatelnou denní evidenci docházky účastníků rekvalifikace a obsahu prováděné rekvalifikace minimálně v rozsahu: datum, téma, hodina začátku </w:t>
      </w:r>
      <w:r w:rsidRPr="002B2BAD" w:rsidR="002B2BAD">
        <w:rPr>
          <w:rFonts w:eastAsia="Times New Roman" w:cstheme="minorHAnsi"/>
          <w:lang w:eastAsia="cs-CZ"/>
        </w:rPr>
        <w:br/>
      </w:r>
      <w:r w:rsidRPr="002B2BAD">
        <w:rPr>
          <w:rFonts w:eastAsia="Times New Roman" w:cstheme="minorHAnsi"/>
          <w:lang w:eastAsia="cs-CZ"/>
        </w:rPr>
        <w:t xml:space="preserve">a konce, počet hodin, jméno osoby provádějící přípravu či ověření získaných znalostí </w:t>
      </w:r>
      <w:r w:rsidRPr="002B2BAD" w:rsidR="002B2BAD">
        <w:rPr>
          <w:rFonts w:eastAsia="Times New Roman" w:cstheme="minorHAnsi"/>
          <w:lang w:eastAsia="cs-CZ"/>
        </w:rPr>
        <w:br/>
      </w:r>
      <w:r w:rsidRPr="002B2BAD">
        <w:rPr>
          <w:rFonts w:eastAsia="Times New Roman" w:cstheme="minorHAnsi"/>
          <w:lang w:eastAsia="cs-CZ"/>
        </w:rPr>
        <w:t>a dovedností.</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neprodleně, písemně nejpozději do 8 kalendářních dnů, informovat zadavatele, pokud:</w:t>
      </w:r>
    </w:p>
    <w:p w:rsidRPr="002B2BAD" w:rsidR="00073F52" w:rsidP="000D2FDE" w:rsidRDefault="00073F52">
      <w:pPr>
        <w:pStyle w:val="Odstavecseseznamem"/>
        <w:numPr>
          <w:ilvl w:val="0"/>
          <w:numId w:val="10"/>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lastRenderedPageBreak/>
        <w:t>účastník rekvalifikačního kurzu nenastoupí na rekvalifikaci,</w:t>
      </w:r>
    </w:p>
    <w:p w:rsidRPr="002B2BAD" w:rsidR="00073F52" w:rsidP="000D2FDE" w:rsidRDefault="00073F52">
      <w:pPr>
        <w:pStyle w:val="Odstavecseseznamem"/>
        <w:numPr>
          <w:ilvl w:val="0"/>
          <w:numId w:val="10"/>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účastník rekvalifikačního kurzu neplní stanovené studijní a výcvikové povinnosti</w:t>
      </w:r>
    </w:p>
    <w:p w:rsidRPr="002B2BAD" w:rsidR="00073F52" w:rsidP="000D2FDE" w:rsidRDefault="00073F52">
      <w:pPr>
        <w:pStyle w:val="Odstavecseseznamem"/>
        <w:numPr>
          <w:ilvl w:val="0"/>
          <w:numId w:val="10"/>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účastník rekvalifikačního kurzu porušuje předpisy či řády rekvalifikačního zařízení</w:t>
      </w:r>
    </w:p>
    <w:p w:rsidRPr="002B2BAD" w:rsidR="00073F52" w:rsidP="000D2FDE" w:rsidRDefault="00073F52">
      <w:pPr>
        <w:pStyle w:val="Odstavecseseznamem"/>
        <w:numPr>
          <w:ilvl w:val="0"/>
          <w:numId w:val="10"/>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nastanou další závažné skutečnosti, zejména překážky v</w:t>
      </w:r>
      <w:r w:rsidRPr="002B2BAD" w:rsidR="002B2BAD">
        <w:rPr>
          <w:rFonts w:eastAsia="Times New Roman" w:cstheme="minorHAnsi"/>
          <w:lang w:eastAsia="cs-CZ"/>
        </w:rPr>
        <w:t> </w:t>
      </w:r>
      <w:r w:rsidRPr="002B2BAD">
        <w:rPr>
          <w:rFonts w:eastAsia="Times New Roman" w:cstheme="minorHAnsi"/>
          <w:lang w:eastAsia="cs-CZ"/>
        </w:rPr>
        <w:t>rekvalifikaci</w:t>
      </w:r>
      <w:r w:rsidRPr="002B2BAD" w:rsidR="002B2BAD">
        <w:rPr>
          <w:rFonts w:eastAsia="Times New Roman" w:cstheme="minorHAnsi"/>
          <w:lang w:eastAsia="cs-CZ"/>
        </w:rPr>
        <w:t>, kdy</w:t>
      </w:r>
      <w:r w:rsidRPr="002B2BAD">
        <w:rPr>
          <w:rFonts w:eastAsia="Times New Roman" w:cstheme="minorHAnsi"/>
          <w:lang w:eastAsia="cs-CZ"/>
        </w:rPr>
        <w:t xml:space="preserve"> se účastník nepodrobí závěrečnému ověření získaných znalostí a dovedností</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poslední pracovní den kalendářního měsíce, pokud rekvalifikace probíhá, informovat úřad práce o přítomnosti účastníků rekvalifikačního kurzu,</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neprodleně, písemně nejpozději do 8 kalendářních dnů informovat zadavatele, pokud vzniknou překážky, které znemožní pokračování rekvalifikace,</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předložit zadavateli písemný návrh na vypovězení Dohody o rekvalifikaci s účastníkem rekvalifikačního kurzu, který neplní studijní a výcvikové povinnosti nebo porušuje předpisy řády rekvalifikačního zařízení</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 xml:space="preserve">po ukončení rekvalifikačního kurzu zaslat zadavateli závěrečný protokol, který bude minimálně obsahovat: seznam účastníků rekvalifikačního kurzu, kteří úspěšně ukončili rekvalifikaci, včetně čísel vydaných dokladů o jejím absolvování a vzoru dokladu, kopii docházkového listu, kopii osvědčení a informaci o absolvované části rekvalifikačního kurzu účastníky, kteří rekvalifikaci nedokončili nebo ukončili neúspěšně. </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umožnit zadavateli kontrolu dodržování sjednaných podmínek pro rekvalifikaci včetně účasti na ověření získaných znalostí a dovedností</w:t>
      </w:r>
    </w:p>
    <w:p w:rsidRPr="002B2BAD" w:rsidR="00073F52" w:rsidP="000D2FDE" w:rsidRDefault="00073F52">
      <w:pPr>
        <w:pStyle w:val="Odstavecseseznamem"/>
        <w:numPr>
          <w:ilvl w:val="0"/>
          <w:numId w:val="11"/>
        </w:numPr>
        <w:spacing w:before="120" w:after="120" w:line="240" w:lineRule="auto"/>
        <w:ind w:hanging="357"/>
        <w:contextualSpacing w:val="false"/>
        <w:jc w:val="both"/>
        <w:rPr>
          <w:rFonts w:eastAsia="Times New Roman" w:cstheme="minorHAnsi"/>
          <w:lang w:eastAsia="cs-CZ"/>
        </w:rPr>
      </w:pPr>
      <w:r w:rsidRPr="002B2BAD">
        <w:rPr>
          <w:rFonts w:eastAsia="Times New Roman" w:cstheme="minorHAnsi"/>
          <w:lang w:eastAsia="cs-CZ"/>
        </w:rPr>
        <w:t xml:space="preserve">používat osobní údaje o účastnících rekvalifikačního kurzu poskytnuté objednatelem </w:t>
      </w:r>
      <w:r w:rsidR="00771718">
        <w:rPr>
          <w:rFonts w:eastAsia="Times New Roman" w:cstheme="minorHAnsi"/>
          <w:lang w:eastAsia="cs-CZ"/>
        </w:rPr>
        <w:br/>
      </w:r>
      <w:r w:rsidRPr="002B2BAD">
        <w:rPr>
          <w:rFonts w:eastAsia="Times New Roman" w:cstheme="minorHAnsi"/>
          <w:lang w:eastAsia="cs-CZ"/>
        </w:rPr>
        <w:t>v souladu se zákonem č. 101/2000 Sb., o ochraně osobních údajů, v platném znění.</w:t>
      </w:r>
    </w:p>
    <w:p w:rsidRPr="00EF5EDD" w:rsidR="00073F52" w:rsidP="00073F52" w:rsidRDefault="00073F52">
      <w:pPr>
        <w:spacing w:after="0" w:line="240" w:lineRule="auto"/>
        <w:jc w:val="both"/>
        <w:rPr>
          <w:rFonts w:eastAsia="Times New Roman" w:cstheme="minorHAnsi"/>
          <w:b/>
          <w:lang w:eastAsia="cs-CZ"/>
        </w:rPr>
      </w:pPr>
    </w:p>
    <w:p w:rsidRPr="00EF5EDD" w:rsidR="00073F52" w:rsidP="00073F52" w:rsidRDefault="00073F52">
      <w:pPr>
        <w:spacing w:after="0" w:line="240" w:lineRule="auto"/>
        <w:rPr>
          <w:rFonts w:eastAsia="Times New Roman" w:cstheme="minorHAnsi"/>
          <w:lang w:eastAsia="cs-CZ"/>
        </w:rPr>
      </w:pP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284" w:hanging="284"/>
        <w:jc w:val="center"/>
        <w:rPr>
          <w:rFonts w:eastAsia="Times New Roman" w:cstheme="minorHAnsi"/>
          <w:b/>
          <w:lang w:eastAsia="cs-CZ"/>
        </w:rPr>
      </w:pPr>
      <w:r w:rsidRPr="00EF5EDD">
        <w:rPr>
          <w:rFonts w:eastAsia="Times New Roman" w:cstheme="minorHAnsi"/>
          <w:b/>
          <w:lang w:eastAsia="cs-CZ"/>
        </w:rPr>
        <w:t xml:space="preserve">III.   </w:t>
      </w:r>
    </w:p>
    <w:p w:rsidRPr="00EF5EDD" w:rsidR="00073F52" w:rsidP="00073F52" w:rsidRDefault="00073F5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284" w:hanging="284"/>
        <w:jc w:val="center"/>
        <w:rPr>
          <w:rFonts w:eastAsia="Times New Roman" w:cstheme="minorHAnsi"/>
          <w:b/>
          <w:lang w:eastAsia="cs-CZ"/>
        </w:rPr>
      </w:pPr>
      <w:r w:rsidRPr="00EF5EDD">
        <w:rPr>
          <w:rFonts w:eastAsia="Times New Roman" w:cstheme="minorHAnsi"/>
          <w:b/>
          <w:lang w:eastAsia="cs-CZ"/>
        </w:rPr>
        <w:t>Podmínky uzavírání dohod o provedení rekvalifikace</w:t>
      </w:r>
    </w:p>
    <w:p w:rsidRPr="00771718" w:rsidR="00073F52" w:rsidP="000D2FDE" w:rsidRDefault="00073F52">
      <w:pPr>
        <w:pStyle w:val="Odstavecseseznamem"/>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line="240" w:lineRule="auto"/>
        <w:ind w:left="357" w:hanging="357"/>
        <w:contextualSpacing w:val="false"/>
        <w:jc w:val="both"/>
        <w:rPr>
          <w:rFonts w:eastAsia="Times New Roman" w:cstheme="minorHAnsi"/>
          <w:lang w:eastAsia="cs-CZ"/>
        </w:rPr>
      </w:pPr>
      <w:r w:rsidRPr="00771718">
        <w:rPr>
          <w:rFonts w:eastAsia="Times New Roman" w:cstheme="minorHAnsi"/>
          <w:lang w:eastAsia="cs-CZ"/>
        </w:rPr>
        <w:t xml:space="preserve">Konkrétní rekvalifikační kurzy budou realizovány v souladu s touto rámcovou smlouvou 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této rámcové smlouvy </w:t>
      </w:r>
      <w:r w:rsidR="00771718">
        <w:rPr>
          <w:rFonts w:eastAsia="Times New Roman" w:cstheme="minorHAnsi"/>
          <w:lang w:eastAsia="cs-CZ"/>
        </w:rPr>
        <w:br/>
      </w:r>
      <w:r w:rsidRPr="00771718">
        <w:rPr>
          <w:rFonts w:eastAsia="Times New Roman" w:cstheme="minorHAnsi"/>
          <w:lang w:eastAsia="cs-CZ"/>
        </w:rPr>
        <w:t>a obecně platných právních předpisů. Přílohou těchto Dohod o provedení rekvalifikace bude jmenný seznam účastníků rekvalifikace. Závazný text těchto Dohod stanoví v souladu s touto rámcovou smlouvou zadavatel.</w:t>
      </w:r>
    </w:p>
    <w:p w:rsidRPr="00771718" w:rsidR="00073F52" w:rsidP="000D2FDE" w:rsidRDefault="00073F52">
      <w:pPr>
        <w:pStyle w:val="Odstavecseseznamem"/>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line="240" w:lineRule="auto"/>
        <w:ind w:left="357" w:hanging="357"/>
        <w:contextualSpacing w:val="false"/>
        <w:jc w:val="both"/>
        <w:rPr>
          <w:rFonts w:eastAsia="Times New Roman" w:cstheme="minorHAnsi"/>
          <w:color w:val="000000"/>
          <w:lang w:eastAsia="cs-CZ"/>
        </w:rPr>
      </w:pPr>
      <w:r w:rsidRPr="00771718">
        <w:rPr>
          <w:rFonts w:eastAsia="Times New Roman" w:cstheme="minorHAnsi"/>
          <w:lang w:eastAsia="cs-CZ"/>
        </w:rPr>
        <w:t xml:space="preserve">Zadavatel má právo kdykoli v době plnění dle této rámcové smlouvy zaslat dodavateli výzvu </w:t>
      </w:r>
      <w:r w:rsidR="00771718">
        <w:rPr>
          <w:rFonts w:eastAsia="Times New Roman" w:cstheme="minorHAnsi"/>
          <w:lang w:eastAsia="cs-CZ"/>
        </w:rPr>
        <w:br/>
      </w:r>
      <w:r w:rsidRPr="00771718">
        <w:rPr>
          <w:rFonts w:eastAsia="Times New Roman" w:cstheme="minorHAnsi"/>
          <w:lang w:eastAsia="cs-CZ"/>
        </w:rPr>
        <w:t xml:space="preserve">k realizaci konkrétního rekvalifikačního kurzu, uvedeného v článku I. této smlouvy a určit při každé výzvě konkrétní počet účastníků kurzu při dodržení alespoň minimálního počtu účastníků uvedeného v článku II. bodě 1. této smlouvy pro každý typ rekvalifikačního kurzu. Výzva </w:t>
      </w:r>
      <w:r w:rsidR="00771718">
        <w:rPr>
          <w:rFonts w:eastAsia="Times New Roman" w:cstheme="minorHAnsi"/>
          <w:lang w:eastAsia="cs-CZ"/>
        </w:rPr>
        <w:br/>
      </w:r>
      <w:r w:rsidRPr="00771718">
        <w:rPr>
          <w:rFonts w:eastAsia="Times New Roman" w:cstheme="minorHAnsi"/>
          <w:lang w:eastAsia="cs-CZ"/>
        </w:rPr>
        <w:t xml:space="preserve">k uzavření Dohody o provedení rekvalifikace musí být zadavatelem učiněna písemně. </w:t>
      </w:r>
    </w:p>
    <w:p w:rsidRPr="00771718" w:rsidR="00073F52" w:rsidP="000D2FDE" w:rsidRDefault="00073F52">
      <w:pPr>
        <w:pStyle w:val="Odstavecseseznamem"/>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line="240" w:lineRule="auto"/>
        <w:ind w:left="357" w:hanging="357"/>
        <w:contextualSpacing w:val="false"/>
        <w:jc w:val="both"/>
        <w:rPr>
          <w:rFonts w:eastAsia="Times New Roman" w:cstheme="minorHAnsi"/>
          <w:color w:val="000000"/>
          <w:lang w:eastAsia="cs-CZ"/>
        </w:rPr>
      </w:pPr>
      <w:r w:rsidRPr="00771718">
        <w:rPr>
          <w:rFonts w:eastAsia="Times New Roman" w:cstheme="minorHAnsi"/>
          <w:bCs/>
          <w:lang w:eastAsia="cs-CZ"/>
        </w:rPr>
        <w:t xml:space="preserve">Dodavatel souhlasí s tím, že práva a povinnosti podle této smlouvy bude vykonávat za předpokladu, že mu bude zadána dílčí veřejná zakázka na základě postupu podle ustanovení § 92 odst. 1 písm. b) ZVZ, tedy potvrzením objednávky podle jednotlivých požadavků objednatele. Toto potvrzení je dodavatel povinen odeslat zadavateli nejpozději do dvou pracovních dnů od obdržení výzvy k plnění. </w:t>
      </w:r>
    </w:p>
    <w:p w:rsidRPr="00771718" w:rsidR="00073F52" w:rsidP="000D2FDE" w:rsidRDefault="00073F52">
      <w:pPr>
        <w:pStyle w:val="Odstavecseseznamem"/>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line="240" w:lineRule="auto"/>
        <w:ind w:left="357" w:hanging="357"/>
        <w:contextualSpacing w:val="false"/>
        <w:jc w:val="both"/>
        <w:rPr>
          <w:rFonts w:eastAsia="Times New Roman" w:cstheme="minorHAnsi"/>
          <w:color w:val="000000"/>
          <w:lang w:eastAsia="cs-CZ"/>
        </w:rPr>
      </w:pPr>
      <w:r w:rsidRPr="00771718">
        <w:rPr>
          <w:rFonts w:eastAsia="Times New Roman" w:cstheme="minorHAnsi"/>
          <w:lang w:eastAsia="cs-CZ"/>
        </w:rPr>
        <w:t>Doba zahájení kurzu bude maximálně do 15 pracovních dnů od doručení požadavku ze strany úřadu práce. Lhůta začíná běžet od následujícího pracovníhodne od doručení výzvy k podání nabídky úřadem práce</w:t>
      </w:r>
    </w:p>
    <w:p w:rsidRPr="00771718" w:rsidR="00073F52" w:rsidP="000D2FDE" w:rsidRDefault="00073F52">
      <w:pPr>
        <w:pStyle w:val="Odstavecseseznamem"/>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line="240" w:lineRule="auto"/>
        <w:ind w:left="357" w:hanging="357"/>
        <w:contextualSpacing w:val="false"/>
        <w:jc w:val="both"/>
        <w:rPr>
          <w:rFonts w:eastAsia="Times New Roman" w:cstheme="minorHAnsi"/>
          <w:color w:val="000000"/>
          <w:lang w:eastAsia="cs-CZ"/>
        </w:rPr>
      </w:pPr>
      <w:r w:rsidRPr="00771718">
        <w:rPr>
          <w:rFonts w:eastAsia="Times New Roman" w:cstheme="minorHAnsi"/>
          <w:lang w:eastAsia="cs-CZ"/>
        </w:rPr>
        <w:lastRenderedPageBreak/>
        <w:t>Rekvalifikační kurzy budou probíhat pouze s lektory uvedenými v žádosti o předmětnou akreditaci; uchazeč doloží v nabídce seznam dalších kvalifikovaných lektorů, kteří se budou případně subdodavatelsky podílet na plnění předmětu veřejné zakázky – konkrétní rekvalifikace, další lektory může dodavatel doplnit pouze po předchozím souhlasu úřadu práce.</w:t>
      </w:r>
    </w:p>
    <w:p w:rsidRPr="00771718" w:rsidR="00073F52" w:rsidP="000D2FDE" w:rsidRDefault="00073F52">
      <w:pPr>
        <w:pStyle w:val="Odstavecseseznamem"/>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line="240" w:lineRule="auto"/>
        <w:ind w:left="357" w:hanging="357"/>
        <w:contextualSpacing w:val="false"/>
        <w:jc w:val="both"/>
        <w:rPr>
          <w:rFonts w:eastAsia="Times New Roman" w:cstheme="minorHAnsi"/>
          <w:color w:val="000000"/>
          <w:lang w:eastAsia="cs-CZ"/>
        </w:rPr>
      </w:pPr>
      <w:r w:rsidRPr="00771718">
        <w:rPr>
          <w:rFonts w:eastAsia="Times New Roman" w:cstheme="minorHAnsi"/>
          <w:lang w:eastAsia="cs-CZ"/>
        </w:rPr>
        <w:t>Dodavatel zajistí, aby každý účastník kurzu v rámci zpětné vazby vyplnil po skončení kurzu anonymně dotazník hodnocení kurzu. Dotazníky budou dodavatelem doručeny při předání dokumentace k ukončenému kurzu úřadu práce. Vzorový dotazník obdrží uchazeč od úřadu práce před zahájením kurzu. Hodnocení kurzu provede vždy i dodavatel.</w:t>
      </w:r>
    </w:p>
    <w:p w:rsidRPr="00EF5EDD" w:rsidR="00073F52" w:rsidP="00073F52" w:rsidRDefault="00073F52">
      <w:pPr>
        <w:spacing w:after="0" w:line="240" w:lineRule="auto"/>
        <w:ind w:firstLine="284"/>
        <w:jc w:val="center"/>
        <w:rPr>
          <w:rFonts w:eastAsia="Times New Roman" w:cstheme="minorHAnsi"/>
          <w:b/>
          <w:lang w:eastAsia="cs-CZ"/>
        </w:rPr>
      </w:pPr>
      <w:r w:rsidRPr="00EF5EDD">
        <w:rPr>
          <w:rFonts w:eastAsia="Times New Roman" w:cstheme="minorHAnsi"/>
          <w:b/>
          <w:lang w:eastAsia="cs-CZ"/>
        </w:rPr>
        <w:t>IV.</w:t>
      </w:r>
    </w:p>
    <w:p w:rsidRPr="00EF5EDD" w:rsidR="00073F52" w:rsidP="00073F52" w:rsidRDefault="00073F52">
      <w:pPr>
        <w:spacing w:after="0" w:line="240" w:lineRule="auto"/>
        <w:ind w:left="283"/>
        <w:jc w:val="center"/>
        <w:rPr>
          <w:rFonts w:eastAsia="Times New Roman" w:cstheme="minorHAnsi"/>
          <w:b/>
          <w:lang w:eastAsia="cs-CZ"/>
        </w:rPr>
      </w:pPr>
      <w:r w:rsidRPr="00EF5EDD">
        <w:rPr>
          <w:rFonts w:eastAsia="Times New Roman" w:cstheme="minorHAnsi"/>
          <w:b/>
          <w:lang w:eastAsia="cs-CZ"/>
        </w:rPr>
        <w:t>Cena, termín plnění</w:t>
      </w:r>
    </w:p>
    <w:p w:rsidRPr="00EF5EDD" w:rsidR="00073F52" w:rsidP="00073F52" w:rsidRDefault="00073F52">
      <w:pPr>
        <w:spacing w:after="0" w:line="240" w:lineRule="auto"/>
        <w:jc w:val="both"/>
        <w:rPr>
          <w:rFonts w:eastAsia="Times New Roman" w:cstheme="minorHAnsi"/>
          <w:b/>
          <w:lang w:eastAsia="cs-CZ"/>
        </w:rPr>
      </w:pPr>
    </w:p>
    <w:p w:rsidRPr="000D2FDE" w:rsidR="00073F52" w:rsidP="000D2FDE" w:rsidRDefault="00073F52">
      <w:pPr>
        <w:pStyle w:val="Odstavecseseznamem"/>
        <w:numPr>
          <w:ilvl w:val="0"/>
          <w:numId w:val="16"/>
        </w:numPr>
        <w:spacing w:before="120" w:after="120" w:line="240" w:lineRule="auto"/>
        <w:ind w:left="357" w:hanging="357"/>
        <w:contextualSpacing w:val="false"/>
        <w:jc w:val="both"/>
        <w:rPr>
          <w:rFonts w:eastAsia="Times New Roman" w:cstheme="minorHAnsi"/>
          <w:lang w:eastAsia="cs-CZ"/>
        </w:rPr>
      </w:pPr>
      <w:r w:rsidRPr="000D2FDE">
        <w:rPr>
          <w:rFonts w:eastAsia="Times New Roman" w:cstheme="minorHAnsi"/>
          <w:lang w:eastAsia="cs-CZ"/>
        </w:rPr>
        <w:t>Výše uvedené rekvalifikační kurzy budou realizovány v konkrétních termínech a za podmínek sjednaných v jednotlivých Dohodách o provedení rekvalifikace. Zadavatel uhradí dodavateli ceny rekvalifikačních kurzů stanovené v jednotlivých dohodách o provedení rekvalifikace v závislosti na počtu účastníků konkrétního rekvalifikačního kurzu a výši ceny za jednoho účastníka kurzu uvedené v článku II. bodě 1. této smlouvy pro konkrétní typ rekvalifikačního kurzu.</w:t>
      </w:r>
    </w:p>
    <w:p w:rsidRPr="000D2FDE" w:rsidR="00073F52" w:rsidP="000D2FDE" w:rsidRDefault="00073F52">
      <w:pPr>
        <w:pStyle w:val="Odstavecseseznamem"/>
        <w:numPr>
          <w:ilvl w:val="0"/>
          <w:numId w:val="16"/>
        </w:numPr>
        <w:spacing w:before="120" w:after="120" w:line="240" w:lineRule="auto"/>
        <w:ind w:left="357" w:hanging="357"/>
        <w:contextualSpacing w:val="false"/>
        <w:jc w:val="both"/>
        <w:rPr>
          <w:rFonts w:eastAsia="Times New Roman" w:cstheme="minorHAnsi"/>
          <w:lang w:eastAsia="cs-CZ"/>
        </w:rPr>
      </w:pPr>
      <w:r w:rsidRPr="000D2FDE">
        <w:rPr>
          <w:rFonts w:eastAsia="Times New Roman" w:cstheme="minorHAnsi"/>
          <w:lang w:eastAsia="cs-CZ"/>
        </w:rPr>
        <w:t>Dodavatel je oprávněn zadavateli plně fakturovat náklady na rekvalifikaci účastníků rekvalifikace, kteří do rekvalifikace skutečně nastoupí a řádně ji ukončí. V případě, že účastník rekvalifikace rekvalifikaci řádně nedokončí, je dodavatel oprávněn fakturovat zadavateli pouze poměrnou část dohodnutých nákladů, kterou zadavatel po přezkoumání uzná.</w:t>
      </w:r>
    </w:p>
    <w:p w:rsidRPr="000D2FDE" w:rsidR="00073F52" w:rsidP="000D2FDE" w:rsidRDefault="00073F52">
      <w:pPr>
        <w:pStyle w:val="Odstavecseseznamem"/>
        <w:numPr>
          <w:ilvl w:val="0"/>
          <w:numId w:val="16"/>
        </w:numPr>
        <w:spacing w:before="120" w:after="120" w:line="240" w:lineRule="auto"/>
        <w:ind w:left="357" w:hanging="357"/>
        <w:contextualSpacing w:val="false"/>
        <w:jc w:val="both"/>
        <w:rPr>
          <w:rFonts w:eastAsia="Times New Roman" w:cstheme="minorHAnsi"/>
          <w:lang w:eastAsia="cs-CZ"/>
        </w:rPr>
      </w:pPr>
      <w:r w:rsidRPr="000D2FDE">
        <w:rPr>
          <w:rFonts w:eastAsia="Times New Roman" w:cstheme="minorHAnsi"/>
          <w:lang w:eastAsia="cs-CZ"/>
        </w:rPr>
        <w:t xml:space="preserve">Dodavatel provede fakturaci bezprostředně, nejpozději do </w:t>
      </w:r>
      <w:r w:rsidRPr="000D2FDE" w:rsidR="000D2FDE">
        <w:rPr>
          <w:rFonts w:eastAsia="Times New Roman" w:cstheme="minorHAnsi"/>
          <w:lang w:eastAsia="cs-CZ"/>
        </w:rPr>
        <w:t>14</w:t>
      </w:r>
      <w:r w:rsidRPr="000D2FDE">
        <w:rPr>
          <w:rFonts w:eastAsia="Times New Roman" w:cstheme="minorHAnsi"/>
          <w:lang w:eastAsia="cs-CZ"/>
        </w:rPr>
        <w:t xml:space="preserve"> dnů po ukončení rekvalifikačního kurzu. Lhůta splatnosti faktur bude stanovena minimálně </w:t>
      </w:r>
      <w:r w:rsidR="00B40BAC">
        <w:rPr>
          <w:rFonts w:eastAsia="Times New Roman" w:cstheme="minorHAnsi"/>
          <w:lang w:eastAsia="cs-CZ"/>
        </w:rPr>
        <w:t>21</w:t>
      </w:r>
      <w:r w:rsidRPr="000D2FDE">
        <w:rPr>
          <w:rFonts w:eastAsia="Times New Roman" w:cstheme="minorHAnsi"/>
          <w:lang w:eastAsia="cs-CZ"/>
        </w:rPr>
        <w:t xml:space="preserve"> kalendářních dnů po prokazatelném doručení zadavateli. </w:t>
      </w:r>
    </w:p>
    <w:p w:rsidRPr="00805276" w:rsidR="000D2FDE" w:rsidP="000D2FDE" w:rsidRDefault="00073F52">
      <w:pPr>
        <w:pStyle w:val="Prosttext"/>
        <w:numPr>
          <w:ilvl w:val="0"/>
          <w:numId w:val="16"/>
        </w:numPr>
        <w:spacing w:before="120" w:after="120"/>
        <w:ind w:left="357" w:right="-115" w:hanging="357"/>
        <w:jc w:val="both"/>
        <w:rPr>
          <w:rFonts w:ascii="Calibri" w:hAnsi="Calibri" w:cs="Calibri"/>
          <w:sz w:val="22"/>
          <w:szCs w:val="22"/>
        </w:rPr>
      </w:pPr>
      <w:r w:rsidRPr="000D2FDE">
        <w:rPr>
          <w:rFonts w:asciiTheme="minorHAnsi" w:hAnsiTheme="minorHAnsi" w:cstheme="minorHAnsi"/>
          <w:sz w:val="22"/>
          <w:szCs w:val="22"/>
          <w:lang w:eastAsia="cs-CZ"/>
        </w:rPr>
        <w:t xml:space="preserve">Dodavatel je </w:t>
      </w:r>
      <w:r w:rsidRPr="000D2FDE" w:rsidR="000D2FDE">
        <w:rPr>
          <w:rFonts w:asciiTheme="minorHAnsi" w:hAnsiTheme="minorHAnsi" w:cstheme="minorHAnsi"/>
          <w:sz w:val="22"/>
          <w:szCs w:val="22"/>
        </w:rPr>
        <w:t>oprávněn</w:t>
      </w:r>
      <w:r w:rsidRPr="00805276" w:rsidR="000D2FDE">
        <w:rPr>
          <w:rFonts w:ascii="Calibri" w:hAnsi="Calibri" w:cs="Calibri"/>
          <w:sz w:val="22"/>
          <w:szCs w:val="22"/>
        </w:rPr>
        <w:t xml:space="preserve"> fakturovat svá plnění za příslušný rok, která řádně ukončil, nejpozději do 15.12. téhož roku, kdy musí být poslední daňový doklad za příslušný kalendářní rok doručen zadavateli. Plnění řádně ukončená po tomto datu je dodavatel oprávněn fakturovat v roce následujícím. </w:t>
      </w:r>
    </w:p>
    <w:p w:rsidRPr="000D2FDE" w:rsidR="00073F52" w:rsidP="000D2FDE" w:rsidRDefault="00073F52">
      <w:pPr>
        <w:pStyle w:val="Odstavecseseznamem"/>
        <w:numPr>
          <w:ilvl w:val="0"/>
          <w:numId w:val="16"/>
        </w:numPr>
        <w:spacing w:before="120" w:after="120" w:line="240" w:lineRule="auto"/>
        <w:ind w:left="357" w:hanging="357"/>
        <w:contextualSpacing w:val="false"/>
        <w:jc w:val="both"/>
        <w:rPr>
          <w:rFonts w:eastAsia="Times New Roman" w:cstheme="minorHAnsi"/>
          <w:lang w:eastAsia="cs-CZ"/>
        </w:rPr>
      </w:pPr>
      <w:r w:rsidRPr="000D2FDE">
        <w:rPr>
          <w:rFonts w:eastAsia="Times New Roman" w:cstheme="minorHAnsi"/>
          <w:lang w:eastAsia="cs-CZ"/>
        </w:rPr>
        <w:t>Dodavatel je povinen vrátit poskytnuté finanční prostředky nebo jejich část, pokud nedodrží sjednané podmínky nebo pokud mu jeho zaviněním byly poskytnuty neprávem nebo ve vyšší částce, než mu náležely (§ 108 odst. 4 písm. i) zák. č. 435/2004 Sb.). Vrácení bude provedeno ve lhůtě a způsobem stanoveným ve výzvě zadavatele.</w:t>
      </w:r>
    </w:p>
    <w:p w:rsidRPr="00EF5EDD" w:rsidR="00073F52" w:rsidP="00073F52" w:rsidRDefault="00073F52">
      <w:pPr>
        <w:keepNext/>
        <w:keepLines/>
        <w:spacing w:after="0" w:line="240" w:lineRule="auto"/>
        <w:ind w:left="357"/>
        <w:jc w:val="center"/>
        <w:outlineLvl w:val="1"/>
        <w:rPr>
          <w:rFonts w:eastAsiaTheme="majorEastAsia" w:cstheme="minorHAnsi"/>
          <w:b/>
          <w:bCs/>
          <w:i/>
          <w:lang w:eastAsia="cs-CZ"/>
        </w:rPr>
      </w:pPr>
    </w:p>
    <w:p w:rsidRPr="00EF5EDD" w:rsidR="00073F52" w:rsidP="00073F52" w:rsidRDefault="00073F52">
      <w:pPr>
        <w:keepNext/>
        <w:keepLines/>
        <w:spacing w:after="0" w:line="240" w:lineRule="auto"/>
        <w:ind w:left="357"/>
        <w:jc w:val="center"/>
        <w:outlineLvl w:val="1"/>
        <w:rPr>
          <w:rFonts w:eastAsiaTheme="majorEastAsia" w:cstheme="minorHAnsi"/>
          <w:b/>
          <w:bCs/>
          <w:i/>
          <w:lang w:eastAsia="cs-CZ"/>
        </w:rPr>
      </w:pPr>
    </w:p>
    <w:p w:rsidRPr="00EF5EDD" w:rsidR="00073F52" w:rsidP="00073F52" w:rsidRDefault="00073F52">
      <w:pPr>
        <w:spacing w:after="0" w:line="240" w:lineRule="auto"/>
        <w:jc w:val="center"/>
        <w:rPr>
          <w:rFonts w:eastAsia="Times New Roman" w:cstheme="minorHAnsi"/>
          <w:b/>
          <w:lang w:eastAsia="cs-CZ"/>
        </w:rPr>
      </w:pPr>
      <w:r w:rsidRPr="00EF5EDD">
        <w:rPr>
          <w:rFonts w:eastAsia="Times New Roman" w:cstheme="minorHAnsi"/>
          <w:b/>
          <w:lang w:eastAsia="cs-CZ"/>
        </w:rPr>
        <w:t>V.</w:t>
      </w:r>
    </w:p>
    <w:p w:rsidRPr="00EF5EDD" w:rsidR="00073F52" w:rsidP="00073F52" w:rsidRDefault="00073F52">
      <w:pPr>
        <w:spacing w:after="0" w:line="240" w:lineRule="auto"/>
        <w:jc w:val="center"/>
        <w:rPr>
          <w:rFonts w:eastAsia="Times New Roman" w:cstheme="minorHAnsi"/>
          <w:b/>
          <w:lang w:eastAsia="cs-CZ"/>
        </w:rPr>
      </w:pPr>
      <w:r w:rsidRPr="00EF5EDD">
        <w:rPr>
          <w:rFonts w:eastAsia="Times New Roman" w:cstheme="minorHAnsi"/>
          <w:b/>
          <w:lang w:eastAsia="cs-CZ"/>
        </w:rPr>
        <w:t>Doba platnosti rámcové smlouvy</w:t>
      </w:r>
    </w:p>
    <w:p w:rsidRPr="00EF5EDD" w:rsidR="00073F52" w:rsidP="00073F52" w:rsidRDefault="00073F52">
      <w:pPr>
        <w:spacing w:after="0" w:line="240" w:lineRule="auto"/>
        <w:jc w:val="center"/>
        <w:rPr>
          <w:rFonts w:eastAsia="Times New Roman" w:cstheme="minorHAnsi"/>
          <w:b/>
          <w:lang w:eastAsia="cs-CZ"/>
        </w:rPr>
      </w:pPr>
    </w:p>
    <w:p w:rsidRPr="00EF5EDD" w:rsidR="00073F52" w:rsidP="00073F52" w:rsidRDefault="00073F52">
      <w:pPr>
        <w:numPr>
          <w:ilvl w:val="0"/>
          <w:numId w:val="5"/>
        </w:numPr>
        <w:spacing w:after="0" w:line="240" w:lineRule="auto"/>
        <w:jc w:val="both"/>
        <w:rPr>
          <w:rFonts w:eastAsia="Times New Roman" w:cstheme="minorHAnsi"/>
          <w:color w:val="000000"/>
          <w:lang w:eastAsia="cs-CZ"/>
        </w:rPr>
      </w:pPr>
      <w:r w:rsidRPr="00EF5EDD">
        <w:rPr>
          <w:rFonts w:eastAsia="Times New Roman" w:cstheme="minorHAnsi"/>
          <w:color w:val="000000"/>
          <w:lang w:eastAsia="cs-CZ"/>
        </w:rPr>
        <w:t xml:space="preserve">Doba účinnosti této rámcové smlouvy začíná dnem podpisu této smlouvy a končí  dosažením maximální  předpokládané  hodnoty  plnění  dané  části veřejné zakázky, nebo nejpozději dnem </w:t>
      </w:r>
      <w:r w:rsidRPr="00EF5EDD">
        <w:rPr>
          <w:rFonts w:eastAsia="Times New Roman" w:cstheme="minorHAnsi"/>
          <w:color w:val="000000"/>
          <w:lang w:eastAsia="cs-CZ"/>
        </w:rPr>
        <w:br/>
      </w:r>
      <w:r w:rsidRPr="00771718">
        <w:rPr>
          <w:rFonts w:eastAsia="Times New Roman" w:cstheme="minorHAnsi"/>
          <w:color w:val="000000"/>
          <w:lang w:eastAsia="cs-CZ"/>
        </w:rPr>
        <w:t>31. 12. 201</w:t>
      </w:r>
      <w:r w:rsidRPr="00771718" w:rsidR="00771718">
        <w:rPr>
          <w:rFonts w:eastAsia="Times New Roman" w:cstheme="minorHAnsi"/>
          <w:color w:val="000000"/>
          <w:lang w:eastAsia="cs-CZ"/>
        </w:rPr>
        <w:t>4</w:t>
      </w:r>
      <w:r w:rsidRPr="00EF5EDD">
        <w:rPr>
          <w:rFonts w:eastAsia="Times New Roman" w:cstheme="minorHAnsi"/>
          <w:color w:val="000000"/>
          <w:lang w:eastAsia="cs-CZ"/>
        </w:rPr>
        <w:t xml:space="preserve"> s tím, že ke stejnému datu musí být vypořádány i všechny platby.</w:t>
      </w:r>
    </w:p>
    <w:p w:rsidRPr="00EF5EDD" w:rsidR="00073F52" w:rsidP="00073F52" w:rsidRDefault="00073F52">
      <w:pPr>
        <w:spacing w:after="0" w:line="240" w:lineRule="auto"/>
        <w:jc w:val="both"/>
        <w:rPr>
          <w:rFonts w:eastAsia="Times New Roman" w:cstheme="minorHAnsi"/>
          <w:color w:val="000000"/>
          <w:lang w:eastAsia="cs-CZ"/>
        </w:rPr>
      </w:pPr>
    </w:p>
    <w:p w:rsidRPr="00EF5EDD" w:rsidR="00073F52" w:rsidP="00073F52" w:rsidRDefault="00073F52">
      <w:pPr>
        <w:numPr>
          <w:ilvl w:val="0"/>
          <w:numId w:val="5"/>
        </w:numPr>
        <w:spacing w:after="120" w:line="240" w:lineRule="auto"/>
        <w:jc w:val="both"/>
        <w:rPr>
          <w:rFonts w:eastAsia="Times New Roman" w:cstheme="minorHAnsi"/>
          <w:lang w:eastAsia="cs-CZ"/>
        </w:rPr>
      </w:pPr>
      <w:r w:rsidRPr="00EF5EDD">
        <w:rPr>
          <w:rFonts w:eastAsia="Times New Roman" w:cstheme="minorHAnsi"/>
          <w:lang w:eastAsia="cs-CZ"/>
        </w:rPr>
        <w:t xml:space="preserve">Tato rámcová smlouva může být ukončena: </w:t>
      </w:r>
    </w:p>
    <w:p w:rsidRPr="00EF5EDD" w:rsidR="00073F52" w:rsidP="00073F52" w:rsidRDefault="00073F52">
      <w:pPr>
        <w:spacing w:after="120" w:line="240" w:lineRule="auto"/>
        <w:ind w:left="720"/>
        <w:jc w:val="both"/>
        <w:rPr>
          <w:rFonts w:eastAsia="Times New Roman" w:cstheme="minorHAnsi"/>
          <w:lang w:eastAsia="cs-CZ"/>
        </w:rPr>
      </w:pPr>
      <w:r w:rsidRPr="00EF5EDD">
        <w:rPr>
          <w:rFonts w:eastAsia="Times New Roman" w:cstheme="minorHAnsi"/>
          <w:lang w:eastAsia="cs-CZ"/>
        </w:rPr>
        <w:t>a)   uplynutím lhůty, na kterou byla smlouva uzavřena;</w:t>
      </w:r>
    </w:p>
    <w:p w:rsidRPr="00EF5EDD" w:rsidR="00073F52" w:rsidP="00073F52" w:rsidRDefault="00073F52">
      <w:pPr>
        <w:spacing w:after="120" w:line="240" w:lineRule="auto"/>
        <w:ind w:left="720"/>
        <w:jc w:val="both"/>
        <w:rPr>
          <w:rFonts w:eastAsia="Times New Roman" w:cstheme="minorHAnsi"/>
          <w:lang w:eastAsia="cs-CZ"/>
        </w:rPr>
      </w:pPr>
      <w:r w:rsidRPr="00EF5EDD">
        <w:rPr>
          <w:rFonts w:eastAsia="Times New Roman" w:cstheme="minorHAnsi"/>
          <w:lang w:eastAsia="cs-CZ"/>
        </w:rPr>
        <w:t>b)   písemnou dohodou obou stran;</w:t>
      </w:r>
    </w:p>
    <w:p w:rsidR="00073F52" w:rsidP="00073F52" w:rsidRDefault="00073F52">
      <w:pPr>
        <w:numPr>
          <w:ilvl w:val="0"/>
          <w:numId w:val="7"/>
        </w:numPr>
        <w:spacing w:after="120" w:line="240" w:lineRule="auto"/>
        <w:jc w:val="both"/>
        <w:rPr>
          <w:rFonts w:eastAsia="Times New Roman" w:cstheme="minorHAnsi"/>
          <w:lang w:eastAsia="cs-CZ"/>
        </w:rPr>
      </w:pPr>
      <w:r w:rsidRPr="00EF5EDD">
        <w:rPr>
          <w:rFonts w:eastAsia="Times New Roman" w:cstheme="minorHAnsi"/>
          <w:lang w:eastAsia="cs-CZ"/>
        </w:rPr>
        <w:t xml:space="preserve">okamžitým odstoupením od smlouvy v případech, kdy některá ze smluvních stran poruší některou povinnost uvedenou v této smlouvě, případně obecně závazné právní předpisy. </w:t>
      </w:r>
    </w:p>
    <w:p w:rsidR="000D2FDE" w:rsidP="00073F52" w:rsidRDefault="000D2FDE">
      <w:pPr>
        <w:numPr>
          <w:ilvl w:val="0"/>
          <w:numId w:val="7"/>
        </w:numPr>
        <w:spacing w:after="120" w:line="240" w:lineRule="auto"/>
        <w:jc w:val="both"/>
        <w:rPr>
          <w:rFonts w:eastAsia="Times New Roman" w:cstheme="minorHAnsi"/>
          <w:lang w:eastAsia="cs-CZ"/>
        </w:rPr>
      </w:pPr>
      <w:r>
        <w:rPr>
          <w:rFonts w:eastAsia="Times New Roman" w:cstheme="minorHAnsi"/>
          <w:lang w:eastAsia="cs-CZ"/>
        </w:rPr>
        <w:t>Vyčerpáním předpokládané hodnoty</w:t>
      </w:r>
    </w:p>
    <w:p w:rsidRPr="00EF5EDD" w:rsidR="000D2FDE" w:rsidP="00073F52" w:rsidRDefault="000D2FDE">
      <w:pPr>
        <w:numPr>
          <w:ilvl w:val="0"/>
          <w:numId w:val="7"/>
        </w:numPr>
        <w:spacing w:after="120" w:line="240" w:lineRule="auto"/>
        <w:jc w:val="both"/>
        <w:rPr>
          <w:rFonts w:eastAsia="Times New Roman" w:cstheme="minorHAnsi"/>
          <w:lang w:eastAsia="cs-CZ"/>
        </w:rPr>
      </w:pPr>
      <w:r>
        <w:rPr>
          <w:rFonts w:eastAsia="Times New Roman" w:cstheme="minorHAnsi"/>
          <w:lang w:eastAsia="cs-CZ"/>
        </w:rPr>
        <w:lastRenderedPageBreak/>
        <w:t>výpovědí</w:t>
      </w:r>
    </w:p>
    <w:p w:rsidRPr="00EF5EDD" w:rsidR="00073F52" w:rsidP="00073F52" w:rsidRDefault="00073F52">
      <w:pPr>
        <w:spacing w:after="120" w:line="240" w:lineRule="auto"/>
        <w:ind w:left="426"/>
        <w:jc w:val="both"/>
        <w:rPr>
          <w:rFonts w:eastAsia="Times New Roman" w:cstheme="minorHAnsi"/>
          <w:lang w:eastAsia="cs-CZ"/>
        </w:rPr>
      </w:pPr>
      <w:r w:rsidRPr="00EF5EDD">
        <w:rPr>
          <w:rFonts w:eastAsia="Times New Roman" w:cstheme="minorHAnsi"/>
          <w:lang w:eastAsia="cs-CZ"/>
        </w:rPr>
        <w:t>Odstoupit od smlouvy je oprávněna ta smluvní strana, která svou povinnost neporušila; odstoupení od smlouvy musí být učiněno písemně a doručeno druhé smluvní straně.</w:t>
      </w:r>
    </w:p>
    <w:p w:rsidRPr="00EF5EDD" w:rsidR="00073F52" w:rsidP="00073F52" w:rsidRDefault="00073F52">
      <w:pPr>
        <w:numPr>
          <w:ilvl w:val="0"/>
          <w:numId w:val="5"/>
        </w:numPr>
        <w:spacing w:after="0" w:line="240" w:lineRule="auto"/>
        <w:jc w:val="both"/>
        <w:rPr>
          <w:rFonts w:eastAsia="Times New Roman" w:cstheme="minorHAnsi"/>
          <w:lang w:eastAsia="cs-CZ"/>
        </w:rPr>
      </w:pPr>
      <w:r w:rsidRPr="00EF5EDD">
        <w:rPr>
          <w:rFonts w:eastAsia="Times New Roman" w:cstheme="minorHAnsi"/>
          <w:lang w:eastAsia="cs-CZ"/>
        </w:rPr>
        <w:t>Zadavatel je oprávněn ukončit tuto smlouvu i písemnou v</w:t>
      </w:r>
      <w:r w:rsidR="00573346">
        <w:rPr>
          <w:rFonts w:eastAsia="Times New Roman" w:cstheme="minorHAnsi"/>
          <w:lang w:eastAsia="cs-CZ"/>
        </w:rPr>
        <w:t>ýpovědí bez udání důvodu ve tří</w:t>
      </w:r>
      <w:r w:rsidRPr="00EF5EDD">
        <w:rPr>
          <w:rFonts w:eastAsia="Times New Roman" w:cstheme="minorHAnsi"/>
          <w:lang w:eastAsia="cs-CZ"/>
        </w:rPr>
        <w:t>měsíční výpovědní lhůtě, přičemž tato počíná běžet prvním dnem měsíce následujícího po doručení výpovědi dodavateli.</w:t>
      </w:r>
    </w:p>
    <w:p w:rsidRPr="00EF5EDD" w:rsidR="00073F52" w:rsidP="00073F52" w:rsidRDefault="00073F52">
      <w:pPr>
        <w:numPr>
          <w:ilvl w:val="0"/>
          <w:numId w:val="5"/>
        </w:numPr>
        <w:spacing w:before="120" w:after="0" w:line="240" w:lineRule="auto"/>
        <w:jc w:val="both"/>
        <w:rPr>
          <w:rFonts w:eastAsia="Times New Roman" w:cstheme="minorHAnsi"/>
          <w:lang w:eastAsia="cs-CZ"/>
        </w:rPr>
      </w:pPr>
      <w:r w:rsidRPr="00EF5EDD">
        <w:rPr>
          <w:rFonts w:eastAsia="Times New Roman" w:cstheme="minorHAnsi"/>
          <w:lang w:eastAsia="cs-CZ"/>
        </w:rPr>
        <w:t>Zadavatel si ve smyslu § 99 zákona pro případy nepředvídatelných potřeb v rámci rekvalifikací, neočekávaných změn na trhu práce a dalších nepředvídaných situací vyhrazuje opční právo na další plnění až do výše 30% finančního objemu této části veřejné zakázky.</w:t>
      </w:r>
    </w:p>
    <w:p w:rsidRPr="00EF5EDD" w:rsidR="00073F52" w:rsidP="00073F52" w:rsidRDefault="00073F52">
      <w:pPr>
        <w:spacing w:after="0" w:line="240" w:lineRule="auto"/>
        <w:jc w:val="both"/>
        <w:rPr>
          <w:rFonts w:eastAsia="Times New Roman" w:cstheme="minorHAnsi"/>
          <w:lang w:eastAsia="cs-CZ"/>
        </w:rPr>
      </w:pPr>
    </w:p>
    <w:p w:rsidRPr="00EF5EDD" w:rsidR="00073F52" w:rsidP="00073F52" w:rsidRDefault="00073F52">
      <w:pPr>
        <w:numPr>
          <w:ilvl w:val="0"/>
          <w:numId w:val="5"/>
        </w:numPr>
        <w:spacing w:after="0" w:line="240" w:lineRule="auto"/>
        <w:jc w:val="both"/>
        <w:rPr>
          <w:rFonts w:eastAsia="Times New Roman" w:cstheme="minorHAnsi"/>
          <w:lang w:eastAsia="cs-CZ"/>
        </w:rPr>
      </w:pPr>
      <w:r w:rsidRPr="00EF5EDD">
        <w:rPr>
          <w:rFonts w:eastAsia="Times New Roman" w:cstheme="minorHAnsi"/>
          <w:lang w:eastAsia="cs-CZ"/>
        </w:rPr>
        <w:t>Dodavatel je oprávněn předčasně ukončit smlouvu pouze v případech předvídaných zákonem, kterým se řídí smlouva.</w:t>
      </w:r>
    </w:p>
    <w:p w:rsidRPr="00EF5EDD" w:rsidR="00073F52" w:rsidP="00073F52" w:rsidRDefault="00073F52">
      <w:pPr>
        <w:spacing w:after="0" w:line="240" w:lineRule="auto"/>
        <w:jc w:val="both"/>
        <w:rPr>
          <w:rFonts w:eastAsia="Times New Roman" w:cstheme="minorHAnsi"/>
          <w:lang w:eastAsia="cs-CZ"/>
        </w:rPr>
      </w:pPr>
    </w:p>
    <w:p w:rsidRPr="00EF5EDD" w:rsidR="00073F52" w:rsidP="00073F52" w:rsidRDefault="00073F52">
      <w:pPr>
        <w:spacing w:after="0" w:line="240" w:lineRule="auto"/>
        <w:jc w:val="center"/>
        <w:rPr>
          <w:rFonts w:eastAsia="Times New Roman" w:cstheme="minorHAnsi"/>
          <w:b/>
          <w:lang w:eastAsia="cs-CZ"/>
        </w:rPr>
      </w:pPr>
      <w:r w:rsidRPr="00EF5EDD">
        <w:rPr>
          <w:rFonts w:eastAsia="Times New Roman" w:cstheme="minorHAnsi"/>
          <w:b/>
          <w:lang w:eastAsia="cs-CZ"/>
        </w:rPr>
        <w:t>VI.</w:t>
      </w:r>
    </w:p>
    <w:p w:rsidRPr="00EF5EDD" w:rsidR="00073F52" w:rsidP="00073F52" w:rsidRDefault="00073F52">
      <w:pPr>
        <w:spacing w:after="0" w:line="240" w:lineRule="auto"/>
        <w:jc w:val="center"/>
        <w:rPr>
          <w:rFonts w:eastAsia="Times New Roman" w:cstheme="minorHAnsi"/>
          <w:b/>
          <w:lang w:eastAsia="cs-CZ"/>
        </w:rPr>
      </w:pPr>
      <w:r w:rsidRPr="00EF5EDD">
        <w:rPr>
          <w:rFonts w:eastAsia="Times New Roman" w:cstheme="minorHAnsi"/>
          <w:b/>
          <w:lang w:eastAsia="cs-CZ"/>
        </w:rPr>
        <w:t xml:space="preserve">Zvláštní ustanovení, sankce </w:t>
      </w:r>
    </w:p>
    <w:p w:rsidRPr="00EF5EDD" w:rsidR="00073F52" w:rsidP="00073F52" w:rsidRDefault="00073F52">
      <w:pPr>
        <w:numPr>
          <w:ilvl w:val="0"/>
          <w:numId w:val="4"/>
        </w:numPr>
        <w:spacing w:before="120" w:after="0" w:line="240" w:lineRule="auto"/>
        <w:jc w:val="both"/>
        <w:rPr>
          <w:rFonts w:eastAsia="Times New Roman" w:cstheme="minorHAnsi"/>
          <w:lang w:eastAsia="cs-CZ"/>
        </w:rPr>
      </w:pPr>
      <w:r w:rsidRPr="00EF5EDD">
        <w:rPr>
          <w:rFonts w:eastAsia="Times New Roman" w:cstheme="minorHAnsi"/>
          <w:lang w:eastAsia="cs-CZ"/>
        </w:rPr>
        <w:t xml:space="preserve">Dodavatel bere na vědomí, že každá akce spolufinancovaná z prostředků OP LZZ musí být uvedena informací o tom, že je financována z prostředků ESF prostřednictvím Operačního programu Lidské zdroje a zaměstnanost a státního rozpočtu ČR. </w:t>
      </w:r>
    </w:p>
    <w:p w:rsidRPr="00EF5EDD" w:rsidR="00073F52" w:rsidP="00073F52" w:rsidRDefault="00073F52">
      <w:pPr>
        <w:numPr>
          <w:ilvl w:val="0"/>
          <w:numId w:val="4"/>
        </w:numPr>
        <w:spacing w:before="120" w:after="0" w:line="240" w:lineRule="auto"/>
        <w:jc w:val="both"/>
        <w:rPr>
          <w:rFonts w:eastAsia="Times New Roman" w:cstheme="minorHAnsi"/>
          <w:lang w:eastAsia="cs-CZ"/>
        </w:rPr>
      </w:pPr>
      <w:r w:rsidRPr="00EF5EDD">
        <w:rPr>
          <w:rFonts w:eastAsia="Times New Roman" w:cstheme="minorHAnsi"/>
          <w:lang w:eastAsia="cs-CZ"/>
        </w:rPr>
        <w:t xml:space="preserve">Veškeré materiály vztahující se k projektu musí být označeny v souladu s pravidly vizuální identity ESF v ČR a OP LZZ. </w:t>
      </w:r>
    </w:p>
    <w:p w:rsidRPr="00EF5EDD"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Materiály informačního a propagačního charakteru (např. publikace, tiskoviny a propagační předměty, certifikáty, pozvánky, program akcí) musí být označeny v souladu s body a) až f) „Povinného minima publicity OP LZZ“. Smlouvy uzavřené v rámci projektu, prezenční listiny, veškerá písemná korespondence spojená s projektem, např. dopisní/hlavičkový papír apod. musí být označeny všemi prvky povinného minima publicity OP LZZ. Loga musí být umístěna na přední straně tištěných materiálů.</w:t>
      </w:r>
    </w:p>
    <w:p w:rsidRPr="00EF5EDD"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Ve všech školících místnostech (tedy místnostech, které navštěvují účastníci kurzu) musí být všechny předměty, spolufinancované z ESF označeny samolepkou s body a) až f) „Povinného minima publicity OP LZZ“, nebo alespoň musí být v místnostech upozornění s informací, že výpočetní technika či zařízení v dané místnosti jsou zakoupeny z příslušného fondu a programu.</w:t>
      </w:r>
    </w:p>
    <w:p w:rsidRPr="00EF5EDD"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 xml:space="preserve">Dodavatel dále bere na vědomí, že musí plnit informační povinnost dle Manuálů pro publicitu a vizuální identitu OP LZZ (viz </w:t>
      </w:r>
      <w:hyperlink w:history="true" r:id="rId7">
        <w:r w:rsidRPr="00EF5EDD">
          <w:rPr>
            <w:rFonts w:eastAsia="Times New Roman" w:cstheme="minorHAnsi"/>
            <w:color w:val="0000FF"/>
            <w:u w:val="single"/>
            <w:lang w:eastAsia="cs-CZ"/>
          </w:rPr>
          <w:t>http://www.esfcr.cz/folder/4628/</w:t>
        </w:r>
      </w:hyperlink>
      <w:r w:rsidRPr="00EF5EDD">
        <w:rPr>
          <w:rFonts w:eastAsia="Times New Roman" w:cstheme="minorHAnsi"/>
          <w:lang w:eastAsia="cs-CZ"/>
        </w:rPr>
        <w:t>, tj. zejména v místě realizace aktivit projektu zajistit umístění loga ESF, EU, OP LZZ a vlajky ČR. Bližší informace jsou uvedeny v Manuálu pro publicitu OP LZZ 2007 – 13 a v</w:t>
      </w:r>
      <w:hyperlink w:history="true" r:id="rId8"/>
      <w:r w:rsidRPr="00EF5EDD">
        <w:rPr>
          <w:rFonts w:eastAsia="Times New Roman" w:cstheme="minorHAnsi"/>
          <w:lang w:eastAsia="cs-CZ"/>
        </w:rPr>
        <w:t xml:space="preserve"> Manuálu vizuální identity ESF v ČR na období 2007 –13.</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360"/>
        <w:jc w:val="both"/>
        <w:rPr>
          <w:rFonts w:eastAsia="Times New Roman" w:cstheme="minorHAnsi"/>
          <w:lang w:eastAsia="cs-CZ"/>
        </w:rPr>
      </w:pPr>
    </w:p>
    <w:p w:rsidRPr="00EF5EDD"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jc w:val="both"/>
        <w:rPr>
          <w:rFonts w:eastAsia="Times New Roman" w:cstheme="minorHAnsi"/>
          <w:lang w:eastAsia="cs-CZ"/>
        </w:rPr>
      </w:pPr>
      <w:r w:rsidRPr="00EF5EDD">
        <w:rPr>
          <w:rFonts w:eastAsia="Times New Roman" w:cstheme="minorHAnsi"/>
          <w:lang w:eastAsia="cs-CZ"/>
        </w:rPr>
        <w:t xml:space="preserve">Dodavatel bere na vědomí, že je jako dodavatel služeb hrazených z veřejných finančních prostředků osobou povinnou spolupůsobit při výkonu finanční kontroly ve smyslu § 2, písm.e) zákona č. 320/2001 Sb. o finanční kontrole ve veřejné správě a o změně některých zákonů. </w:t>
      </w:r>
    </w:p>
    <w:p w:rsidRPr="00EF5EDD"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Smluvní strany mají povinnost po dobu 10 let od skončení plnění zakázky uchovávat doklady související s plněním zakázky a umožnit dále všem osobám, oprávněným k výkonu kontroly projektu (zejména se jedná o poskytovatele, MPSV, MF, NKÚ, EK, Evropský účetní dvůr), z něhož je zakázka hrazena, provést kontrolu originálních dokladů. Desetiletá lhůta začíná běžet od 1. ledna kalendářního roku následujícího po roce, kdy došlo k finančnímu vypořádání projektu, z něhož je zakázka</w:t>
      </w:r>
      <w:bookmarkStart w:name="_GoBack" w:id="0"/>
      <w:bookmarkEnd w:id="0"/>
      <w:r w:rsidRPr="00EF5EDD">
        <w:rPr>
          <w:rFonts w:eastAsia="Times New Roman" w:cstheme="minorHAnsi"/>
          <w:lang w:eastAsia="cs-CZ"/>
        </w:rPr>
        <w:t xml:space="preserve"> hrazena.</w:t>
      </w:r>
    </w:p>
    <w:p w:rsidRPr="00EF5EDD"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lastRenderedPageBreak/>
        <w:t xml:space="preserve">Neplnění výše uvedených povinností může způsobit nezpůsobilost výdajů, vynaložených na realizaci projektu a jejich zpětné odejmutí poskytovatelem.  </w:t>
      </w:r>
    </w:p>
    <w:p w:rsidRPr="00A65CBA" w:rsidR="00073F52" w:rsidP="00073F52" w:rsidRDefault="00073F52">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V případech, kdy dojde kporušení podmínek, stanovených v konkrétní Dohodě o provedení rekvalifikace, si smluvní strany sjednávají smluvní pokutu ve výši 20 % celkových nákladů</w:t>
      </w:r>
      <w:r w:rsidR="00E3446B">
        <w:rPr>
          <w:rFonts w:eastAsia="Times New Roman" w:cstheme="minorHAnsi"/>
          <w:lang w:eastAsia="cs-CZ"/>
        </w:rPr>
        <w:t xml:space="preserve"> takové konkrétní rekvalifikace</w:t>
      </w:r>
      <w:r w:rsidRPr="00A65CBA" w:rsidR="00E3446B">
        <w:rPr>
          <w:rFonts w:eastAsia="Times New Roman" w:cstheme="minorHAnsi"/>
          <w:lang w:eastAsia="cs-CZ"/>
        </w:rPr>
        <w:t xml:space="preserve">, a to za každé i jednotlivé porušení smluvní povinnosti. Sjednáním smluvní pokuty nezaniká právo na náhradu škody vzniklé nesplněním smluvní povinnosti. Na vznik práva na smluvní pokutu nemá vliv zavinění.  </w:t>
      </w:r>
    </w:p>
    <w:p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eastAsia="Times New Roman" w:cstheme="minorHAnsi"/>
          <w:b/>
          <w:lang w:eastAsia="cs-CZ"/>
        </w:rPr>
      </w:pPr>
    </w:p>
    <w:p w:rsidR="00771718" w:rsidP="00073F52" w:rsidRDefault="007717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eastAsia="Times New Roman" w:cstheme="minorHAnsi"/>
          <w:b/>
          <w:lang w:eastAsia="cs-CZ"/>
        </w:rPr>
      </w:pP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eastAsia="Times New Roman" w:cstheme="minorHAnsi"/>
          <w:b/>
          <w:lang w:eastAsia="cs-CZ"/>
        </w:rPr>
      </w:pPr>
      <w:r w:rsidRPr="00EF5EDD">
        <w:rPr>
          <w:rFonts w:eastAsia="Times New Roman" w:cstheme="minorHAnsi"/>
          <w:b/>
          <w:lang w:eastAsia="cs-CZ"/>
        </w:rPr>
        <w:t>VII.</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rPr>
          <w:rFonts w:eastAsia="Times New Roman" w:cstheme="minorHAnsi"/>
          <w:b/>
          <w:lang w:eastAsia="cs-CZ"/>
        </w:rPr>
      </w:pPr>
      <w:r w:rsidRPr="00EF5EDD">
        <w:rPr>
          <w:rFonts w:eastAsia="Times New Roman" w:cstheme="minorHAnsi"/>
          <w:b/>
          <w:lang w:eastAsia="cs-CZ"/>
        </w:rPr>
        <w:t>Závěrečná ustanovení</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ind w:left="360"/>
        <w:jc w:val="both"/>
        <w:rPr>
          <w:rFonts w:eastAsia="Times New Roman" w:cstheme="minorHAnsi"/>
          <w:lang w:eastAsia="cs-CZ"/>
        </w:rPr>
      </w:pPr>
    </w:p>
    <w:p w:rsidRPr="00EF5EDD" w:rsidR="00073F52" w:rsidP="00073F52" w:rsidRDefault="00073F52">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Otázky v této rámcové smlouvě nebo dílčích Dohodách o provedení rekvalifikace neupravené nebo upravené jen částečně se řídí příslušnými ustanoveními obchodního zákoníku a předpisy souvisejícími, vždy v platném znění.</w:t>
      </w:r>
    </w:p>
    <w:p w:rsidRPr="00EF5EDD" w:rsidR="00073F52" w:rsidP="00073F52" w:rsidRDefault="00073F52">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Obě strany se zavazují, že během plnění této smlouvy i po jejím ukončení budou zachovávat mlčenlivost o všech skutečnostech, o kterých se dozví od druhé smluvní strany v souvislosti s plněním této smlouvy.</w:t>
      </w:r>
    </w:p>
    <w:p w:rsidRPr="00EF5EDD" w:rsidR="00073F52" w:rsidP="00073F52" w:rsidRDefault="00073F52">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Smlouva je vypracována v tolika vyhotoveních, aby jedno obdržel dodavatel a dvě zadavatel.</w:t>
      </w:r>
    </w:p>
    <w:p w:rsidRPr="00EF5EDD" w:rsidR="00073F52" w:rsidP="00073F52" w:rsidRDefault="00073F52">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after="0" w:line="240" w:lineRule="atLeast"/>
        <w:jc w:val="both"/>
        <w:rPr>
          <w:rFonts w:eastAsia="Times New Roman" w:cstheme="minorHAnsi"/>
          <w:lang w:eastAsia="cs-CZ"/>
        </w:rPr>
      </w:pPr>
      <w:r w:rsidRPr="00EF5EDD">
        <w:rPr>
          <w:rFonts w:eastAsia="Times New Roman" w:cstheme="minorHAnsi"/>
          <w:lang w:eastAsia="cs-CZ"/>
        </w:rPr>
        <w:t>Smlouva může být doplňována nebo měněna pouze písemnými dodatky, podepsanými oběma smluvními stranami. Písemnou formu musí mít také veškeré jiné dohody smluvních stran související s touto smlouvou.</w:t>
      </w:r>
    </w:p>
    <w:p w:rsidRPr="00EF5EDD" w:rsidR="00073F52" w:rsidP="00073F52" w:rsidRDefault="00073F5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tLeast"/>
        <w:jc w:val="both"/>
        <w:rPr>
          <w:rFonts w:eastAsia="Times New Roman" w:cstheme="minorHAnsi"/>
          <w:lang w:eastAsia="cs-CZ"/>
        </w:rPr>
      </w:pPr>
    </w:p>
    <w:p w:rsidRPr="00EF5EDD" w:rsidR="00073F52" w:rsidP="00073F52" w:rsidRDefault="00073F52">
      <w:pPr>
        <w:numPr>
          <w:ilvl w:val="0"/>
          <w:numId w:val="6"/>
        </w:numPr>
        <w:spacing w:after="120" w:line="480" w:lineRule="auto"/>
        <w:jc w:val="both"/>
        <w:rPr>
          <w:rFonts w:eastAsia="Times New Roman" w:cstheme="minorHAnsi"/>
          <w:lang w:eastAsia="cs-CZ"/>
        </w:rPr>
      </w:pPr>
      <w:r w:rsidRPr="00EF5EDD">
        <w:rPr>
          <w:rFonts w:eastAsia="Times New Roman" w:cstheme="minorHAnsi"/>
          <w:lang w:eastAsia="cs-CZ"/>
        </w:rPr>
        <w:t>Smlouva nabývá platnosti a účinnosti dnem podpisu oběma smluvními stranami.</w:t>
      </w:r>
    </w:p>
    <w:p w:rsidRPr="00EF5EDD" w:rsidR="00073F52" w:rsidP="00073F52" w:rsidRDefault="00073F52">
      <w:pPr>
        <w:numPr>
          <w:ilvl w:val="0"/>
          <w:numId w:val="6"/>
        </w:numPr>
        <w:spacing w:after="0" w:line="240" w:lineRule="auto"/>
        <w:jc w:val="both"/>
        <w:rPr>
          <w:rFonts w:eastAsia="Times New Roman" w:cstheme="minorHAnsi"/>
          <w:lang w:eastAsia="cs-CZ"/>
        </w:rPr>
      </w:pPr>
      <w:r w:rsidRPr="00EF5EDD">
        <w:rPr>
          <w:rFonts w:eastAsia="Times New Roman" w:cstheme="minorHAnsi"/>
          <w:lang w:eastAsia="cs-CZ"/>
        </w:rPr>
        <w:t>Smluvní strany prohlašují, že si text smlouvy řádně přečetly, souhlasí s jejím obsahem; smlouva nebyla sepsána v tísni ani pod nátlakem, vyjadřuje svobodnou vůli obou smluvních stran a není jednostranně nevýhodná pro žádnou smluvní stranu. Na důkaz svého souhlasu tuto smlouvu obě smluvní strany potvrzují svými podpisy.</w:t>
      </w:r>
    </w:p>
    <w:p w:rsidR="00073F52" w:rsidP="00073F52" w:rsidRDefault="00073F52">
      <w:pPr>
        <w:spacing w:after="0" w:line="480" w:lineRule="auto"/>
        <w:jc w:val="both"/>
        <w:rPr>
          <w:rFonts w:eastAsia="Times New Roman" w:cstheme="minorHAnsi"/>
          <w:lang w:eastAsia="cs-CZ"/>
        </w:rPr>
      </w:pPr>
    </w:p>
    <w:p w:rsidRPr="00805276" w:rsidR="0095047C" w:rsidP="0095047C" w:rsidRDefault="0095047C">
      <w:pPr>
        <w:pStyle w:val="Zkladntext2"/>
        <w:spacing w:after="0" w:line="240" w:lineRule="auto"/>
        <w:ind w:right="-113"/>
        <w:jc w:val="both"/>
        <w:rPr>
          <w:rFonts w:ascii="Calibri" w:hAnsi="Calibri" w:cs="Calibri"/>
          <w:sz w:val="22"/>
          <w:szCs w:val="22"/>
        </w:rPr>
      </w:pPr>
      <w:r w:rsidRPr="00805276">
        <w:rPr>
          <w:rFonts w:ascii="Calibri" w:hAnsi="Calibri" w:cs="Calibri"/>
          <w:sz w:val="22"/>
          <w:szCs w:val="22"/>
        </w:rPr>
        <w:t xml:space="preserve">Příloha č. 1 - Nabídka dodavatele </w:t>
      </w:r>
    </w:p>
    <w:p w:rsidRPr="00805276" w:rsidR="0095047C" w:rsidP="0095047C" w:rsidRDefault="0095047C">
      <w:pPr>
        <w:pStyle w:val="Zkladntext2"/>
        <w:spacing w:after="0" w:line="240" w:lineRule="auto"/>
        <w:ind w:right="-113"/>
        <w:jc w:val="both"/>
        <w:rPr>
          <w:rFonts w:ascii="Calibri" w:hAnsi="Calibri" w:cs="Calibri"/>
          <w:sz w:val="22"/>
          <w:szCs w:val="22"/>
        </w:rPr>
      </w:pPr>
      <w:r w:rsidRPr="00805276">
        <w:rPr>
          <w:rFonts w:ascii="Calibri" w:hAnsi="Calibri" w:cs="Calibri"/>
          <w:sz w:val="22"/>
          <w:szCs w:val="22"/>
        </w:rPr>
        <w:t xml:space="preserve">Příloha č. </w:t>
      </w:r>
      <w:r>
        <w:rPr>
          <w:rFonts w:ascii="Calibri" w:hAnsi="Calibri" w:cs="Calibri"/>
          <w:sz w:val="22"/>
          <w:szCs w:val="22"/>
        </w:rPr>
        <w:t>2</w:t>
      </w:r>
      <w:r w:rsidRPr="00805276">
        <w:rPr>
          <w:rFonts w:ascii="Calibri" w:hAnsi="Calibri" w:cs="Calibri"/>
          <w:sz w:val="22"/>
          <w:szCs w:val="22"/>
        </w:rPr>
        <w:t xml:space="preserve"> – Pojistná smlouva</w:t>
      </w:r>
    </w:p>
    <w:p w:rsidR="0095047C" w:rsidP="00073F52" w:rsidRDefault="0095047C">
      <w:pPr>
        <w:spacing w:after="0" w:line="480" w:lineRule="auto"/>
        <w:jc w:val="both"/>
        <w:rPr>
          <w:rFonts w:eastAsia="Times New Roman" w:cstheme="minorHAnsi"/>
          <w:lang w:eastAsia="cs-CZ"/>
        </w:rPr>
      </w:pPr>
    </w:p>
    <w:p w:rsidRPr="00EF5EDD" w:rsidR="0095047C" w:rsidP="00073F52" w:rsidRDefault="0095047C">
      <w:pPr>
        <w:spacing w:after="0" w:line="480" w:lineRule="auto"/>
        <w:jc w:val="both"/>
        <w:rPr>
          <w:rFonts w:eastAsia="Times New Roman" w:cstheme="minorHAnsi"/>
          <w:lang w:eastAsia="cs-CZ"/>
        </w:rPr>
      </w:pPr>
    </w:p>
    <w:p w:rsidRPr="00EF5EDD" w:rsidR="00073F52" w:rsidP="00073F52" w:rsidRDefault="00073F52">
      <w:pPr>
        <w:spacing w:after="0" w:line="480" w:lineRule="auto"/>
        <w:jc w:val="both"/>
        <w:rPr>
          <w:rFonts w:eastAsia="Times New Roman" w:cstheme="minorHAnsi"/>
          <w:lang w:eastAsia="cs-CZ"/>
        </w:rPr>
      </w:pPr>
      <w:r w:rsidRPr="00EF5EDD">
        <w:rPr>
          <w:rFonts w:eastAsia="Times New Roman" w:cstheme="minorHAnsi"/>
          <w:lang w:eastAsia="cs-CZ"/>
        </w:rPr>
        <w:t xml:space="preserve">     V ……………dne …………..</w:t>
      </w:r>
      <w:r w:rsidRPr="00EF5EDD">
        <w:rPr>
          <w:rFonts w:eastAsia="Times New Roman" w:cstheme="minorHAnsi"/>
          <w:lang w:eastAsia="cs-CZ"/>
        </w:rPr>
        <w:tab/>
      </w:r>
      <w:r w:rsidRPr="00EF5EDD">
        <w:rPr>
          <w:rFonts w:eastAsia="Times New Roman" w:cstheme="minorHAnsi"/>
          <w:lang w:eastAsia="cs-CZ"/>
        </w:rPr>
        <w:tab/>
      </w:r>
      <w:r w:rsidRPr="00EF5EDD">
        <w:rPr>
          <w:rFonts w:eastAsia="Times New Roman" w:cstheme="minorHAnsi"/>
          <w:lang w:eastAsia="cs-CZ"/>
        </w:rPr>
        <w:tab/>
      </w:r>
      <w:r w:rsidR="00771718">
        <w:rPr>
          <w:rFonts w:eastAsia="Times New Roman" w:cstheme="minorHAnsi"/>
          <w:lang w:eastAsia="cs-CZ"/>
        </w:rPr>
        <w:tab/>
      </w:r>
      <w:r w:rsidR="00771718">
        <w:rPr>
          <w:rFonts w:eastAsia="Times New Roman" w:cstheme="minorHAnsi"/>
          <w:lang w:eastAsia="cs-CZ"/>
        </w:rPr>
        <w:tab/>
      </w:r>
      <w:r w:rsidRPr="00EF5EDD">
        <w:rPr>
          <w:rFonts w:eastAsia="Times New Roman" w:cstheme="minorHAnsi"/>
          <w:lang w:eastAsia="cs-CZ"/>
        </w:rPr>
        <w:t xml:space="preserve"> V ……………. dne ………….. </w:t>
      </w:r>
    </w:p>
    <w:p w:rsidR="00073F52" w:rsidP="00073F52" w:rsidRDefault="00073F52">
      <w:pPr>
        <w:spacing w:after="0" w:line="240" w:lineRule="auto"/>
        <w:jc w:val="both"/>
        <w:rPr>
          <w:rFonts w:eastAsia="Times New Roman" w:cstheme="minorHAnsi"/>
          <w:lang w:eastAsia="cs-CZ"/>
        </w:rPr>
      </w:pPr>
    </w:p>
    <w:p w:rsidR="000D2FDE" w:rsidP="00073F52" w:rsidRDefault="000D2FDE">
      <w:pPr>
        <w:spacing w:after="0" w:line="240" w:lineRule="auto"/>
        <w:jc w:val="both"/>
        <w:rPr>
          <w:rFonts w:eastAsia="Times New Roman" w:cstheme="minorHAnsi"/>
          <w:lang w:eastAsia="cs-CZ"/>
        </w:rPr>
      </w:pPr>
    </w:p>
    <w:p w:rsidR="000D2FDE" w:rsidP="00073F52" w:rsidRDefault="000D2FDE">
      <w:pPr>
        <w:spacing w:after="0" w:line="240" w:lineRule="auto"/>
        <w:jc w:val="both"/>
        <w:rPr>
          <w:rFonts w:eastAsia="Times New Roman" w:cstheme="minorHAnsi"/>
          <w:lang w:eastAsia="cs-CZ"/>
        </w:rPr>
      </w:pPr>
    </w:p>
    <w:p w:rsidRPr="00EF5EDD" w:rsidR="000D2FDE" w:rsidP="00073F52" w:rsidRDefault="0005500B">
      <w:pPr>
        <w:spacing w:after="0" w:line="240" w:lineRule="auto"/>
        <w:jc w:val="both"/>
        <w:rPr>
          <w:rFonts w:eastAsia="Times New Roman" w:cstheme="minorHAnsi"/>
          <w:lang w:eastAsia="cs-CZ"/>
        </w:rPr>
      </w:pPr>
      <w:r w:rsidRPr="00EF5EDD">
        <w:rPr>
          <w:rFonts w:eastAsia="Times New Roman" w:cstheme="minorHAnsi"/>
          <w:lang w:eastAsia="cs-CZ"/>
        </w:rPr>
        <w:t xml:space="preserve">   ………………………………………….     </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w:t>
      </w:r>
    </w:p>
    <w:p w:rsidRPr="00EF5EDD" w:rsidR="00073F52" w:rsidP="0005500B" w:rsidRDefault="0005500B">
      <w:pPr>
        <w:spacing w:after="0" w:line="240" w:lineRule="auto"/>
        <w:jc w:val="both"/>
        <w:rPr>
          <w:rFonts w:eastAsia="Times New Roman" w:cstheme="minorHAnsi"/>
          <w:lang w:eastAsia="cs-CZ"/>
        </w:rPr>
      </w:pPr>
      <w:r>
        <w:rPr>
          <w:rFonts w:eastAsia="Times New Roman" w:cstheme="minorHAnsi"/>
          <w:lang w:eastAsia="cs-CZ"/>
        </w:rPr>
        <w:t xml:space="preserve">  </w:t>
      </w:r>
      <w:r>
        <w:rPr>
          <w:rFonts w:eastAsia="Times New Roman" w:cstheme="minorHAnsi"/>
          <w:lang w:eastAsia="cs-CZ"/>
        </w:rPr>
        <w:tab/>
        <w:t xml:space="preserve">  </w:t>
      </w:r>
      <w:r w:rsidRPr="00EF5EDD" w:rsidR="00073F52">
        <w:rPr>
          <w:rFonts w:eastAsia="Times New Roman" w:cstheme="minorHAnsi"/>
          <w:lang w:eastAsia="cs-CZ"/>
        </w:rPr>
        <w:t xml:space="preserve">za zadavatele                                                  </w:t>
      </w:r>
      <w:r w:rsidRPr="00EF5EDD" w:rsidR="00073F52">
        <w:rPr>
          <w:rFonts w:eastAsia="Times New Roman" w:cstheme="minorHAnsi"/>
          <w:lang w:eastAsia="cs-CZ"/>
        </w:rPr>
        <w:tab/>
        <w:t xml:space="preserve">                          za dodavatele     </w:t>
      </w:r>
    </w:p>
    <w:p w:rsidRPr="00EF5EDD" w:rsidR="006F55DE" w:rsidRDefault="006F55DE">
      <w:pPr>
        <w:rPr>
          <w:rFonts w:cstheme="minorHAnsi"/>
        </w:rPr>
      </w:pPr>
    </w:p>
    <w:sectPr w:rsidRPr="00EF5EDD" w:rsidR="006F55DE" w:rsidSect="00073F5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0">
    <w:p w:rsidR="003E200D" w:rsidP="00073F52" w:rsidRDefault="003E200D">
      <w:pPr>
        <w:spacing w:after="0" w:line="240" w:lineRule="auto"/>
      </w:pPr>
      <w:r>
        <w:separator/>
      </w:r>
    </w:p>
  </w:endnote>
  <w:endnote w:type="continuationSeparator" w:id="1">
    <w:p w:rsidR="003E200D" w:rsidP="00073F52" w:rsidRDefault="003E200D">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F5EDD" w:rsidRDefault="00EF5EDD">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073F52" w:rsidR="00F36E7A" w:rsidP="00073F52" w:rsidRDefault="00F36E7A">
    <w:pPr>
      <w:pStyle w:val="Zpat"/>
      <w:jc w:val="center"/>
      <w:rPr>
        <w:sz w:val="20"/>
      </w:rPr>
    </w:pPr>
    <w:r w:rsidRPr="00207F3A">
      <w:rPr>
        <w:sz w:val="20"/>
      </w:rPr>
      <w:t>Spolufinancováno z Evropského sociálního fondu a státního rozpočtu České republiky</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F5EDD" w:rsidRDefault="00EF5EDD">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0">
    <w:p w:rsidR="003E200D" w:rsidP="00073F52" w:rsidRDefault="003E200D">
      <w:pPr>
        <w:spacing w:after="0" w:line="240" w:lineRule="auto"/>
      </w:pPr>
      <w:r>
        <w:separator/>
      </w:r>
    </w:p>
  </w:footnote>
  <w:footnote w:type="continuationSeparator" w:id="1">
    <w:p w:rsidR="003E200D" w:rsidP="00073F52" w:rsidRDefault="003E200D">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F5EDD" w:rsidRDefault="00EF5EDD">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36E7A" w:rsidRDefault="00F36E7A">
    <w:pPr>
      <w:pStyle w:val="Zhlav"/>
    </w:pPr>
    <w:r>
      <w:rPr>
        <w:noProof/>
        <w:lang w:eastAsia="cs-CZ"/>
      </w:rPr>
      <w:drawing>
        <wp:inline distT="0" distB="0" distL="0" distR="0">
          <wp:extent cx="5760720" cy="556260"/>
          <wp:effectExtent l="0" t="0" r="0" b="0"/>
          <wp:docPr id="2" name="Obrázek 2"/>
          <wp:cNvGraphicFramePr>
            <a:graphicFrameLocks noChangeAspect="true"/>
          </wp:cNvGraphicFramePr>
          <a:graphic>
            <a:graphicData uri="http://schemas.openxmlformats.org/drawingml/2006/picture">
              <pic:pic>
                <pic:nvPicPr>
                  <pic:cNvPr id="0" name="150 CB NIP.jpg"/>
                  <pic:cNvPicPr/>
                </pic:nvPicPr>
                <pic:blipFill>
                  <a:blip r:embed="rId1">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60720" cy="556260"/>
                  </a:xfrm>
                  <a:prstGeom prst="rect">
                    <a:avLst/>
                  </a:prstGeom>
                </pic:spPr>
              </pic:pic>
            </a:graphicData>
          </a:graphic>
        </wp:inline>
      </w:drawing>
    </w:r>
  </w:p>
  <w:p w:rsidR="00F36E7A" w:rsidRDefault="00F36E7A">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F5EDD" w:rsidRDefault="00EF5EDD">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7946A8"/>
    <w:multiLevelType w:val="hybridMultilevel"/>
    <w:tmpl w:val="6A92CA56"/>
    <w:lvl w:ilvl="0" w:tplc="CA2A430A">
      <w:start w:val="1"/>
      <w:numFmt w:val="decimal"/>
      <w:lvlText w:val="%1."/>
      <w:lvlJc w:val="left"/>
      <w:pPr>
        <w:tabs>
          <w:tab w:val="num" w:pos="360"/>
        </w:tabs>
        <w:ind w:left="360" w:hanging="360"/>
      </w:pPr>
      <w:rPr>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1543394"/>
    <w:multiLevelType w:val="hybridMultilevel"/>
    <w:tmpl w:val="CC8C9D4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39E4C66"/>
    <w:multiLevelType w:val="hybridMultilevel"/>
    <w:tmpl w:val="118A3D0C"/>
    <w:lvl w:ilvl="0" w:tplc="569E48A4">
      <w:start w:val="1"/>
      <w:numFmt w:val="decimal"/>
      <w:lvlText w:val="%1."/>
      <w:lvlJc w:val="left"/>
      <w:pPr>
        <w:tabs>
          <w:tab w:val="num" w:pos="360"/>
        </w:tabs>
        <w:ind w:left="360" w:hanging="360"/>
      </w:pPr>
      <w:rPr>
        <w:rFonts w:hint="default" w:ascii="Tahoma" w:hAnsi="Tahoma" w:eastAsia="Times New Roman" w:cs="Tahoma"/>
        <w:sz w:val="20"/>
        <w:szCs w:val="20"/>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
    <w:nsid w:val="19C26CF5"/>
    <w:multiLevelType w:val="hybridMultilevel"/>
    <w:tmpl w:val="E28CC5AE"/>
    <w:lvl w:ilvl="0" w:tplc="00000002">
      <w:start w:val="1"/>
      <w:numFmt w:val="decimal"/>
      <w:lvlText w:val="%1."/>
      <w:lvlJc w:val="left"/>
      <w:pPr>
        <w:tabs>
          <w:tab w:val="num" w:pos="426"/>
        </w:tabs>
        <w:ind w:left="426" w:hanging="426"/>
      </w:pPr>
    </w:lvl>
    <w:lvl w:ilvl="1" w:tplc="510CA802">
      <w:start w:val="3"/>
      <w:numFmt w:val="bullet"/>
      <w:lvlText w:val="-"/>
      <w:lvlJc w:val="left"/>
      <w:pPr>
        <w:tabs>
          <w:tab w:val="num" w:pos="1440"/>
        </w:tabs>
        <w:ind w:left="1440" w:hanging="360"/>
      </w:pPr>
      <w:rPr>
        <w:rFonts w:hint="default" w:ascii="Arial" w:hAnsi="Arial" w:eastAsia="Times New Roman" w:cs="Arial"/>
      </w:rPr>
    </w:lvl>
    <w:lvl w:ilvl="2" w:tplc="53F2C2F6">
      <w:start w:val="2"/>
      <w:numFmt w:val="lowerLetter"/>
      <w:lvlText w:val="%3)"/>
      <w:lvlJc w:val="left"/>
      <w:pPr>
        <w:tabs>
          <w:tab w:val="num" w:pos="2340"/>
        </w:tabs>
        <w:ind w:left="2340" w:hanging="360"/>
      </w:pPr>
      <w:rPr>
        <w:rFonts w:hint="default"/>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5">
    <w:nsid w:val="2FC37CA3"/>
    <w:multiLevelType w:val="hybridMultilevel"/>
    <w:tmpl w:val="B40EED9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3ECE319C"/>
    <w:multiLevelType w:val="hybridMultilevel"/>
    <w:tmpl w:val="BA3C390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4B3B6549"/>
    <w:multiLevelType w:val="hybridMultilevel"/>
    <w:tmpl w:val="A1F4A87A"/>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C5B7345"/>
    <w:multiLevelType w:val="hybridMultilevel"/>
    <w:tmpl w:val="27AAF090"/>
    <w:lvl w:ilvl="0" w:tplc="4A32D00A">
      <w:start w:val="1"/>
      <w:numFmt w:val="decimal"/>
      <w:lvlText w:val="%1."/>
      <w:lvlJc w:val="left"/>
      <w:pPr>
        <w:tabs>
          <w:tab w:val="num" w:pos="360"/>
        </w:tabs>
        <w:ind w:left="360" w:hanging="360"/>
      </w:pPr>
      <w:rPr>
        <w:b w:val="false"/>
      </w:rPr>
    </w:lvl>
    <w:lvl w:ilvl="1" w:tplc="7482329E">
      <w:start w:val="3"/>
      <w:numFmt w:val="lowerLetter"/>
      <w:lvlText w:val="%2)"/>
      <w:lvlJc w:val="left"/>
      <w:pPr>
        <w:tabs>
          <w:tab w:val="num" w:pos="1080"/>
        </w:tabs>
        <w:ind w:left="1080" w:hanging="360"/>
      </w:pPr>
      <w:rPr>
        <w:rFonts w:hint="default"/>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9">
    <w:nsid w:val="576507FE"/>
    <w:multiLevelType w:val="hybridMultilevel"/>
    <w:tmpl w:val="A3FEDB9C"/>
    <w:lvl w:ilvl="0" w:tplc="142671C2">
      <w:start w:val="6"/>
      <w:numFmt w:val="decimal"/>
      <w:lvlText w:val="%1."/>
      <w:lvlJc w:val="left"/>
      <w:pPr>
        <w:tabs>
          <w:tab w:val="num" w:pos="360"/>
        </w:tabs>
        <w:ind w:left="36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80C0F9B"/>
    <w:multiLevelType w:val="hybridMultilevel"/>
    <w:tmpl w:val="49F838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58EC0E47"/>
    <w:multiLevelType w:val="hybridMultilevel"/>
    <w:tmpl w:val="97566032"/>
    <w:lvl w:ilvl="0" w:tplc="4D2870CA">
      <w:start w:val="3"/>
      <w:numFmt w:val="lowerLetter"/>
      <w:lvlText w:val="%1)"/>
      <w:lvlJc w:val="left"/>
      <w:pPr>
        <w:ind w:left="1069" w:hanging="360"/>
      </w:pPr>
      <w:rPr>
        <w:rFonts w:hint="default"/>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12">
    <w:nsid w:val="5BDA0933"/>
    <w:multiLevelType w:val="hybridMultilevel"/>
    <w:tmpl w:val="1F125C22"/>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050296B"/>
    <w:multiLevelType w:val="hybridMultilevel"/>
    <w:tmpl w:val="6F5458EC"/>
    <w:lvl w:ilvl="0" w:tplc="04050005">
      <w:start w:val="1"/>
      <w:numFmt w:val="bullet"/>
      <w:lvlText w:val=""/>
      <w:lvlJc w:val="left"/>
      <w:pPr>
        <w:ind w:left="1068" w:hanging="360"/>
      </w:pPr>
      <w:rPr>
        <w:rFonts w:hint="default" w:ascii="Wingdings" w:hAnsi="Wingdings"/>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69B505E4"/>
    <w:multiLevelType w:val="hybridMultilevel"/>
    <w:tmpl w:val="42F048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7E0F5714"/>
    <w:multiLevelType w:val="hybridMultilevel"/>
    <w:tmpl w:val="C81A2F40"/>
    <w:lvl w:ilvl="0" w:tplc="04463B28">
      <w:start w:val="1"/>
      <w:numFmt w:val="decimal"/>
      <w:lvlText w:val="%1."/>
      <w:lvlJc w:val="left"/>
      <w:pPr>
        <w:tabs>
          <w:tab w:val="num" w:pos="360"/>
        </w:tabs>
        <w:ind w:left="360" w:hanging="360"/>
      </w:pPr>
      <w:rPr>
        <w:rFonts w:hint="default" w:ascii="Tahoma" w:hAnsi="Tahoma" w:eastAsia="Times New Roman" w:cs="Tahoma"/>
        <w:sz w:val="20"/>
        <w:szCs w:val="20"/>
      </w:rPr>
    </w:lvl>
    <w:lvl w:ilvl="1" w:tplc="27DED5DE"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4"/>
  </w:num>
  <w:num w:numId="6">
    <w:abstractNumId w:val="15"/>
  </w:num>
  <w:num w:numId="7">
    <w:abstractNumId w:val="11"/>
  </w:num>
  <w:num w:numId="8">
    <w:abstractNumId w:val="9"/>
  </w:num>
  <w:num w:numId="9">
    <w:abstractNumId w:val="5"/>
  </w:num>
  <w:num w:numId="10">
    <w:abstractNumId w:val="13"/>
  </w:num>
  <w:num w:numId="11">
    <w:abstractNumId w:val="7"/>
  </w:num>
  <w:num w:numId="12">
    <w:abstractNumId w:val="12"/>
  </w:num>
  <w:num w:numId="13">
    <w:abstractNumId w:val="10"/>
  </w:num>
  <w:num w:numId="14">
    <w:abstractNumId w:val="14"/>
  </w:num>
  <w:num w:numId="15">
    <w:abstractNumId w:val="6"/>
  </w:num>
  <w:num w:numId="16">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8194" v:ext="edit"/>
  </w:hdrShapeDefaults>
  <w:footnotePr>
    <w:footnote w:id="0"/>
    <w:footnote w:id="1"/>
  </w:footnotePr>
  <w:endnotePr>
    <w:endnote w:id="0"/>
    <w:endnote w:id="1"/>
  </w:endnotePr>
  <w:compat/>
  <w:rsids>
    <w:rsidRoot w:val="00073F52"/>
    <w:rsid w:val="00050263"/>
    <w:rsid w:val="0005500B"/>
    <w:rsid w:val="00073F52"/>
    <w:rsid w:val="000D2FDE"/>
    <w:rsid w:val="001108CF"/>
    <w:rsid w:val="00182C7B"/>
    <w:rsid w:val="001832F4"/>
    <w:rsid w:val="002B2BAD"/>
    <w:rsid w:val="003E200D"/>
    <w:rsid w:val="004250EC"/>
    <w:rsid w:val="004F0347"/>
    <w:rsid w:val="00563893"/>
    <w:rsid w:val="00573346"/>
    <w:rsid w:val="006F55DE"/>
    <w:rsid w:val="00771718"/>
    <w:rsid w:val="0084310F"/>
    <w:rsid w:val="00917A5B"/>
    <w:rsid w:val="0095047C"/>
    <w:rsid w:val="009E3764"/>
    <w:rsid w:val="00A65CBA"/>
    <w:rsid w:val="00B40BAC"/>
    <w:rsid w:val="00CD0F80"/>
    <w:rsid w:val="00DA31FF"/>
    <w:rsid w:val="00E25ACD"/>
    <w:rsid w:val="00E3446B"/>
    <w:rsid w:val="00EF5EDD"/>
    <w:rsid w:val="00F36E7A"/>
    <w:rsid w:val="00FF21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Body Text 2" w:uiPriority="0"/>
    <w:lsdException w:name="Strong" w:uiPriority="22" w:semiHidden="false" w:unhideWhenUsed="false" w:qFormat="true"/>
    <w:lsdException w:name="Emphasis" w:uiPriority="20" w:semiHidden="false" w:unhideWhenUsed="false" w:qFormat="true"/>
    <w:lsdException w:name="Plain Text"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F0347"/>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073F5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073F52"/>
  </w:style>
  <w:style w:type="paragraph" w:styleId="Zpat">
    <w:name w:val="footer"/>
    <w:basedOn w:val="Normln"/>
    <w:link w:val="ZpatChar"/>
    <w:uiPriority w:val="99"/>
    <w:unhideWhenUsed/>
    <w:rsid w:val="00073F5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073F52"/>
  </w:style>
  <w:style w:type="paragraph" w:styleId="Textbubliny">
    <w:name w:val="Balloon Text"/>
    <w:basedOn w:val="Normln"/>
    <w:link w:val="TextbublinyChar"/>
    <w:uiPriority w:val="99"/>
    <w:semiHidden/>
    <w:unhideWhenUsed/>
    <w:rsid w:val="00073F52"/>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073F52"/>
    <w:rPr>
      <w:rFonts w:ascii="Tahoma" w:hAnsi="Tahoma" w:cs="Tahoma"/>
      <w:sz w:val="16"/>
      <w:szCs w:val="16"/>
    </w:rPr>
  </w:style>
  <w:style w:type="table" w:styleId="Mkatabulky">
    <w:name w:val="Table Grid"/>
    <w:basedOn w:val="Normlntabulka"/>
    <w:uiPriority w:val="59"/>
    <w:rsid w:val="002B2BA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dstavecseseznamem">
    <w:name w:val="List Paragraph"/>
    <w:basedOn w:val="Normln"/>
    <w:uiPriority w:val="34"/>
    <w:qFormat/>
    <w:rsid w:val="002B2BAD"/>
    <w:pPr>
      <w:ind w:left="720"/>
      <w:contextualSpacing/>
    </w:pPr>
  </w:style>
  <w:style w:type="paragraph" w:styleId="Prosttext">
    <w:name w:val="Plain Text"/>
    <w:basedOn w:val="Normln"/>
    <w:link w:val="ProsttextChar"/>
    <w:unhideWhenUsed/>
    <w:rsid w:val="000D2FDE"/>
    <w:pPr>
      <w:spacing w:after="0" w:line="240" w:lineRule="auto"/>
    </w:pPr>
    <w:rPr>
      <w:rFonts w:ascii="Courier New" w:hAnsi="Courier New" w:eastAsia="Times New Roman" w:cs="Times New Roman"/>
      <w:sz w:val="20"/>
      <w:szCs w:val="20"/>
    </w:rPr>
  </w:style>
  <w:style w:type="character" w:styleId="ProsttextChar" w:customStyle="true">
    <w:name w:val="Prostý text Char"/>
    <w:basedOn w:val="Standardnpsmoodstavce"/>
    <w:link w:val="Prosttext"/>
    <w:rsid w:val="000D2FDE"/>
    <w:rPr>
      <w:rFonts w:ascii="Courier New" w:hAnsi="Courier New" w:eastAsia="Times New Roman" w:cs="Times New Roman"/>
      <w:sz w:val="20"/>
      <w:szCs w:val="20"/>
    </w:rPr>
  </w:style>
  <w:style w:type="paragraph" w:styleId="Zkladntext2">
    <w:name w:val="Body Text 2"/>
    <w:basedOn w:val="Normln"/>
    <w:link w:val="Zkladntext2Char"/>
    <w:rsid w:val="0095047C"/>
    <w:pPr>
      <w:spacing w:after="120" w:line="480" w:lineRule="auto"/>
    </w:pPr>
    <w:rPr>
      <w:rFonts w:ascii="Times New Roman" w:hAnsi="Times New Roman" w:eastAsia="Times New Roman" w:cs="Times New Roman"/>
      <w:sz w:val="24"/>
      <w:szCs w:val="24"/>
      <w:lang w:eastAsia="cs-CZ"/>
    </w:rPr>
  </w:style>
  <w:style w:type="character" w:styleId="Zkladntext2Char" w:customStyle="true">
    <w:name w:val="Základní text 2 Char"/>
    <w:basedOn w:val="Standardnpsmoodstavce"/>
    <w:link w:val="Zkladntext2"/>
    <w:rsid w:val="0095047C"/>
    <w:rPr>
      <w:rFonts w:ascii="Times New Roman" w:hAnsi="Times New Roman" w:eastAsia="Times New Roman" w:cs="Times New Roman"/>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Body Text 2" w:uiPriority="0"/>
    <w:lsdException w:name="Strong" w:qFormat="1" w:semiHidden="0" w:uiPriority="22" w:unhideWhenUsed="0"/>
    <w:lsdException w:name="Emphasis" w:qFormat="1" w:semiHidden="0" w:uiPriority="20" w:unhideWhenUsed="0"/>
    <w:lsdException w:name="Plain Text"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073F5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073F52"/>
  </w:style>
  <w:style w:styleId="Zpat" w:type="paragraph">
    <w:name w:val="footer"/>
    <w:basedOn w:val="Normln"/>
    <w:link w:val="ZpatChar"/>
    <w:uiPriority w:val="99"/>
    <w:unhideWhenUsed/>
    <w:rsid w:val="00073F52"/>
    <w:pPr>
      <w:tabs>
        <w:tab w:pos="4536" w:val="center"/>
        <w:tab w:pos="9072" w:val="right"/>
      </w:tabs>
      <w:spacing w:after="0" w:line="240" w:lineRule="auto"/>
    </w:pPr>
  </w:style>
  <w:style w:customStyle="1" w:styleId="ZpatChar" w:type="character">
    <w:name w:val="Zápatí Char"/>
    <w:basedOn w:val="Standardnpsmoodstavce"/>
    <w:link w:val="Zpat"/>
    <w:uiPriority w:val="99"/>
    <w:rsid w:val="00073F52"/>
  </w:style>
  <w:style w:styleId="Textbubliny" w:type="paragraph">
    <w:name w:val="Balloon Text"/>
    <w:basedOn w:val="Normln"/>
    <w:link w:val="TextbublinyChar"/>
    <w:uiPriority w:val="99"/>
    <w:semiHidden/>
    <w:unhideWhenUsed/>
    <w:rsid w:val="00073F52"/>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073F52"/>
    <w:rPr>
      <w:rFonts w:ascii="Tahoma" w:cs="Tahoma" w:hAnsi="Tahoma"/>
      <w:sz w:val="16"/>
      <w:szCs w:val="16"/>
    </w:rPr>
  </w:style>
  <w:style w:styleId="Mkatabulky" w:type="table">
    <w:name w:val="Table Grid"/>
    <w:basedOn w:val="Normlntabulka"/>
    <w:uiPriority w:val="59"/>
    <w:rsid w:val="002B2BAD"/>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Odstavecseseznamem" w:type="paragraph">
    <w:name w:val="List Paragraph"/>
    <w:basedOn w:val="Normln"/>
    <w:uiPriority w:val="34"/>
    <w:qFormat/>
    <w:rsid w:val="002B2BAD"/>
    <w:pPr>
      <w:ind w:left="720"/>
      <w:contextualSpacing/>
    </w:pPr>
  </w:style>
  <w:style w:styleId="Prosttext" w:type="paragraph">
    <w:name w:val="Plain Text"/>
    <w:basedOn w:val="Normln"/>
    <w:link w:val="ProsttextChar"/>
    <w:unhideWhenUsed/>
    <w:rsid w:val="000D2FDE"/>
    <w:pPr>
      <w:spacing w:after="0" w:line="240" w:lineRule="auto"/>
    </w:pPr>
    <w:rPr>
      <w:rFonts w:ascii="Courier New" w:cs="Times New Roman" w:eastAsia="Times New Roman" w:hAnsi="Courier New"/>
      <w:sz w:val="20"/>
      <w:szCs w:val="20"/>
      <w:lang w:eastAsia="x-none" w:val="x-none"/>
    </w:rPr>
  </w:style>
  <w:style w:customStyle="1" w:styleId="ProsttextChar" w:type="character">
    <w:name w:val="Prostý text Char"/>
    <w:basedOn w:val="Standardnpsmoodstavce"/>
    <w:link w:val="Prosttext"/>
    <w:rsid w:val="000D2FDE"/>
    <w:rPr>
      <w:rFonts w:ascii="Courier New" w:cs="Times New Roman" w:eastAsia="Times New Roman" w:hAnsi="Courier New"/>
      <w:sz w:val="20"/>
      <w:szCs w:val="20"/>
      <w:lang w:eastAsia="x-none" w:val="x-none"/>
    </w:rPr>
  </w:style>
  <w:style w:styleId="Zkladntext2" w:type="paragraph">
    <w:name w:val="Body Text 2"/>
    <w:basedOn w:val="Normln"/>
    <w:link w:val="Zkladntext2Char"/>
    <w:rsid w:val="0095047C"/>
    <w:pPr>
      <w:spacing w:after="120" w:line="480" w:lineRule="auto"/>
    </w:pPr>
    <w:rPr>
      <w:rFonts w:ascii="Times New Roman" w:cs="Times New Roman" w:eastAsia="Times New Roman" w:hAnsi="Times New Roman"/>
      <w:sz w:val="24"/>
      <w:szCs w:val="24"/>
      <w:lang w:eastAsia="cs-CZ" w:val="x-none"/>
    </w:rPr>
  </w:style>
  <w:style w:customStyle="1" w:styleId="Zkladntext2Char" w:type="character">
    <w:name w:val="Základní text 2 Char"/>
    <w:basedOn w:val="Standardnpsmoodstavce"/>
    <w:link w:val="Zkladntext2"/>
    <w:rsid w:val="0095047C"/>
    <w:rPr>
      <w:rFonts w:ascii="Times New Roman" w:cs="Times New Roman" w:eastAsia="Times New Roman" w:hAnsi="Times New Roman"/>
      <w:sz w:val="24"/>
      <w:szCs w:val="24"/>
      <w:lang w:eastAsia="cs-CZ" w:val="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04833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files/clanky/6219/D4_Manual_pro_publicitu.pdf" Type="http://schemas.openxmlformats.org/officeDocument/2006/relationships/hyperlink" Id="rId8"/>
    <Relationship Target="header3.xml" Type="http://schemas.openxmlformats.org/officeDocument/2006/relationships/header" Id="rId13"/>
    <Relationship Target="settings.xml" Type="http://schemas.openxmlformats.org/officeDocument/2006/relationships/settings" Id="rId3"/>
    <Relationship TargetMode="External" Target="http://www.esfcr.cz/folder/4628/" Type="http://schemas.openxmlformats.org/officeDocument/2006/relationships/hyperlink" Id="rId7"/>
    <Relationship Target="footer2.xml" Type="http://schemas.openxmlformats.org/officeDocument/2006/relationships/footer" Id="rId12"/>
    <Relationship Target="stylesWithEffects.xml" Type="http://schemas.microsoft.com/office/2007/relationships/stylesWithEffects" Id="rId17"/>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footer1.xml" Type="http://schemas.openxmlformats.org/officeDocument/2006/relationships/footer" Id="rId11"/>
    <Relationship Target="footnotes.xml" Type="http://schemas.openxmlformats.org/officeDocument/2006/relationships/footnotes" Id="rId5"/>
    <Relationship Target="fontTable.xml" Type="http://schemas.openxmlformats.org/officeDocument/2006/relationships/fontTable" Id="rId15"/>
    <Relationship Target="header2.xml" Type="http://schemas.openxmlformats.org/officeDocument/2006/relationships/header" Id="rId10"/>
    <Relationship Target="webSettings.xml" Type="http://schemas.openxmlformats.org/officeDocument/2006/relationships/webSetting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ÚP Liberec</properties:Company>
  <properties:Pages>1</properties:Pages>
  <properties:Words>2329</properties:Words>
  <properties:Characters>13744</properties:Characters>
  <properties:Lines>114</properties:Lines>
  <properties:Paragraphs>32</properties:Paragraphs>
  <properties:TotalTime>216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16041</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2011-12-14T13:11:00Z</dcterms:created>
  <dc:creator/>
  <cp:lastModifiedBy/>
  <dcterms:modified xmlns:xsi="http://www.w3.org/2001/XMLSchema-instance" xsi:type="dcterms:W3CDTF">2012-03-20T10:57:00Z</dcterms:modified>
  <cp:revision>18</cp:revision>
</cp:coreProperties>
</file>