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82EC7" w:rsidR="00C01909" w:rsidP="00782EC7" w:rsidRDefault="00C01909">
      <w:pPr>
        <w:jc w:val="right"/>
        <w:rPr>
          <w:rFonts w:eastAsia="Calibri" w:cs="Arial"/>
          <w:b/>
          <w:color w:val="000000"/>
          <w:lang w:bidi="en-US"/>
        </w:rPr>
      </w:pPr>
      <w:r w:rsidRPr="00782EC7">
        <w:rPr>
          <w:rFonts w:eastAsia="Calibri" w:cs="Arial"/>
          <w:b/>
          <w:color w:val="000000"/>
          <w:lang w:bidi="en-US"/>
        </w:rPr>
        <w:t>Příloh</w:t>
      </w:r>
      <w:r w:rsidRPr="00782EC7" w:rsidR="00782EC7">
        <w:rPr>
          <w:rFonts w:eastAsia="Calibri" w:cs="Arial"/>
          <w:b/>
          <w:color w:val="000000"/>
          <w:lang w:bidi="en-US"/>
        </w:rPr>
        <w:t xml:space="preserve">a č. </w:t>
      </w:r>
      <w:r w:rsidR="009B360A">
        <w:rPr>
          <w:rFonts w:eastAsia="Calibri" w:cs="Arial"/>
          <w:b/>
          <w:color w:val="000000"/>
          <w:lang w:bidi="en-US"/>
        </w:rPr>
        <w:t>9</w:t>
      </w: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  <w:r w:rsidRPr="0066149B">
        <w:rPr>
          <w:rFonts w:eastAsia="Calibri" w:cs="Arial"/>
          <w:b/>
          <w:color w:val="000000"/>
          <w:u w:val="single"/>
          <w:lang w:bidi="en-US"/>
        </w:rPr>
        <w:t>METODIKA PRÁCE PŘI BILANČNÍ DIAGNOSTICE</w:t>
      </w: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 xml:space="preserve">Bilanční diagnostika (dále jen „BDG“) je proces poměrně časově náročný. Sestává ze skupinových a individuálních konzultací, sběru dat, analýzy a syntézy potřebných poznatků. Vychází z pracovní psychologie, psychodiagnostických metod, využívá poznatků z oblasti lidských zdrojů, analýzy a prognózy regionálního trhu práce, konkrétních profesních a anamnestických údajů </w:t>
      </w:r>
      <w:proofErr w:type="gramStart"/>
      <w:r w:rsidRPr="0066149B">
        <w:rPr>
          <w:rFonts w:eastAsia="Calibri" w:cs="Arial"/>
          <w:color w:val="000000"/>
          <w:lang w:bidi="en-US"/>
        </w:rPr>
        <w:t>klienta  a dalších</w:t>
      </w:r>
      <w:proofErr w:type="gramEnd"/>
      <w:r w:rsidRPr="0066149B">
        <w:rPr>
          <w:rFonts w:eastAsia="Calibri" w:cs="Arial"/>
          <w:color w:val="000000"/>
          <w:lang w:bidi="en-US"/>
        </w:rPr>
        <w:t xml:space="preserve"> potřebných údajů.      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Informativní vstupní část</w:t>
      </w:r>
    </w:p>
    <w:p w:rsidRPr="0066149B" w:rsidR="00C01909" w:rsidP="00C01909" w:rsidRDefault="00C01909">
      <w:pPr>
        <w:spacing w:after="120"/>
        <w:ind w:firstLine="708"/>
        <w:jc w:val="both"/>
        <w:rPr>
          <w:rFonts w:cs="Arial"/>
          <w:color w:val="000000"/>
          <w:lang w:eastAsia="cs-CZ"/>
        </w:rPr>
      </w:pPr>
      <w:r w:rsidRPr="0066149B">
        <w:rPr>
          <w:rFonts w:cs="Arial"/>
          <w:color w:val="000000"/>
          <w:lang w:eastAsia="cs-CZ"/>
        </w:rPr>
        <w:t xml:space="preserve">Vysvětlení klientovi, čeho se BDG týká, co pro něho může znamenat, jaké postupné kroky budou po sobě následovat, jaké očekávané výsledky může klient využít. Součástí tohoto vstupního bloku je i působení na motivační složku klienta, na jeho iniciativu, aktivitu a osobní angažovanost. </w:t>
      </w:r>
    </w:p>
    <w:p w:rsidRPr="0066149B" w:rsidR="00C01909" w:rsidP="00C01909" w:rsidRDefault="00C01909">
      <w:pPr>
        <w:spacing w:after="120"/>
        <w:jc w:val="both"/>
        <w:rPr>
          <w:rFonts w:cs="Arial"/>
          <w:color w:val="000000"/>
          <w:lang w:eastAsia="cs-CZ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Sběr dat</w:t>
      </w:r>
    </w:p>
    <w:p w:rsidRPr="0066149B" w:rsidR="00C01909" w:rsidP="00C01909" w:rsidRDefault="00C01909">
      <w:pPr>
        <w:spacing w:after="120"/>
        <w:ind w:firstLine="360"/>
        <w:jc w:val="both"/>
        <w:rPr>
          <w:rFonts w:cs="Arial"/>
          <w:color w:val="000000"/>
          <w:lang w:eastAsia="cs-CZ"/>
        </w:rPr>
      </w:pPr>
      <w:r w:rsidRPr="0066149B">
        <w:rPr>
          <w:rFonts w:cs="Arial"/>
          <w:color w:val="000000"/>
          <w:lang w:eastAsia="cs-CZ"/>
        </w:rPr>
        <w:t>Jedná se o posouzení jak subjektivně vnímaných, tak i objektivně zjištěných údajů o klientovi,</w:t>
      </w:r>
      <w:r w:rsidR="009B360A">
        <w:rPr>
          <w:rFonts w:cs="Arial"/>
          <w:color w:val="000000"/>
          <w:lang w:eastAsia="cs-CZ"/>
        </w:rPr>
        <w:t xml:space="preserve"> </w:t>
      </w:r>
      <w:r w:rsidRPr="0066149B">
        <w:rPr>
          <w:rFonts w:cs="Arial"/>
          <w:color w:val="000000"/>
          <w:lang w:eastAsia="cs-CZ"/>
        </w:rPr>
        <w:t xml:space="preserve">většinou sejmutých písemnou formou při využití skupinových aktivit: </w:t>
      </w:r>
    </w:p>
    <w:p w:rsidRPr="0066149B" w:rsidR="00C01909" w:rsidP="00C01909" w:rsidRDefault="00C01909">
      <w:pPr>
        <w:numPr>
          <w:ilvl w:val="0"/>
          <w:numId w:val="1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Sebehodnocení,</w:t>
      </w:r>
    </w:p>
    <w:p w:rsidRPr="0066149B" w:rsidR="00C01909" w:rsidP="00C01909" w:rsidRDefault="00C01909">
      <w:pPr>
        <w:numPr>
          <w:ilvl w:val="0"/>
          <w:numId w:val="1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test schopností,</w:t>
      </w:r>
    </w:p>
    <w:p w:rsidRPr="0066149B" w:rsidR="00C01909" w:rsidP="00C01909" w:rsidRDefault="00C01909">
      <w:pPr>
        <w:numPr>
          <w:ilvl w:val="0"/>
          <w:numId w:val="1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osobnostní dotazníky,</w:t>
      </w:r>
    </w:p>
    <w:p w:rsidRPr="0066149B" w:rsidR="00C01909" w:rsidP="00C01909" w:rsidRDefault="00C01909">
      <w:pPr>
        <w:numPr>
          <w:ilvl w:val="0"/>
          <w:numId w:val="1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výkonové testy,</w:t>
      </w:r>
    </w:p>
    <w:p w:rsidRPr="0066149B" w:rsidR="00C01909" w:rsidP="00C01909" w:rsidRDefault="00C01909">
      <w:pPr>
        <w:numPr>
          <w:ilvl w:val="0"/>
          <w:numId w:val="1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projektivní techniky.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Individuální rozhovor</w:t>
      </w:r>
    </w:p>
    <w:p w:rsidRPr="0066149B" w:rsidR="00C01909" w:rsidP="00C01909" w:rsidRDefault="00C01909">
      <w:pPr>
        <w:spacing w:after="120"/>
        <w:ind w:firstLine="708"/>
        <w:jc w:val="both"/>
        <w:rPr>
          <w:rFonts w:cs="Arial"/>
          <w:color w:val="000000"/>
          <w:lang w:eastAsia="cs-CZ"/>
        </w:rPr>
      </w:pPr>
      <w:r w:rsidRPr="0066149B">
        <w:rPr>
          <w:rFonts w:cs="Arial"/>
          <w:color w:val="000000"/>
          <w:lang w:eastAsia="cs-CZ"/>
        </w:rPr>
        <w:t xml:space="preserve">Slouží k doplnění potřebných údajů o klientovi, zjištění jeho postojů, zájmů, pracovní motivace, kompetencí, profesních zkušeností, rodinného zázemí, atd. </w:t>
      </w: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 xml:space="preserve">I v průběhu individuálního rozhovoru je znovu třeba působit na klientovu motivaci, posilovat jeho sebevědomí, vytvářet podmínky k pozitivnímu náhledu na jeho uplatnění na trhu práce. Může zde být i prostor pro orientaci v prvních návrzích možných „projektů“ řešení individuální situace klienta. 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Vytvoření strategie</w:t>
      </w:r>
    </w:p>
    <w:p w:rsidRPr="0066149B" w:rsidR="00C01909" w:rsidP="00C01909" w:rsidRDefault="00C01909">
      <w:pPr>
        <w:spacing w:after="120"/>
        <w:ind w:firstLine="708"/>
        <w:jc w:val="both"/>
        <w:rPr>
          <w:rFonts w:cs="Arial"/>
          <w:color w:val="000000"/>
          <w:lang w:eastAsia="cs-CZ"/>
        </w:rPr>
      </w:pPr>
      <w:r w:rsidRPr="0066149B">
        <w:rPr>
          <w:rFonts w:cs="Arial"/>
          <w:color w:val="000000"/>
          <w:lang w:eastAsia="cs-CZ"/>
        </w:rPr>
        <w:t>Poradce na základě zjištěných údajů o klientovi svou diagnostickou úvahou vytváří prioritní projek</w:t>
      </w:r>
      <w:r w:rsidR="008D2F65">
        <w:rPr>
          <w:rFonts w:cs="Arial"/>
          <w:color w:val="000000"/>
          <w:lang w:eastAsia="cs-CZ"/>
        </w:rPr>
        <w:t>ty pro klienta. Jsou zpracovány</w:t>
      </w:r>
      <w:r w:rsidRPr="0066149B">
        <w:rPr>
          <w:rFonts w:cs="Arial"/>
          <w:color w:val="000000"/>
          <w:lang w:eastAsia="cs-CZ"/>
        </w:rPr>
        <w:t xml:space="preserve"> variantním způsobem.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Závěrečný individuální rozhovor</w:t>
      </w: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 xml:space="preserve">Konzultace nad navrženými projekty je finální fází BDG. S těmito variantami řešení by se měl klient plně identifikovat. Musí mít pocit, že vytypované prioritní oblasti vycházejí z něho, jsou produktem jeho myšlení, jeho rozhodnutí. 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Doporučená časová dotace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Práce s klientem: 16 hod</w:t>
      </w:r>
    </w:p>
    <w:p w:rsidRPr="0066149B" w:rsidR="00C01909" w:rsidP="00C01909" w:rsidRDefault="00C01909">
      <w:pPr>
        <w:numPr>
          <w:ilvl w:val="0"/>
          <w:numId w:val="2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vstupní pohovor (zájmy, motivace, profesní kariéra)</w:t>
      </w:r>
    </w:p>
    <w:p w:rsidRPr="0066149B" w:rsidR="00C01909" w:rsidP="00C01909" w:rsidRDefault="00C01909">
      <w:pPr>
        <w:numPr>
          <w:ilvl w:val="0"/>
          <w:numId w:val="2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 xml:space="preserve">testování – </w:t>
      </w:r>
      <w:r w:rsidR="00CC3495">
        <w:rPr>
          <w:rFonts w:eastAsia="Calibri" w:cs="Arial"/>
          <w:color w:val="000000"/>
          <w:lang w:bidi="en-US"/>
        </w:rPr>
        <w:t>vhodný</w:t>
      </w:r>
      <w:r w:rsidR="00972305">
        <w:rPr>
          <w:rFonts w:eastAsia="Calibri" w:cs="Arial"/>
          <w:color w:val="000000"/>
          <w:lang w:bidi="en-US"/>
        </w:rPr>
        <w:t xml:space="preserve"> </w:t>
      </w:r>
      <w:r w:rsidRPr="0066149B">
        <w:rPr>
          <w:rFonts w:eastAsia="Calibri" w:cs="Arial"/>
          <w:color w:val="000000"/>
          <w:lang w:bidi="en-US"/>
        </w:rPr>
        <w:t>software a další psychodiagnostické metody</w:t>
      </w:r>
    </w:p>
    <w:p w:rsidRPr="0066149B" w:rsidR="00C01909" w:rsidP="00C01909" w:rsidRDefault="00C01909">
      <w:pPr>
        <w:numPr>
          <w:ilvl w:val="0"/>
          <w:numId w:val="2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vyhodnocení testů a zjištění anamnestických údajů o klientovi</w:t>
      </w:r>
    </w:p>
    <w:p w:rsidRPr="0066149B" w:rsidR="00C01909" w:rsidP="00C01909" w:rsidRDefault="00C01909">
      <w:pPr>
        <w:numPr>
          <w:ilvl w:val="0"/>
          <w:numId w:val="2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závěrečný pohovor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Interpretace a vypracování zprávy pro úřad práce: 2 – 4 hod.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Celkem 18 – 20 hod.</w:t>
      </w:r>
      <w:bookmarkStart w:name="_GoBack" w:id="0"/>
      <w:bookmarkEnd w:id="0"/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lastRenderedPageBreak/>
        <w:t xml:space="preserve">Individuální práci s klientem mohou předcházet skupinové aktivity zaměřené na motivačně </w:t>
      </w:r>
      <w:proofErr w:type="spellStart"/>
      <w:r w:rsidRPr="0066149B">
        <w:rPr>
          <w:rFonts w:eastAsia="Calibri" w:cs="Arial"/>
          <w:color w:val="000000"/>
          <w:lang w:bidi="en-US"/>
        </w:rPr>
        <w:t>sebereflektivní</w:t>
      </w:r>
      <w:proofErr w:type="spellEnd"/>
      <w:r w:rsidRPr="0066149B">
        <w:rPr>
          <w:rFonts w:eastAsia="Calibri" w:cs="Arial"/>
          <w:color w:val="000000"/>
          <w:lang w:bidi="en-US"/>
        </w:rPr>
        <w:t xml:space="preserve"> část s využitím prvků skupinové dynamiky. Doporučený rozsah skupinové práce je 10 hod.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Tento počet hodin je možno rozšířit v závislosti na „obtížnosti klienta“ (skupiny). Například dlouhodobě nezaměstnaní bez vzdělání apod.</w:t>
      </w: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  <w:r w:rsidRPr="0066149B">
        <w:rPr>
          <w:rFonts w:eastAsia="Calibri" w:cs="Arial"/>
          <w:b/>
          <w:color w:val="000000"/>
          <w:u w:val="single"/>
          <w:lang w:bidi="en-US"/>
        </w:rPr>
        <w:t>VÝSTUPY BDG</w:t>
      </w: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Výstupem poradenského procesu BDG je „Závěrečná zpráva bilanční diagnostiky“, která je pro klienta dokumentem, kter</w:t>
      </w:r>
      <w:r w:rsidR="008D2F65">
        <w:rPr>
          <w:rFonts w:eastAsia="Calibri" w:cs="Arial"/>
          <w:color w:val="000000"/>
          <w:lang w:bidi="en-US"/>
        </w:rPr>
        <w:t>ý mu má usnadnit</w:t>
      </w:r>
      <w:r w:rsidRPr="0066149B">
        <w:rPr>
          <w:rFonts w:eastAsia="Calibri" w:cs="Arial"/>
          <w:color w:val="000000"/>
          <w:lang w:bidi="en-US"/>
        </w:rPr>
        <w:t xml:space="preserve"> orientaci v jeho předpokladech, silných stránkách osobnosti, případně vhodných postupech k nalezení pracovní příležitosti. Umožní mu však i orientaci v jeho případných nedostatcích, </w:t>
      </w:r>
      <w:r w:rsidR="008D2F65">
        <w:rPr>
          <w:rFonts w:eastAsia="Calibri" w:cs="Arial"/>
          <w:color w:val="000000"/>
          <w:lang w:bidi="en-US"/>
        </w:rPr>
        <w:t>rezervách, či nevhodných řešení</w:t>
      </w:r>
      <w:r w:rsidRPr="0066149B">
        <w:rPr>
          <w:rFonts w:eastAsia="Calibri" w:cs="Arial"/>
          <w:color w:val="000000"/>
          <w:lang w:bidi="en-US"/>
        </w:rPr>
        <w:t xml:space="preserve"> další profesní dráhy.</w:t>
      </w: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Závěrečnou zprávu, výstupy BDG u externích organizací, podepisuje vždy jen psycholog uvedený ve schváleném Evidenčním listu, který má povoleno vykonávat tuto činnost, i když BDG vykonává další psycholog. Garant ručí za kvalitu a dodržování příslušných vydaných norem Sekce politiky zaměstnanosti a trhu práce MPSV.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Závěrečnou zprávu může klient využít pro eventuální doložení jeho vhodnosti pro poptávanou profesi při</w:t>
      </w:r>
    </w:p>
    <w:p w:rsidRPr="0066149B" w:rsidR="00C01909" w:rsidP="00C01909" w:rsidRDefault="00C01909">
      <w:pPr>
        <w:numPr>
          <w:ilvl w:val="0"/>
          <w:numId w:val="3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jednání s konkrétním zaměstnavatelem</w:t>
      </w:r>
    </w:p>
    <w:p w:rsidRPr="0066149B" w:rsidR="00C01909" w:rsidP="00C01909" w:rsidRDefault="00C01909">
      <w:pPr>
        <w:numPr>
          <w:ilvl w:val="0"/>
          <w:numId w:val="3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účasti na výběrovém řízení</w:t>
      </w: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  <w:r w:rsidRPr="0066149B">
        <w:rPr>
          <w:rFonts w:eastAsia="Calibri" w:cs="Arial"/>
          <w:b/>
          <w:color w:val="000000"/>
          <w:u w:val="single"/>
          <w:lang w:bidi="en-US"/>
        </w:rPr>
        <w:t xml:space="preserve">Komplexní závěrečná zpráva o BDG je vlastnictvím pouze a jenom </w:t>
      </w:r>
      <w:proofErr w:type="gramStart"/>
      <w:r w:rsidRPr="0066149B">
        <w:rPr>
          <w:rFonts w:eastAsia="Calibri" w:cs="Arial"/>
          <w:b/>
          <w:color w:val="000000"/>
          <w:u w:val="single"/>
          <w:lang w:bidi="en-US"/>
        </w:rPr>
        <w:t>klienta !!!</w:t>
      </w:r>
      <w:proofErr w:type="gramEnd"/>
    </w:p>
    <w:p w:rsidRPr="0066149B" w:rsidR="00C01909" w:rsidP="00C01909" w:rsidRDefault="00C01909">
      <w:pPr>
        <w:spacing w:after="120"/>
        <w:ind w:firstLine="708"/>
        <w:jc w:val="both"/>
        <w:rPr>
          <w:rFonts w:cs="Arial"/>
          <w:color w:val="000000"/>
          <w:lang w:eastAsia="cs-CZ"/>
        </w:rPr>
      </w:pPr>
    </w:p>
    <w:p w:rsidRPr="0066149B" w:rsidR="00C01909" w:rsidP="00C01909" w:rsidRDefault="00C01909">
      <w:pPr>
        <w:spacing w:after="120"/>
        <w:ind w:firstLine="708"/>
        <w:jc w:val="both"/>
        <w:rPr>
          <w:rFonts w:cs="Arial"/>
          <w:color w:val="000000"/>
          <w:lang w:eastAsia="cs-CZ"/>
        </w:rPr>
      </w:pPr>
      <w:r w:rsidRPr="0066149B">
        <w:rPr>
          <w:rFonts w:cs="Arial"/>
          <w:color w:val="000000"/>
          <w:lang w:eastAsia="cs-CZ"/>
        </w:rPr>
        <w:t xml:space="preserve">Úřad práce, který je zadavatelem poradenského procesu BDG a úřad práce, u kterého je klient evidován, dostávají k dispozici „Závěrečnou zprávu“, která obsahuje všechna tvrdá data o klientovi (anamnestické a profesní údaje, rámcově zdravotní stav, vzdělání a kvalifikace) plus závěrečná doporučení a směry, kterými se má klient, ale i poradenský pracovník ÚP řídit. 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ind w:firstLine="708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 xml:space="preserve">Na základě těchto doporučení může potom ÚP využívat další poradenské aktivity, jako </w:t>
      </w:r>
      <w:proofErr w:type="gramStart"/>
      <w:r w:rsidRPr="0066149B">
        <w:rPr>
          <w:rFonts w:eastAsia="Calibri" w:cs="Arial"/>
          <w:color w:val="000000"/>
          <w:lang w:bidi="en-US"/>
        </w:rPr>
        <w:t>jsou :</w:t>
      </w:r>
      <w:proofErr w:type="gramEnd"/>
    </w:p>
    <w:p w:rsidRPr="0066149B" w:rsidR="00C01909" w:rsidP="00C01909" w:rsidRDefault="00C01909">
      <w:pPr>
        <w:numPr>
          <w:ilvl w:val="0"/>
          <w:numId w:val="4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intenzivní individuální poradenský proces,</w:t>
      </w:r>
    </w:p>
    <w:p w:rsidRPr="0066149B" w:rsidR="00C01909" w:rsidP="00C01909" w:rsidRDefault="00C01909">
      <w:pPr>
        <w:numPr>
          <w:ilvl w:val="0"/>
          <w:numId w:val="4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 xml:space="preserve">účast na Job </w:t>
      </w:r>
      <w:proofErr w:type="spellStart"/>
      <w:r w:rsidRPr="0066149B">
        <w:rPr>
          <w:rFonts w:eastAsia="Calibri" w:cs="Arial"/>
          <w:color w:val="000000"/>
          <w:lang w:bidi="en-US"/>
        </w:rPr>
        <w:t>clubových</w:t>
      </w:r>
      <w:proofErr w:type="spellEnd"/>
      <w:r w:rsidRPr="0066149B">
        <w:rPr>
          <w:rFonts w:eastAsia="Calibri" w:cs="Arial"/>
          <w:color w:val="000000"/>
          <w:lang w:bidi="en-US"/>
        </w:rPr>
        <w:t xml:space="preserve"> aktivitách,</w:t>
      </w:r>
    </w:p>
    <w:p w:rsidRPr="0066149B" w:rsidR="00C01909" w:rsidP="00C01909" w:rsidRDefault="00C01909">
      <w:pPr>
        <w:numPr>
          <w:ilvl w:val="0"/>
          <w:numId w:val="4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rekvalifikační aktivity,</w:t>
      </w:r>
    </w:p>
    <w:p w:rsidRPr="0066149B" w:rsidR="00C01909" w:rsidP="00C01909" w:rsidRDefault="00C01909">
      <w:pPr>
        <w:numPr>
          <w:ilvl w:val="0"/>
          <w:numId w:val="4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zvýšení či rozšíření stávající, případně získání nové kvalifikace formou dalšího studia,</w:t>
      </w:r>
    </w:p>
    <w:p w:rsidRPr="0066149B" w:rsidR="00C01909" w:rsidP="00C01909" w:rsidRDefault="00C01909">
      <w:pPr>
        <w:numPr>
          <w:ilvl w:val="0"/>
          <w:numId w:val="4"/>
        </w:num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další nástroje aktivní politiky zaměstnanosti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Pr="0066149B" w:rsidR="00230A13" w:rsidP="00C01909" w:rsidRDefault="00230A13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u w:val="single"/>
          <w:lang w:bidi="en-US"/>
        </w:rPr>
      </w:pPr>
      <w:proofErr w:type="gramStart"/>
      <w:r>
        <w:rPr>
          <w:rFonts w:eastAsia="Calibri" w:cs="Arial"/>
          <w:b/>
          <w:color w:val="000000"/>
          <w:u w:val="single"/>
          <w:lang w:bidi="en-US"/>
        </w:rPr>
        <w:t>C</w:t>
      </w:r>
      <w:r w:rsidRPr="0066149B">
        <w:rPr>
          <w:rFonts w:eastAsia="Calibri" w:cs="Arial"/>
          <w:b/>
          <w:color w:val="000000"/>
          <w:u w:val="single"/>
          <w:lang w:bidi="en-US"/>
        </w:rPr>
        <w:t xml:space="preserve"> H A R T A  K V A  L I T Y</w:t>
      </w:r>
      <w:proofErr w:type="gramEnd"/>
      <w:r w:rsidRPr="0066149B">
        <w:rPr>
          <w:rFonts w:eastAsia="Calibri" w:cs="Arial"/>
          <w:b/>
          <w:color w:val="000000"/>
          <w:u w:val="single"/>
          <w:lang w:bidi="en-US"/>
        </w:rPr>
        <w:t xml:space="preserve"> </w:t>
      </w:r>
    </w:p>
    <w:p w:rsidRPr="0066149B" w:rsidR="00C01909" w:rsidP="00C01909" w:rsidRDefault="00C01909">
      <w:pPr>
        <w:spacing w:after="120"/>
        <w:ind w:firstLine="708"/>
        <w:jc w:val="both"/>
        <w:rPr>
          <w:rFonts w:cs="Arial"/>
          <w:color w:val="000000"/>
          <w:lang w:eastAsia="cs-CZ"/>
        </w:rPr>
      </w:pPr>
      <w:r w:rsidRPr="0066149B">
        <w:rPr>
          <w:rFonts w:cs="Arial"/>
          <w:color w:val="000000"/>
          <w:lang w:eastAsia="cs-CZ"/>
        </w:rPr>
        <w:t xml:space="preserve">Pro zachování jednotných výstupů z poradenského procesu BDG a jejich vysoké kvalitativní úrovně, a tedy i praktické využitelnosti, byla zpracována tzv. </w:t>
      </w:r>
      <w:r w:rsidRPr="0066149B">
        <w:rPr>
          <w:rFonts w:cs="Arial"/>
          <w:b/>
          <w:color w:val="000000"/>
          <w:lang w:eastAsia="cs-CZ"/>
        </w:rPr>
        <w:t>Charta kvality</w:t>
      </w:r>
      <w:r w:rsidRPr="0066149B">
        <w:rPr>
          <w:rFonts w:cs="Arial"/>
          <w:color w:val="000000"/>
          <w:lang w:eastAsia="cs-CZ"/>
        </w:rPr>
        <w:t xml:space="preserve">. Jedná se o soubor kriterií, jejichž dodržování bude předmětem kontroly. Každý subjekt poskytující služby v oblasti </w:t>
      </w:r>
      <w:proofErr w:type="gramStart"/>
      <w:r w:rsidRPr="0066149B">
        <w:rPr>
          <w:rFonts w:cs="Arial"/>
          <w:color w:val="000000"/>
          <w:lang w:eastAsia="cs-CZ"/>
        </w:rPr>
        <w:t>poradenského  procesu</w:t>
      </w:r>
      <w:proofErr w:type="gramEnd"/>
      <w:r w:rsidRPr="0066149B">
        <w:rPr>
          <w:rFonts w:cs="Arial"/>
          <w:color w:val="000000"/>
          <w:lang w:eastAsia="cs-CZ"/>
        </w:rPr>
        <w:t xml:space="preserve"> BDG se zavazuje tuto Chartu kvality dodržovat. </w:t>
      </w: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u w:val="single"/>
          <w:lang w:bidi="en-US"/>
        </w:rPr>
      </w:pPr>
      <w:r w:rsidRPr="0066149B">
        <w:rPr>
          <w:rFonts w:eastAsia="Calibri" w:cs="Arial"/>
          <w:b/>
          <w:color w:val="000000"/>
          <w:u w:val="single"/>
          <w:lang w:bidi="en-US"/>
        </w:rPr>
        <w:t>Charta kvality má devět bodů, které se týkají jednotlivých oblastí činnosti: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1. Struktura a organizace BDG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Je plně přizpůsobena potřebám BDG a to v prostorovém uspořádání a vybavení.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Personální vybavení plně odpovídá potřebám BDG a je v souladu s „metodikou“.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Všechny používané prostředky, testy, metodické pomůcky, softwarové vybavení atd. jsou pouze legálního původu.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Nositel BDG je otevřen širokému okolí, odkud čerpá nejnovější poznatky a sám dává k dispozici aktuální dokumentární zdroje.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2. Lidské zdroje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Za odborné zpracování BDG je zodpovědný psycholog, který úzce spolupracuje s dalšími odborníky.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Cílem BDG je vždy klient, je v zájmu nositele BDG neustálé zkvalitňování poskytovaných služeb a to především neustálým vzděláváním všech zúčastněných, aktivním získáváním nejnovějších poznatků a účastí na odborných akcích týkajících se BDG.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3. Klientela BDG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Nositel BDG je povinen chránit všechny údaje o klientovi, a pracovat vždy podle etických norem, kodexu psychologa ve veřejných službách zaměstnanosti a kodexu poradce.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Při provádění BDG je nositel povinen přísně dbát všech zákonných norem a právních úprav.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4. Nositel BDG má vždy poradní a podpůrnou roli, klient je aktivním prvkem BDG.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5. Prováděná BDG musí být u každého klienta výrazně individuální.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6. Pro každého klienta musí být stanoven reálný akční plán profesního uplatnění klienta.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Klient musí být se závěry a akčním plánem srozumitelně seznámen včetně časových předpokladů a dílčích aktivit.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Klient sám nese zodpovědnost za realizaci akčního plánu.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7. Závěrečná zpráva musí odpovídat požadavkům metodiky.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Závěrečná zpráva je majetkem klienta a může být využita pouze v jeho prospěch a s jeho souhlasem.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8. BDG může být předmětem odborné a věcné kontroly pro zlepšování kvality procesu.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Kontrolu může provádět pouze metodické pracoviště bilanční diagnostiky nebo v případě externí služby zadavatel (případně v součinnosti obou). Po dohodě s MPSV je možno dočasně pověřit touto činností další subjekt.</w:t>
      </w:r>
    </w:p>
    <w:p w:rsidRPr="0066149B" w:rsidR="00C01909" w:rsidP="00C01909" w:rsidRDefault="00C01909">
      <w:pPr>
        <w:jc w:val="both"/>
        <w:rPr>
          <w:rFonts w:eastAsia="Calibri" w:cs="Arial"/>
          <w:color w:val="000000"/>
          <w:lang w:bidi="en-US"/>
        </w:rPr>
      </w:pPr>
    </w:p>
    <w:p w:rsidRPr="0066149B" w:rsidR="00C01909" w:rsidP="00C01909" w:rsidRDefault="00C01909">
      <w:pPr>
        <w:spacing w:after="120"/>
        <w:jc w:val="both"/>
        <w:rPr>
          <w:rFonts w:eastAsia="Calibri" w:cs="Arial"/>
          <w:b/>
          <w:color w:val="000000"/>
          <w:lang w:bidi="en-US"/>
        </w:rPr>
      </w:pPr>
      <w:r w:rsidRPr="0066149B">
        <w:rPr>
          <w:rFonts w:eastAsia="Calibri" w:cs="Arial"/>
          <w:b/>
          <w:color w:val="000000"/>
          <w:lang w:bidi="en-US"/>
        </w:rPr>
        <w:t>9. Nositel BDG je povinen neustále dodržovat kvalitu poskytované služby.</w:t>
      </w:r>
    </w:p>
    <w:p w:rsidR="00C01909" w:rsidP="00C01909" w:rsidRDefault="00C01909">
      <w:pPr>
        <w:rPr>
          <w:rFonts w:eastAsia="Calibri" w:cs="Arial"/>
          <w:color w:val="000000"/>
          <w:lang w:bidi="en-US"/>
        </w:rPr>
      </w:pPr>
      <w:r w:rsidRPr="0066149B">
        <w:rPr>
          <w:rFonts w:eastAsia="Calibri" w:cs="Arial"/>
          <w:color w:val="000000"/>
          <w:lang w:bidi="en-US"/>
        </w:rPr>
        <w:t>- BDG je především a pouze poradenský proces a služba klientovi.</w:t>
      </w:r>
    </w:p>
    <w:p w:rsidR="00C01909" w:rsidP="00C01909" w:rsidRDefault="00C01909">
      <w:pPr>
        <w:rPr>
          <w:rFonts w:eastAsia="Calibri" w:cs="Arial"/>
          <w:color w:val="000000"/>
          <w:lang w:bidi="en-US"/>
        </w:rPr>
      </w:pPr>
    </w:p>
    <w:p w:rsidR="00C01909" w:rsidP="00C01909" w:rsidRDefault="00C01909">
      <w:pPr>
        <w:rPr>
          <w:rFonts w:eastAsia="Calibri" w:cs="Arial"/>
          <w:color w:val="000000"/>
          <w:lang w:bidi="en-US"/>
        </w:rPr>
      </w:pPr>
    </w:p>
    <w:p w:rsidR="00C01909" w:rsidP="00C01909" w:rsidRDefault="00C01909">
      <w:pPr>
        <w:rPr>
          <w:rFonts w:eastAsia="Calibri" w:cs="Arial"/>
          <w:color w:val="000000"/>
          <w:lang w:bidi="en-US"/>
        </w:rPr>
      </w:pPr>
    </w:p>
    <w:p w:rsidR="00C01909" w:rsidP="00C01909" w:rsidRDefault="00C01909">
      <w:pPr>
        <w:rPr>
          <w:rFonts w:eastAsia="Calibri" w:cs="Arial"/>
          <w:color w:val="000000"/>
          <w:lang w:bidi="en-US"/>
        </w:rPr>
      </w:pPr>
    </w:p>
    <w:p w:rsidR="00C01909" w:rsidP="00C01909" w:rsidRDefault="00C01909">
      <w:pPr>
        <w:rPr>
          <w:rFonts w:eastAsia="Calibri" w:cs="Arial"/>
          <w:color w:val="000000"/>
          <w:lang w:bidi="en-US"/>
        </w:rPr>
      </w:pPr>
    </w:p>
    <w:p w:rsidR="00736971" w:rsidRDefault="00736971"/>
    <w:sectPr w:rsidR="00736971" w:rsidSect="00A62707">
      <w:headerReference w:type="default" r:id="rId8"/>
      <w:footerReference w:type="default" r:id="rId9"/>
      <w:headerReference w:type="first" r:id="rId10"/>
      <w:pgSz w:w="11906" w:h="16838" w:code="9"/>
      <w:pgMar w:top="1665" w:right="1418" w:bottom="1418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B1CE5" w:rsidRDefault="007B1CE5">
      <w:r>
        <w:separator/>
      </w:r>
    </w:p>
  </w:endnote>
  <w:endnote w:type="continuationSeparator" w:id="0">
    <w:p w:rsidR="007B1CE5" w:rsidRDefault="007B1CE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00B7" w:rsidP="00915AEA" w:rsidRDefault="00230A13">
    <w:pPr>
      <w:pStyle w:val="Zpat"/>
      <w:rPr>
        <w:sz w:val="18"/>
        <w:szCs w:val="18"/>
      </w:rPr>
    </w:pPr>
    <w:r w:rsidRPr="00683E79">
      <w:rPr>
        <w:sz w:val="18"/>
        <w:szCs w:val="18"/>
      </w:rPr>
      <w:t>Zadávací dokumentace</w:t>
    </w:r>
  </w:p>
  <w:p w:rsidRPr="00683E79" w:rsidR="00CF00B7" w:rsidP="00915AEA" w:rsidRDefault="00230A13">
    <w:pPr>
      <w:pStyle w:val="Zpat"/>
      <w:rPr>
        <w:sz w:val="18"/>
        <w:szCs w:val="18"/>
      </w:rPr>
    </w:pPr>
    <w:r w:rsidRPr="00683E79">
      <w:rPr>
        <w:sz w:val="18"/>
        <w:szCs w:val="18"/>
      </w:rPr>
      <w:t>Realizace rekvalifikací a pora</w:t>
    </w:r>
    <w:r>
      <w:rPr>
        <w:sz w:val="18"/>
        <w:szCs w:val="18"/>
      </w:rPr>
      <w:t>denských činností pro ÚP ČR, Krajská pobočka v Ústí nad Labem</w:t>
    </w:r>
    <w:r>
      <w:rPr>
        <w:sz w:val="18"/>
        <w:szCs w:val="18"/>
      </w:rPr>
      <w:tab/>
      <w:t xml:space="preserve">        </w:t>
    </w:r>
    <w:r w:rsidRPr="00683E79">
      <w:rPr>
        <w:i/>
        <w:sz w:val="18"/>
        <w:szCs w:val="18"/>
      </w:rPr>
      <w:t xml:space="preserve">strana </w:t>
    </w:r>
    <w:r w:rsidRPr="00683E79" w:rsidR="009E4007">
      <w:rPr>
        <w:rStyle w:val="slostrnky"/>
        <w:i/>
        <w:sz w:val="18"/>
        <w:szCs w:val="18"/>
      </w:rPr>
      <w:fldChar w:fldCharType="begin"/>
    </w:r>
    <w:r w:rsidRPr="00683E79">
      <w:rPr>
        <w:rStyle w:val="slostrnky"/>
        <w:i/>
        <w:sz w:val="18"/>
        <w:szCs w:val="18"/>
      </w:rPr>
      <w:instrText xml:space="preserve"> PAGE </w:instrText>
    </w:r>
    <w:r w:rsidRPr="00683E79" w:rsidR="009E4007">
      <w:rPr>
        <w:rStyle w:val="slostrnky"/>
        <w:i/>
        <w:sz w:val="18"/>
        <w:szCs w:val="18"/>
      </w:rPr>
      <w:fldChar w:fldCharType="separate"/>
    </w:r>
    <w:r w:rsidR="00972305">
      <w:rPr>
        <w:rStyle w:val="slostrnky"/>
        <w:i/>
        <w:noProof/>
        <w:sz w:val="18"/>
        <w:szCs w:val="18"/>
      </w:rPr>
      <w:t>3</w:t>
    </w:r>
    <w:r w:rsidRPr="00683E79" w:rsidR="009E4007">
      <w:rPr>
        <w:rStyle w:val="slostrnky"/>
        <w:i/>
        <w:sz w:val="18"/>
        <w:szCs w:val="18"/>
      </w:rPr>
      <w:fldChar w:fldCharType="end"/>
    </w:r>
    <w:r w:rsidRPr="00683E79">
      <w:rPr>
        <w:rStyle w:val="slostrnky"/>
        <w:i/>
        <w:sz w:val="18"/>
        <w:szCs w:val="18"/>
      </w:rPr>
      <w:t xml:space="preserve"> (celkem</w:t>
    </w:r>
    <w:r>
      <w:rPr>
        <w:rStyle w:val="slostrnky"/>
        <w:i/>
        <w:sz w:val="18"/>
        <w:szCs w:val="18"/>
      </w:rPr>
      <w:t xml:space="preserve"> </w:t>
    </w:r>
    <w:r w:rsidRPr="00683E79" w:rsidR="009E4007">
      <w:rPr>
        <w:rStyle w:val="slostrnky"/>
        <w:i/>
        <w:sz w:val="18"/>
        <w:szCs w:val="18"/>
      </w:rPr>
      <w:fldChar w:fldCharType="begin"/>
    </w:r>
    <w:r w:rsidRPr="00683E79">
      <w:rPr>
        <w:rStyle w:val="slostrnky"/>
        <w:i/>
        <w:sz w:val="18"/>
        <w:szCs w:val="18"/>
      </w:rPr>
      <w:instrText xml:space="preserve"> NUMPAGES </w:instrText>
    </w:r>
    <w:r w:rsidRPr="00683E79" w:rsidR="009E4007">
      <w:rPr>
        <w:rStyle w:val="slostrnky"/>
        <w:i/>
        <w:sz w:val="18"/>
        <w:szCs w:val="18"/>
      </w:rPr>
      <w:fldChar w:fldCharType="separate"/>
    </w:r>
    <w:r w:rsidR="00972305">
      <w:rPr>
        <w:rStyle w:val="slostrnky"/>
        <w:i/>
        <w:noProof/>
        <w:sz w:val="18"/>
        <w:szCs w:val="18"/>
      </w:rPr>
      <w:t>3</w:t>
    </w:r>
    <w:r w:rsidRPr="00683E79" w:rsidR="009E4007">
      <w:rPr>
        <w:rStyle w:val="slostrnky"/>
        <w:i/>
        <w:sz w:val="18"/>
        <w:szCs w:val="18"/>
      </w:rPr>
      <w:fldChar w:fldCharType="end"/>
    </w:r>
    <w:r w:rsidRPr="00683E79">
      <w:rPr>
        <w:rStyle w:val="slostrnky"/>
        <w:sz w:val="18"/>
        <w:szCs w:val="18"/>
      </w:rPr>
      <w:t>)</w:t>
    </w:r>
  </w:p>
  <w:p w:rsidR="00CF00B7" w:rsidRDefault="0097230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B1CE5" w:rsidRDefault="007B1CE5">
      <w:r>
        <w:separator/>
      </w:r>
    </w:p>
  </w:footnote>
  <w:footnote w:type="continuationSeparator" w:id="0">
    <w:p w:rsidR="007B1CE5" w:rsidRDefault="007B1CE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00B7" w:rsidP="0072516C" w:rsidRDefault="00A62707"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1895044A" wp14:editId="27D237EB">
          <wp:simplePos x="0" y="0"/>
          <wp:positionH relativeFrom="column">
            <wp:posOffset>-25400</wp:posOffset>
          </wp:positionH>
          <wp:positionV relativeFrom="paragraph">
            <wp:posOffset>-11430</wp:posOffset>
          </wp:positionV>
          <wp:extent cx="5934710" cy="63881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00B7" w:rsidRDefault="00A6270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column">
            <wp:posOffset>-2540</wp:posOffset>
          </wp:positionH>
          <wp:positionV relativeFrom="paragraph">
            <wp:posOffset>-11430</wp:posOffset>
          </wp:positionV>
          <wp:extent cx="5934710" cy="638810"/>
          <wp:effectExtent l="0" t="0" r="0" b="0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8615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44B04CEB"/>
    <w:multiLevelType w:val="hybridMultilevel"/>
    <w:tmpl w:val="C720B1B0"/>
    <w:lvl w:ilvl="0" w:tplc="5ED814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2">
    <w:nsid w:val="4A1830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4CCC6F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909"/>
    <w:rsid w:val="00097F92"/>
    <w:rsid w:val="00104807"/>
    <w:rsid w:val="00134649"/>
    <w:rsid w:val="00230A13"/>
    <w:rsid w:val="003A0962"/>
    <w:rsid w:val="00736971"/>
    <w:rsid w:val="00782EC7"/>
    <w:rsid w:val="007B1CE5"/>
    <w:rsid w:val="008D2F65"/>
    <w:rsid w:val="00972305"/>
    <w:rsid w:val="009B360A"/>
    <w:rsid w:val="009E4007"/>
    <w:rsid w:val="00A62707"/>
    <w:rsid w:val="00C01909"/>
    <w:rsid w:val="00CC3495"/>
    <w:rsid w:val="00D55B8C"/>
    <w:rsid w:val="00F42C0E"/>
    <w:rsid w:val="00F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1909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190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1909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C0190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01909"/>
    <w:rPr>
      <w:rFonts w:ascii="Arial" w:hAnsi="Arial" w:eastAsia="Times New Roman" w:cs="Times New Roman"/>
      <w:sz w:val="20"/>
      <w:szCs w:val="20"/>
    </w:rPr>
  </w:style>
  <w:style w:type="character" w:styleId="slostrnky">
    <w:name w:val="page number"/>
    <w:basedOn w:val="Standardnpsmoodstavce"/>
    <w:rsid w:val="00C01909"/>
  </w:style>
  <w:style w:type="character" w:styleId="Odkaznakoment">
    <w:name w:val="annotation reference"/>
    <w:basedOn w:val="Standardnpsmoodstavce"/>
    <w:uiPriority w:val="99"/>
    <w:semiHidden/>
    <w:unhideWhenUsed/>
    <w:rsid w:val="00134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649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34649"/>
    <w:rPr>
      <w:rFonts w:ascii="Arial" w:hAnsi="Arial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6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34649"/>
    <w:rPr>
      <w:rFonts w:ascii="Arial" w:hAnsi="Arial"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64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34649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986</properties:Words>
  <properties:Characters>5820</properties:Characters>
  <properties:Lines>48</properties:Lines>
  <properties:Paragraphs>13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2013-02-11T14:32:00Z</dcterms:created>
  <dc:creator/>
  <cp:lastModifiedBy/>
  <dcterms:modified xmlns:xsi="http://www.w3.org/2001/XMLSchema-instance" xsi:type="dcterms:W3CDTF">2013-04-02T14:25:00Z</dcterms:modified>
  <cp:revision>7</cp:revision>
</cp:coreProperties>
</file>