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9290C" w:rsidR="00A6254C" w:rsidP="00A6254C" w:rsidRDefault="007C2BD4" w14:paraId="30E8D0E0" w14:textId="77777777">
      <w:pPr>
        <w:pStyle w:val="Bezmezer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9290C">
        <w:rPr>
          <w:rFonts w:ascii="Arial" w:hAnsi="Arial" w:cs="Arial"/>
          <w:b/>
          <w:sz w:val="24"/>
          <w:szCs w:val="24"/>
        </w:rPr>
        <w:t>Časový harmonogram</w:t>
      </w:r>
    </w:p>
    <w:p w:rsidRPr="0048770A" w:rsidR="00A6254C" w:rsidP="00A6254C" w:rsidRDefault="00A6254C" w14:paraId="6C8CBBD7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="00A6254C" w:rsidP="00A6254C" w:rsidRDefault="00A6254C" w14:paraId="0AFBA716" w14:textId="5382C492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487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vypracuje analýzu</w:t>
      </w:r>
      <w:r w:rsidRPr="0048770A">
        <w:rPr>
          <w:rFonts w:ascii="Arial" w:hAnsi="Arial" w:cs="Arial"/>
        </w:rPr>
        <w:t xml:space="preserve"> podle následujícíh</w:t>
      </w:r>
      <w:r>
        <w:rPr>
          <w:rFonts w:ascii="Arial" w:hAnsi="Arial" w:cs="Arial"/>
        </w:rPr>
        <w:t xml:space="preserve">o harmonogramu, tak aby studie a všechny výstupy </w:t>
      </w:r>
      <w:r w:rsidRPr="0048770A">
        <w:rPr>
          <w:rFonts w:ascii="Arial" w:hAnsi="Arial" w:cs="Arial"/>
        </w:rPr>
        <w:t xml:space="preserve">byly odevzdány </w:t>
      </w:r>
      <w:r w:rsidR="00A67160">
        <w:rPr>
          <w:rFonts w:ascii="Arial" w:hAnsi="Arial" w:cs="Arial"/>
        </w:rPr>
        <w:t>Objednateli</w:t>
      </w:r>
      <w:r>
        <w:rPr>
          <w:rFonts w:ascii="Arial" w:hAnsi="Arial" w:cs="Arial"/>
        </w:rPr>
        <w:t xml:space="preserve"> </w:t>
      </w:r>
      <w:r w:rsidRPr="00DE45FD">
        <w:rPr>
          <w:rFonts w:ascii="Arial" w:hAnsi="Arial" w:cs="Arial"/>
        </w:rPr>
        <w:t>nejpozději do</w:t>
      </w:r>
      <w:r w:rsidR="00714A39">
        <w:rPr>
          <w:rFonts w:ascii="Arial" w:hAnsi="Arial" w:cs="Arial"/>
        </w:rPr>
        <w:t xml:space="preserve"> </w:t>
      </w:r>
      <w:r w:rsidR="008C213B">
        <w:rPr>
          <w:rFonts w:ascii="Arial" w:hAnsi="Arial" w:cs="Arial"/>
        </w:rPr>
        <w:t>22 týdnů</w:t>
      </w:r>
      <w:r>
        <w:rPr>
          <w:rFonts w:ascii="Arial" w:hAnsi="Arial" w:cs="Arial"/>
        </w:rPr>
        <w:t xml:space="preserve"> od podpisu smlouvy. </w:t>
      </w:r>
      <w:r w:rsidR="007C2BD4">
        <w:rPr>
          <w:rFonts w:ascii="Arial" w:hAnsi="Arial" w:cs="Arial"/>
        </w:rPr>
        <w:t>Objednatel</w:t>
      </w:r>
      <w:r w:rsidRPr="0048770A">
        <w:rPr>
          <w:rFonts w:ascii="Arial" w:hAnsi="Arial" w:cs="Arial"/>
        </w:rPr>
        <w:t xml:space="preserve"> bude mít možnost průběžně prohl</w:t>
      </w:r>
      <w:r>
        <w:rPr>
          <w:rFonts w:ascii="Arial" w:hAnsi="Arial" w:cs="Arial"/>
        </w:rPr>
        <w:t>ížet/vyhodnocovat jednotlivé dílčí aktivity a výstupy plnění zakázky.</w:t>
      </w:r>
    </w:p>
    <w:p w:rsidR="00A6254C" w:rsidP="00A6254C" w:rsidRDefault="00A6254C" w14:paraId="1291DA42" w14:textId="77777777">
      <w:pPr>
        <w:pStyle w:val="Bezmezer"/>
        <w:contextualSpacing/>
        <w:jc w:val="both"/>
        <w:rPr>
          <w:rFonts w:ascii="Arial" w:hAnsi="Arial" w:cs="Arial"/>
        </w:rPr>
      </w:pPr>
    </w:p>
    <w:p w:rsidRPr="004D2FDF" w:rsidR="00A6254C" w:rsidP="00A6254C" w:rsidRDefault="00A6254C" w14:paraId="793EC305" w14:textId="4322CC52">
      <w:pPr>
        <w:pStyle w:val="Bezmezer"/>
        <w:contextualSpacing/>
        <w:jc w:val="both"/>
        <w:rPr>
          <w:rFonts w:ascii="Arial" w:hAnsi="Arial"/>
          <w:b/>
        </w:rPr>
      </w:pPr>
      <w:r>
        <w:rPr>
          <w:rFonts w:ascii="Arial" w:hAnsi="Arial" w:cs="Arial"/>
        </w:rPr>
        <w:t xml:space="preserve">Předpokládaná délka </w:t>
      </w:r>
      <w:r w:rsidR="007C2BD4">
        <w:rPr>
          <w:rFonts w:ascii="Arial" w:hAnsi="Arial" w:cs="Arial"/>
        </w:rPr>
        <w:t>plnění (</w:t>
      </w:r>
      <w:r>
        <w:rPr>
          <w:rFonts w:ascii="Arial" w:hAnsi="Arial" w:cs="Arial"/>
        </w:rPr>
        <w:t>dílčích aktivit</w:t>
      </w:r>
      <w:r w:rsidR="007C2BD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je stanovena </w:t>
      </w:r>
      <w:r w:rsidR="007C2BD4">
        <w:rPr>
          <w:rFonts w:ascii="Arial" w:hAnsi="Arial" w:cs="Arial"/>
        </w:rPr>
        <w:t xml:space="preserve">pouze </w:t>
      </w:r>
      <w:r>
        <w:rPr>
          <w:rFonts w:ascii="Arial" w:hAnsi="Arial" w:cs="Arial"/>
        </w:rPr>
        <w:t>orientačně</w:t>
      </w:r>
      <w:r w:rsidR="007C2BD4">
        <w:rPr>
          <w:rFonts w:ascii="Arial" w:hAnsi="Arial" w:cs="Arial"/>
        </w:rPr>
        <w:t xml:space="preserve"> (minimum obsahu časového harmonogramu) a Poskytovatel s Objednatelem se mohou dohodnout na její úpravě dle potřeb studie</w:t>
      </w:r>
      <w:r>
        <w:rPr>
          <w:rFonts w:ascii="Arial" w:hAnsi="Arial" w:cs="Arial"/>
        </w:rPr>
        <w:t xml:space="preserve">, zásadní je, aby všechny výstupy byly </w:t>
      </w:r>
      <w:r w:rsidR="007C2BD4">
        <w:rPr>
          <w:rFonts w:ascii="Arial" w:hAnsi="Arial" w:cs="Arial"/>
        </w:rPr>
        <w:t>Poskytovatelem</w:t>
      </w:r>
      <w:r>
        <w:rPr>
          <w:rFonts w:ascii="Arial" w:hAnsi="Arial" w:cs="Arial"/>
        </w:rPr>
        <w:t xml:space="preserve"> </w:t>
      </w:r>
      <w:r w:rsidRPr="00F9290C">
        <w:rPr>
          <w:rFonts w:ascii="Arial" w:hAnsi="Arial" w:cs="Arial"/>
        </w:rPr>
        <w:t xml:space="preserve">odevzdány i </w:t>
      </w:r>
      <w:r w:rsidRPr="00F9290C" w:rsidR="007C2BD4">
        <w:rPr>
          <w:rFonts w:ascii="Arial" w:hAnsi="Arial" w:cs="Arial"/>
        </w:rPr>
        <w:t>Objednatelem</w:t>
      </w:r>
      <w:r w:rsidRPr="00F9290C">
        <w:rPr>
          <w:rFonts w:ascii="Arial" w:hAnsi="Arial" w:cs="Arial"/>
        </w:rPr>
        <w:t xml:space="preserve"> akceptovány</w:t>
      </w:r>
      <w:r>
        <w:rPr>
          <w:rFonts w:ascii="Arial" w:hAnsi="Arial" w:cs="Arial"/>
        </w:rPr>
        <w:t xml:space="preserve"> </w:t>
      </w:r>
      <w:r w:rsidRPr="00DE45FD">
        <w:rPr>
          <w:rFonts w:ascii="Arial" w:hAnsi="Arial" w:cs="Arial"/>
        </w:rPr>
        <w:t xml:space="preserve">do </w:t>
      </w:r>
      <w:r w:rsidR="008C213B">
        <w:rPr>
          <w:rFonts w:ascii="Arial" w:hAnsi="Arial" w:cs="Arial"/>
        </w:rPr>
        <w:t xml:space="preserve">22 týdnů </w:t>
      </w:r>
      <w:r>
        <w:rPr>
          <w:rFonts w:ascii="Arial" w:hAnsi="Arial" w:cs="Arial"/>
        </w:rPr>
        <w:t>od podpisu smlouvy.</w:t>
      </w:r>
    </w:p>
    <w:p w:rsidRPr="0048770A" w:rsidR="007C2BD4" w:rsidP="00A6254C" w:rsidRDefault="007C2BD4" w14:paraId="6D747976" w14:textId="77777777">
      <w:pPr>
        <w:pStyle w:val="Bezmezer"/>
        <w:contextualSpacing/>
        <w:jc w:val="both"/>
        <w:rPr>
          <w:rFonts w:ascii="Arial" w:hAnsi="Arial" w:cs="Arial"/>
          <w:b/>
        </w:rPr>
      </w:pPr>
    </w:p>
    <w:p w:rsidR="00C04CCB" w:rsidRDefault="00C04CCB" w14:paraId="64957455" w14:textId="77777777"/>
    <w:tbl>
      <w:tblPr>
        <w:tblW w:w="13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280"/>
        <w:gridCol w:w="5878"/>
        <w:gridCol w:w="4536"/>
        <w:gridCol w:w="1701"/>
      </w:tblGrid>
      <w:tr w:rsidRPr="000A4A84" w:rsidR="00C66613" w:rsidTr="00C047C8" w14:paraId="1B96FB05" w14:textId="77777777">
        <w:trPr>
          <w:trHeight w:val="615"/>
        </w:trPr>
        <w:tc>
          <w:tcPr>
            <w:tcW w:w="1280" w:type="dxa"/>
            <w:shd w:val="clear" w:color="000000" w:fill="D9D9D9"/>
            <w:noWrap/>
            <w:vAlign w:val="center"/>
            <w:hideMark/>
          </w:tcPr>
          <w:p w:rsidRPr="000A4A84" w:rsidR="000A4A84" w:rsidP="000A4A84" w:rsidRDefault="000A4A84" w14:paraId="0109FAAE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78" w:type="dxa"/>
            <w:shd w:val="clear" w:color="000000" w:fill="D9D9D9"/>
            <w:vAlign w:val="center"/>
            <w:hideMark/>
          </w:tcPr>
          <w:p w:rsidRPr="000A4A84" w:rsidR="000A4A84" w:rsidP="000A4A84" w:rsidRDefault="000A4A84" w14:paraId="158342E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Druh činnosti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:rsidRPr="000A4A84" w:rsidR="000A4A84" w:rsidP="000A4A84" w:rsidRDefault="000A4A84" w14:paraId="0DF92A9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Součinnost </w:t>
            </w:r>
            <w:r w:rsidR="007C2BD4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Objednatele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Pr="000A4A84" w:rsidR="000A4A84" w:rsidP="000A4A84" w:rsidRDefault="000A4A84" w14:paraId="1E882E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Předpokládaná délka plnění</w:t>
            </w:r>
          </w:p>
        </w:tc>
      </w:tr>
      <w:tr w:rsidRPr="000A4A84" w:rsidR="000A4A84" w:rsidTr="004D2FDF" w14:paraId="2F279828" w14:textId="77777777">
        <w:trPr>
          <w:trHeight w:val="1505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0A4A84" w14:paraId="435ADF9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6FE6136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Zpracování demografické prognózy vývoje počtu osob závislých na pomoci jiné fyzické osoby do roku 2040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A4A84" w:rsidP="0032365D" w:rsidRDefault="007C2BD4" w14:paraId="4E5DEFA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>poskytne</w:t>
            </w:r>
            <w:r w:rsidRPr="000A4A84"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Poskytovateli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Pr="000A4A84"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data, </w:t>
            </w:r>
            <w:r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která bude mít k dispozici, a součinnost 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při získávání potřebných dat od MPSV</w:t>
            </w:r>
            <w:r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s Objednatelem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konzultuje tvorbu prognózy, jejíž podobu předloží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Objednateli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0A4A84" w:rsidR="000A4A84" w:rsidP="00F52A92" w:rsidRDefault="00DE45FD" w14:paraId="6BC6DECA" w14:textId="1848918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T0+ </w:t>
            </w:r>
            <w:r w:rsidR="00630CE6">
              <w:rPr>
                <w:rFonts w:ascii="Calibri" w:hAnsi="Calibri" w:eastAsia="Times New Roman" w:cs="Times New Roman"/>
                <w:color w:val="000000"/>
                <w:lang w:eastAsia="cs-CZ"/>
              </w:rPr>
              <w:t>3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týdny</w:t>
            </w:r>
          </w:p>
        </w:tc>
      </w:tr>
      <w:tr w:rsidRPr="000A4A84" w:rsidR="000A4A84" w:rsidTr="004D2FDF" w14:paraId="22EC6E2E" w14:textId="77777777">
        <w:trPr>
          <w:trHeight w:val="189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0A4A84" w14:paraId="7E47AACF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430F740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Prognóza nároků na rozvoj a financování služeb o závislé osoby a služeb pro pečující osoby, která bude zohledňovat: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  <w:t>- plánovaný vývoj počtu závislých osob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  <w:t>- předpoklad, že určité procento rodinných příslušníků stále bude ochotno potřebnou péči poskytovat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  <w:t>- podporu rozvoje a financování sociálních služeb určených pečujícím osobám (podporujícím např. jejich setrvání na trhu práce)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Pr="000A4A84" w:rsidR="000A4A84" w:rsidP="00033680" w:rsidRDefault="007C2BD4" w14:paraId="1310387F" w14:textId="29441B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FD41F1"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dostane od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Objednatele</w:t>
            </w:r>
            <w:r w:rsidRPr="00FD41F1"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 dispozici dosavadní výstupy z</w:t>
            </w:r>
            <w:r w:rsidRPr="00FD41F1" w:rsidR="00033680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  <w:r w:rsidRPr="00FD41F1"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>projektu</w:t>
            </w:r>
            <w:r w:rsidRPr="00FD41F1" w:rsidR="00033680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.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</w:t>
            </w:r>
            <w:r w:rsidRPr="00FD41F1" w:rsidR="00033680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poskytne součinnost při získávání potřebných dat od MPSV. </w:t>
            </w:r>
            <w:r w:rsidRPr="00FD41F1" w:rsidR="0032365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="00A67160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 Objednatelem</w:t>
            </w:r>
            <w:bookmarkStart w:name="_GoBack" w:id="0"/>
            <w:bookmarkEnd w:id="0"/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konzultuje tvorbu prognózy, jejíž výsledná podoba podléhá schválení od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Objednatele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Pr="000A4A84" w:rsidR="000A4A84" w:rsidP="000A4A84" w:rsidRDefault="00630CE6" w14:paraId="7CF57B2B" w14:textId="409A98B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+ 9</w:t>
            </w:r>
            <w:r w:rsidR="00DE45F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0A4A84" w:rsidTr="004D2FDF" w14:paraId="7A7631DE" w14:textId="77777777">
        <w:trPr>
          <w:trHeight w:val="7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0A4A84" w14:paraId="74A141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4509630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Prognóza vývoje nákladů na stávající způsob financování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dlouhodobé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péče o osoby závislé na pomoci jiné fyzické osoby při plánovaném vývoji počtu závislých osob</w:t>
            </w:r>
          </w:p>
        </w:tc>
        <w:tc>
          <w:tcPr>
            <w:tcW w:w="4536" w:type="dxa"/>
            <w:vMerge/>
            <w:vAlign w:val="center"/>
            <w:hideMark/>
          </w:tcPr>
          <w:p w:rsidRPr="000A4A84" w:rsidR="000A4A84" w:rsidP="000A4A84" w:rsidRDefault="000A4A84" w14:paraId="32B3B38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Pr="000A4A84" w:rsidR="000A4A84" w:rsidP="000A4A84" w:rsidRDefault="000A4A84" w14:paraId="158B957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0A4A84" w:rsidR="000A4A84" w:rsidTr="004D2FDF" w14:paraId="117AF7A4" w14:textId="77777777">
        <w:trPr>
          <w:trHeight w:val="126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0A4A84" w14:paraId="5B051E1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="000A4A84" w:rsidP="000A4A84" w:rsidRDefault="000A4A84" w14:paraId="2D7AE39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Představení vybraných alternativních variant financování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dlouhodobé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péče a vyhodnocení zahraniční pra</w:t>
            </w:r>
            <w:r w:rsidR="006729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xe: </w:t>
            </w:r>
            <w:r w:rsidR="00672984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- financování péče z povinného zdravotně-sociálního pojištění (např. vyčlenění</w:t>
            </w:r>
            <w:r w:rsidR="00672984">
              <w:rPr>
                <w:rFonts w:ascii="Calibri" w:hAnsi="Calibri" w:eastAsia="Times New Roman" w:cs="Times New Roman"/>
                <w:color w:val="000000"/>
                <w:lang w:eastAsia="cs-CZ"/>
              </w:rPr>
              <w:t>m určitého procenta z pojištění)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br/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- financování péče skrze možnost uzavřít soukromé/smluvní pojištění anebo spoření</w:t>
            </w:r>
          </w:p>
          <w:p w:rsidRPr="00672984" w:rsidR="00672984" w:rsidP="00672984" w:rsidRDefault="00672984" w14:paraId="311C21A9" w14:textId="7777777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672984">
              <w:rPr>
                <w:rFonts w:eastAsia="Times New Roman" w:cs="Times New Roman"/>
                <w:color w:val="000000"/>
                <w:lang w:eastAsia="cs-CZ"/>
              </w:rPr>
              <w:t xml:space="preserve">- </w:t>
            </w:r>
            <w:r w:rsidRPr="00672984">
              <w:rPr>
                <w:rFonts w:cs="Arial"/>
              </w:rPr>
              <w:t>financování péče z více zdrojů zároveň</w:t>
            </w:r>
            <w:r w:rsidRPr="00672984">
              <w:rPr>
                <w:rFonts w:eastAsia="Times New Roman" w:cs="Times New Roman"/>
                <w:color w:val="000000"/>
                <w:lang w:eastAsia="cs-CZ"/>
              </w:rPr>
              <w:br/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A4A84" w:rsidP="00FD41F1" w:rsidRDefault="007C2BD4" w14:paraId="12B9E412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Poskytovatel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po dohodě s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Objednatelem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stanovuje státy,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>jejichž systémy budou představeny jako příklady dobré praxe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. 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Jednotlivé varianty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posoudí podle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 xml:space="preserve">kritérií </w:t>
            </w:r>
            <w:r w:rsidR="00127A73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požadovaných či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dohodnutých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s Objednatelem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(např. dlouhodobá udržitelnost, efektivita, dostupnost pro všechny potřebné osoby).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průběžně konzultuje s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Objednatelem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tvorbu prognostických modelů pro jednotlivé varianty.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Pr="000A4A84" w:rsidR="000A4A84" w:rsidP="00FD41F1" w:rsidRDefault="00630CE6" w14:paraId="2C90F813" w14:textId="594890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T0 + 9</w:t>
            </w:r>
            <w:r w:rsidR="00DE45F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0A4A84" w:rsidTr="004D2FDF" w14:paraId="00F4B56D" w14:textId="77777777">
        <w:trPr>
          <w:trHeight w:val="692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0A4A84" w14:paraId="1FC0117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5.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3EF6146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Vypracování prognostických modelů vývoje budoucí situace v České republice pro jednotlivé alternativní varianty financování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dlouhodobé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péče a jejich porovnání se současným systémem financování jako s nulovou variantou na základě kritérií určených po dohodě s</w:t>
            </w:r>
            <w:r w:rsidR="007C2BD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Objednatelem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A4A84" w:rsidP="000A4A84" w:rsidRDefault="007C2BD4" w14:paraId="474BFC6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předloží navržené prognostické modely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Objednateli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4D2FDF" w:rsidR="000A4A84" w:rsidP="000A4A84" w:rsidRDefault="00630CE6" w14:paraId="2F4FEDCD" w14:textId="4FCDE2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+ 13</w:t>
            </w:r>
            <w:r w:rsidRPr="00DE45FD" w:rsidR="00DE45FD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3D1922" w:rsidTr="00C047C8" w14:paraId="45126554" w14:textId="77777777">
        <w:trPr>
          <w:trHeight w:val="692"/>
        </w:trPr>
        <w:tc>
          <w:tcPr>
            <w:tcW w:w="1280" w:type="dxa"/>
            <w:shd w:val="clear" w:color="auto" w:fill="auto"/>
            <w:noWrap/>
            <w:vAlign w:val="center"/>
          </w:tcPr>
          <w:p w:rsidRPr="000A4A84" w:rsidR="003D1922" w:rsidP="000A4A84" w:rsidRDefault="003D1922" w14:paraId="6ADAEBE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Pr="000A4A84" w:rsidR="003D1922" w:rsidP="003D1922" w:rsidRDefault="003D1922" w14:paraId="11EC9C7A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Příprava </w:t>
            </w:r>
            <w:r w:rsidR="00EC1C66">
              <w:rPr>
                <w:rFonts w:ascii="Calibri" w:hAnsi="Calibri" w:eastAsia="Times New Roman" w:cs="Times New Roman"/>
                <w:color w:val="000000"/>
                <w:lang w:eastAsia="cs-CZ"/>
              </w:rPr>
              <w:t>kulatých stolů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 cílem </w:t>
            </w:r>
            <w:r w:rsidRPr="008C213B" w:rsidR="00037BB2">
              <w:rPr>
                <w:rFonts w:ascii="Calibri" w:hAnsi="Calibri" w:eastAsia="Times New Roman" w:cs="Times New Roman"/>
                <w:color w:val="000000"/>
                <w:lang w:eastAsia="cs-CZ"/>
              </w:rPr>
              <w:t>zmapování postojů různých aktérů k současnému pojetí financování péče a ke zvažovaným alternativním variantám financování péče. Vypracování seznamu účastníků kulatých stolů.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0A4A84" w:rsidR="003D1922" w:rsidP="009A0002" w:rsidRDefault="00FD2D8B" w14:paraId="1E86F9D4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Účastníky kulatých stolů navrhují </w:t>
            </w:r>
            <w:r w:rsidR="009A0002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i </w:t>
            </w:r>
            <w:r w:rsidR="009A0002">
              <w:rPr>
                <w:rFonts w:ascii="Calibri" w:hAnsi="Calibri" w:eastAsia="Times New Roman" w:cs="Times New Roman"/>
                <w:color w:val="000000"/>
                <w:lang w:eastAsia="cs-CZ"/>
              </w:rPr>
              <w:t>Objednatel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, </w:t>
            </w:r>
            <w:r w:rsidR="009A0002">
              <w:rPr>
                <w:rFonts w:ascii="Calibri" w:hAnsi="Calibri" w:eastAsia="Times New Roman" w:cs="Times New Roman"/>
                <w:color w:val="000000"/>
                <w:lang w:eastAsia="cs-CZ"/>
              </w:rPr>
              <w:t>Objednatel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konečný seznam schval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uje. Písemně vypracované návrhy variant financování péči a ostatní podklady 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předkládá </w:t>
            </w:r>
            <w:r w:rsidR="009A0002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</w:t>
            </w:r>
            <w:r w:rsidR="009A0002">
              <w:rPr>
                <w:rFonts w:ascii="Calibri" w:hAnsi="Calibri" w:eastAsia="Times New Roman" w:cs="Times New Roman"/>
                <w:color w:val="000000"/>
                <w:lang w:eastAsia="cs-CZ"/>
              </w:rPr>
              <w:t>Objednateli</w:t>
            </w: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 před samotnou realizací kulatých stolů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1922" w:rsidP="000A4A84" w:rsidRDefault="00630CE6" w14:paraId="63A847D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+ 15</w:t>
            </w:r>
            <w:r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3D1922" w:rsidTr="00C047C8" w14:paraId="3E499AAF" w14:textId="77777777">
        <w:trPr>
          <w:trHeight w:val="692"/>
        </w:trPr>
        <w:tc>
          <w:tcPr>
            <w:tcW w:w="1280" w:type="dxa"/>
            <w:shd w:val="clear" w:color="auto" w:fill="auto"/>
            <w:noWrap/>
            <w:vAlign w:val="center"/>
          </w:tcPr>
          <w:p w:rsidRPr="000A4A84" w:rsidR="003D1922" w:rsidP="000A4A84" w:rsidRDefault="00FD2D8B" w14:paraId="4AD884B6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Pr="000A4A84" w:rsidR="003D1922" w:rsidP="000A4A84" w:rsidRDefault="000D3B1A" w14:paraId="73B3BFA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Realizace </w:t>
            </w:r>
            <w:r w:rsidR="003F4DF1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3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kulatých stolů</w:t>
            </w:r>
            <w:r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 různými představiteli aktérů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0A4A84" w:rsidR="003D1922" w:rsidP="009A0002" w:rsidRDefault="000D3B1A" w14:paraId="14CA5803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Realizace kulatých stolů</w:t>
            </w:r>
            <w:r w:rsidRPr="00225828"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je v kompetenci </w:t>
            </w:r>
            <w:r w:rsidR="009A0002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Poskytovatele</w:t>
            </w:r>
            <w:r w:rsidRPr="00225828"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1922" w:rsidP="000A4A84" w:rsidRDefault="00630CE6" w14:paraId="5300AFE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+ 17</w:t>
            </w:r>
            <w:r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3D1922" w:rsidTr="00C047C8" w14:paraId="5410E9EF" w14:textId="77777777">
        <w:trPr>
          <w:trHeight w:val="692"/>
        </w:trPr>
        <w:tc>
          <w:tcPr>
            <w:tcW w:w="1280" w:type="dxa"/>
            <w:shd w:val="clear" w:color="auto" w:fill="auto"/>
            <w:noWrap/>
            <w:vAlign w:val="center"/>
          </w:tcPr>
          <w:p w:rsidRPr="000A4A84" w:rsidR="003D1922" w:rsidP="000A4A84" w:rsidRDefault="00FD2D8B" w14:paraId="4682083E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5878" w:type="dxa"/>
            <w:shd w:val="clear" w:color="auto" w:fill="auto"/>
            <w:vAlign w:val="center"/>
          </w:tcPr>
          <w:p w:rsidRPr="000A4A84" w:rsidR="003D1922" w:rsidP="000A4A84" w:rsidRDefault="00FD2D8B" w14:paraId="7FAE6E35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25828">
              <w:rPr>
                <w:rFonts w:ascii="Calibri" w:hAnsi="Calibri" w:eastAsia="Times New Roman" w:cs="Times New Roman"/>
                <w:color w:val="000000"/>
                <w:lang w:eastAsia="cs-CZ"/>
              </w:rPr>
              <w:t>Zpracování a odevzdání zprávy o pr</w:t>
            </w:r>
            <w:r w:rsidR="00B035C7">
              <w:rPr>
                <w:rFonts w:ascii="Calibri" w:hAnsi="Calibri" w:eastAsia="Times New Roman" w:cs="Times New Roman"/>
                <w:color w:val="000000"/>
                <w:lang w:eastAsia="cs-CZ"/>
              </w:rPr>
              <w:t>ůběhu a výstupech kulatých stolů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0A4A84" w:rsidR="003D1922" w:rsidP="009A0002" w:rsidRDefault="009A0002" w14:paraId="63EB7D0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225828"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zprávu odevzdá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Objednateli</w:t>
            </w:r>
            <w:r w:rsidRPr="00225828" w:rsidR="00FD2D8B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D1922" w:rsidP="000A4A84" w:rsidRDefault="00630CE6" w14:paraId="32A1261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+ 18</w:t>
            </w:r>
            <w:r w:rsidR="00EE139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0A4A84" w:rsidTr="009A0002" w14:paraId="297D47D0" w14:textId="77777777">
        <w:trPr>
          <w:trHeight w:val="892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EE1394" w14:paraId="18E43B8D" w14:textId="2882E8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9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03ED4AAB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Tvorba návrhu nového modelu financování </w:t>
            </w:r>
            <w:r w:rsidR="00C5799C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dlouhodobé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péče, který bude vycházet ze srovnání jednotlivých variant </w:t>
            </w:r>
            <w:r w:rsidR="003D1922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a z výsledků diskuse u kulatého stolu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a bude odpovídat zadaným kri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té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riím (dlouhodobá udržitelnost, efektivita, dostupnost pro všechny potřebné osoby aj.). Stanovení doporučení pro jeho zavedení do praxe.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A4A84" w:rsidP="000A4A84" w:rsidRDefault="000A4A84" w14:paraId="10857537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F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inální návrh nového modelu před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loží </w:t>
            </w:r>
            <w:r w:rsidR="007C2BD4"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 Objednateli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ke schválení.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9A0002" w:rsidR="000A4A84" w:rsidP="000A4A84" w:rsidRDefault="00DE45FD" w14:paraId="1DF09896" w14:textId="410F238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+ 2</w:t>
            </w:r>
            <w:r w:rsidR="00630CE6">
              <w:rPr>
                <w:rFonts w:ascii="Calibri" w:hAnsi="Calibri" w:eastAsia="Times New Roman" w:cs="Times New Roman"/>
                <w:color w:val="000000"/>
                <w:lang w:eastAsia="cs-CZ"/>
              </w:rPr>
              <w:t>0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0A4A84" w:rsidTr="009A0002" w14:paraId="34355FF9" w14:textId="77777777">
        <w:trPr>
          <w:trHeight w:val="1353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EE1394" w14:paraId="3AC0C5ED" w14:textId="7CD2FC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10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4F09DED8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Zpracování veškerých výstupů do </w:t>
            </w:r>
            <w:r w:rsidR="005632EF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kompletní </w:t>
            </w: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závěrečné zprávy dle zadané struktury a její prezentace </w:t>
            </w:r>
            <w:r w:rsidR="007C2BD4">
              <w:rPr>
                <w:rFonts w:ascii="Calibri" w:hAnsi="Calibri" w:eastAsia="Times New Roman" w:cs="Times New Roman"/>
                <w:color w:val="000000"/>
                <w:lang w:eastAsia="cs-CZ"/>
              </w:rPr>
              <w:t>Objednateli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A4A84" w:rsidP="000A4A84" w:rsidRDefault="007C2BD4" w14:paraId="0A1C0361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schválí předloženou zprávu prostřednictvím akceptačního řízení do 3 týdnů od odevzdání a </w:t>
            </w:r>
            <w:proofErr w:type="spellStart"/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odprezentování</w:t>
            </w:r>
            <w:proofErr w:type="spellEnd"/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zprávy.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určuje místo a čas odevzdání a prezentace zprávy.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DE45FD" w14:paraId="2604DC90" w14:textId="21B684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T0 + 2</w:t>
            </w:r>
            <w:r w:rsidR="00630CE6">
              <w:rPr>
                <w:rFonts w:ascii="Calibri" w:hAnsi="Calibri" w:eastAsia="Times New Roman" w:cs="Times New Roman"/>
                <w:color w:val="000000"/>
                <w:lang w:eastAsia="cs-CZ"/>
              </w:rPr>
              <w:t>2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týdnů</w:t>
            </w:r>
          </w:p>
        </w:tc>
      </w:tr>
      <w:tr w:rsidRPr="000A4A84" w:rsidR="000A4A84" w:rsidTr="009A0002" w14:paraId="68085F4B" w14:textId="77777777">
        <w:trPr>
          <w:trHeight w:val="1800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EE1394" w14:paraId="5CDD08E6" w14:textId="7204CA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lastRenderedPageBreak/>
              <w:t>11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.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785E7D" w:rsidRDefault="000A4A84" w14:paraId="0BCE4A8E" w14:textId="3303D54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Konzultace s experty (</w:t>
            </w:r>
            <w:r w:rsidR="000D3B1A">
              <w:rPr>
                <w:rFonts w:ascii="Calibri" w:hAnsi="Calibri" w:eastAsia="Times New Roman" w:cs="Times New Roman"/>
                <w:color w:val="000000"/>
                <w:lang w:eastAsia="cs-CZ"/>
              </w:rPr>
              <w:t>pokud nejsou přímo členy analytického týmu</w:t>
            </w:r>
            <w:r w:rsidR="003F4DF1">
              <w:rPr>
                <w:rFonts w:ascii="Calibri" w:hAnsi="Calibri" w:eastAsia="Times New Roman" w:cs="Times New Roman"/>
                <w:color w:val="000000"/>
                <w:lang w:eastAsia="cs-CZ"/>
              </w:rPr>
              <w:t>)</w:t>
            </w:r>
            <w:r w:rsidR="000D3B1A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D3B1A" w:rsidP="00785E7D" w:rsidRDefault="000D3B1A" w14:paraId="42662A2C" w14:textId="07B0FD0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Způsob spo</w:t>
            </w:r>
            <w:r w:rsidR="003F4DF1">
              <w:rPr>
                <w:rFonts w:ascii="Calibri" w:hAnsi="Calibri" w:eastAsia="Times New Roman" w:cs="Times New Roman"/>
                <w:color w:val="000000"/>
                <w:lang w:eastAsia="cs-CZ"/>
              </w:rPr>
              <w:t>l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upráce </w:t>
            </w:r>
            <w:r w:rsidR="0093617E">
              <w:rPr>
                <w:rFonts w:ascii="Calibri" w:hAnsi="Calibri" w:eastAsia="Times New Roman" w:cs="Times New Roman"/>
                <w:color w:val="000000"/>
                <w:lang w:eastAsia="cs-CZ"/>
              </w:rPr>
              <w:t>s experty stanovuje Poskytovatel již v předložené nabídce.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Pr="000A4A84" w:rsidR="000A4A84" w:rsidP="000A4A84" w:rsidRDefault="00DD30AD" w14:paraId="502601E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růběžně dle předem vymezené úlohy jednotlivých expertů</w:t>
            </w:r>
          </w:p>
        </w:tc>
      </w:tr>
      <w:tr w:rsidRPr="000A4A84" w:rsidR="000A4A84" w:rsidTr="009A0002" w14:paraId="0F67DB41" w14:textId="77777777">
        <w:trPr>
          <w:trHeight w:val="1215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Pr="000A4A84" w:rsidR="000A4A84" w:rsidP="000A4A84" w:rsidRDefault="00EE1394" w14:paraId="23418BEA" w14:textId="2BE8DD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12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. </w:t>
            </w:r>
          </w:p>
        </w:tc>
        <w:tc>
          <w:tcPr>
            <w:tcW w:w="5878" w:type="dxa"/>
            <w:shd w:val="clear" w:color="auto" w:fill="auto"/>
            <w:vAlign w:val="center"/>
            <w:hideMark/>
          </w:tcPr>
          <w:p w:rsidRPr="000A4A84" w:rsidR="000A4A84" w:rsidP="000A4A84" w:rsidRDefault="000A4A84" w14:paraId="3C76F0FD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>Průběžné konzultace postupu prací s</w:t>
            </w:r>
            <w:r w:rsidR="007C2BD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Objednatelem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Pr="000A4A84" w:rsidR="000A4A84" w:rsidP="000A4A84" w:rsidRDefault="007C2BD4" w14:paraId="5DDA08D9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Poskytovatel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a </w:t>
            </w: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Objednatel</w:t>
            </w:r>
            <w:r w:rsidR="00127A73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 se domlouvají na pravidelných setkáních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Pr="000A4A84" w:rsidR="000A4A84" w:rsidP="000A4A84" w:rsidRDefault="00F20082" w14:paraId="136CBEE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Min. </w:t>
            </w:r>
            <w:r w:rsidRPr="000A4A84" w:rsidR="000A4A84">
              <w:rPr>
                <w:rFonts w:ascii="Calibri" w:hAnsi="Calibri" w:eastAsia="Times New Roman" w:cs="Times New Roman"/>
                <w:color w:val="000000"/>
                <w:lang w:eastAsia="cs-CZ"/>
              </w:rPr>
              <w:t xml:space="preserve">2x za měsíc po celou dobu realizace </w:t>
            </w:r>
            <w:r w:rsidR="007C2BD4">
              <w:rPr>
                <w:rFonts w:ascii="Calibri" w:hAnsi="Calibri" w:eastAsia="Times New Roman" w:cs="Times New Roman"/>
                <w:color w:val="000000"/>
                <w:lang w:eastAsia="cs-CZ"/>
              </w:rPr>
              <w:t>studie</w:t>
            </w:r>
          </w:p>
        </w:tc>
      </w:tr>
    </w:tbl>
    <w:p w:rsidR="00C04CCB" w:rsidRDefault="00C04CCB" w14:paraId="3122D78D" w14:textId="77777777"/>
    <w:sectPr w:rsidR="00C04CCB" w:rsidSect="004D2FDF">
      <w:headerReference w:type="default" r:id="rId9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688F8471" w15:done="0"/>
  <w15:commentEx w15:paraId="64D8C581" w15:done="0"/>
  <w15:commentEx w15:paraId="6B1DD9A0" w15:done="0"/>
  <w15:commentEx w15:paraId="7D2F135E" w15:done="0"/>
  <w15:commentEx w15:paraId="1207005A" w15:done="0"/>
  <w15:commentEx w15:paraId="31A53245" w15:done="0"/>
  <w15:commentEx w15:paraId="29865609" w15:done="0"/>
  <w15:commentEx w15:paraId="2C5808E7" w15:done="0"/>
  <w15:commentEx w15:paraId="44A72E98" w15:paraIdParent="2C5808E7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B3430" w:rsidP="00AB3430" w:rsidRDefault="00AB3430" w14:paraId="344C43A8" w14:textId="77777777">
      <w:pPr>
        <w:spacing w:after="0" w:line="240" w:lineRule="auto"/>
      </w:pPr>
      <w:r>
        <w:separator/>
      </w:r>
    </w:p>
  </w:endnote>
  <w:endnote w:type="continuationSeparator" w:id="0">
    <w:p w:rsidR="00AB3430" w:rsidP="00AB3430" w:rsidRDefault="00AB3430" w14:paraId="14E60B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B3430" w:rsidP="00AB3430" w:rsidRDefault="00AB3430" w14:paraId="41F5C4CB" w14:textId="77777777">
      <w:pPr>
        <w:spacing w:after="0" w:line="240" w:lineRule="auto"/>
      </w:pPr>
      <w:r>
        <w:separator/>
      </w:r>
    </w:p>
  </w:footnote>
  <w:footnote w:type="continuationSeparator" w:id="0">
    <w:p w:rsidR="00AB3430" w:rsidP="00AB3430" w:rsidRDefault="00AB3430" w14:paraId="44B89B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B3430" w:rsidRDefault="00AB3430" w14:paraId="1F3A69F4" w14:textId="735A8E48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6A8CDC67" wp14:editId="113AB6E6">
          <wp:simplePos x="0" y="0"/>
          <wp:positionH relativeFrom="column">
            <wp:posOffset>1042670</wp:posOffset>
          </wp:positionH>
          <wp:positionV relativeFrom="paragraph">
            <wp:posOffset>-154940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CF4"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9601318"/>
    <w:multiLevelType w:val="hybridMultilevel"/>
    <w:tmpl w:val="C3B8004E"/>
    <w:lvl w:ilvl="0" w:tplc="CAEC78D4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Tomášková Vladimíra Mgr.">
    <w15:presenceInfo w15:providerId="AD" w15:userId="S-1-5-21-956051904-3551165068-3879234915-2079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54C"/>
    <w:rsid w:val="00033680"/>
    <w:rsid w:val="00037BB2"/>
    <w:rsid w:val="00094181"/>
    <w:rsid w:val="000A4A84"/>
    <w:rsid w:val="000D3B1A"/>
    <w:rsid w:val="00110DC4"/>
    <w:rsid w:val="00127A73"/>
    <w:rsid w:val="001A5FB1"/>
    <w:rsid w:val="001F204E"/>
    <w:rsid w:val="00262B96"/>
    <w:rsid w:val="002A5DA1"/>
    <w:rsid w:val="002E6972"/>
    <w:rsid w:val="0032365D"/>
    <w:rsid w:val="003B2E09"/>
    <w:rsid w:val="003C4EC7"/>
    <w:rsid w:val="003D1922"/>
    <w:rsid w:val="003F4DF1"/>
    <w:rsid w:val="00427538"/>
    <w:rsid w:val="004628E5"/>
    <w:rsid w:val="004D2FDF"/>
    <w:rsid w:val="00531359"/>
    <w:rsid w:val="00545154"/>
    <w:rsid w:val="005632EF"/>
    <w:rsid w:val="00573370"/>
    <w:rsid w:val="005911E6"/>
    <w:rsid w:val="005B13CF"/>
    <w:rsid w:val="006053C3"/>
    <w:rsid w:val="00630CE6"/>
    <w:rsid w:val="00672984"/>
    <w:rsid w:val="00680CF4"/>
    <w:rsid w:val="006F3D65"/>
    <w:rsid w:val="00714A39"/>
    <w:rsid w:val="0072659C"/>
    <w:rsid w:val="00732149"/>
    <w:rsid w:val="00735B11"/>
    <w:rsid w:val="007800EA"/>
    <w:rsid w:val="00785E7D"/>
    <w:rsid w:val="007C2BD4"/>
    <w:rsid w:val="007C6384"/>
    <w:rsid w:val="008C1EC7"/>
    <w:rsid w:val="008C213B"/>
    <w:rsid w:val="008F612B"/>
    <w:rsid w:val="00915DCC"/>
    <w:rsid w:val="009302E6"/>
    <w:rsid w:val="0093617E"/>
    <w:rsid w:val="009A0002"/>
    <w:rsid w:val="009A0C1B"/>
    <w:rsid w:val="009B7911"/>
    <w:rsid w:val="00A11C26"/>
    <w:rsid w:val="00A6254C"/>
    <w:rsid w:val="00A67160"/>
    <w:rsid w:val="00A72020"/>
    <w:rsid w:val="00A7664B"/>
    <w:rsid w:val="00AB3430"/>
    <w:rsid w:val="00AC28E0"/>
    <w:rsid w:val="00AE3D5F"/>
    <w:rsid w:val="00B035C7"/>
    <w:rsid w:val="00B119E2"/>
    <w:rsid w:val="00B240C0"/>
    <w:rsid w:val="00BA21B5"/>
    <w:rsid w:val="00BD5C68"/>
    <w:rsid w:val="00BF03AF"/>
    <w:rsid w:val="00C047C8"/>
    <w:rsid w:val="00C04CCB"/>
    <w:rsid w:val="00C1206A"/>
    <w:rsid w:val="00C45007"/>
    <w:rsid w:val="00C5799C"/>
    <w:rsid w:val="00C66613"/>
    <w:rsid w:val="00D44F5A"/>
    <w:rsid w:val="00D466E3"/>
    <w:rsid w:val="00D757B5"/>
    <w:rsid w:val="00DA662F"/>
    <w:rsid w:val="00DD30AD"/>
    <w:rsid w:val="00DE45FD"/>
    <w:rsid w:val="00E265C8"/>
    <w:rsid w:val="00EA6955"/>
    <w:rsid w:val="00EB2485"/>
    <w:rsid w:val="00EC1C66"/>
    <w:rsid w:val="00EE1394"/>
    <w:rsid w:val="00EF0E20"/>
    <w:rsid w:val="00F20082"/>
    <w:rsid w:val="00F2475B"/>
    <w:rsid w:val="00F52A92"/>
    <w:rsid w:val="00F9290C"/>
    <w:rsid w:val="00FD2D8B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  <w14:docId w14:val="49E4A125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11C2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A6254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62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254C"/>
    <w:pPr>
      <w:spacing w:after="200"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A6254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254C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254C"/>
    <w:pPr>
      <w:spacing w:after="160"/>
    </w:pPr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6254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729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343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B3430"/>
  </w:style>
  <w:style w:type="paragraph" w:styleId="Zpat">
    <w:name w:val="footer"/>
    <w:basedOn w:val="Normln"/>
    <w:link w:val="ZpatChar"/>
    <w:uiPriority w:val="99"/>
    <w:unhideWhenUsed/>
    <w:rsid w:val="00AB343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B343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6471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70003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452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commentsExtended.xml" Type="http://schemas.microsoft.com/office/2011/relationships/commentsExtended" Id="rId1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E9487B5-75F5-4E4E-B44C-76A1F48D9D2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705</properties:Words>
  <properties:Characters>4161</properties:Characters>
  <properties:Lines>34</properties:Lines>
  <properties:Paragraphs>9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4857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2014-10-12T17:12:00Z</dcterms:created>
  <dc:creator/>
  <cp:lastModifiedBy/>
  <dcterms:modified xmlns:xsi="http://www.w3.org/2001/XMLSchema-instance" xsi:type="dcterms:W3CDTF">2014-11-28T13:48:00Z</dcterms:modified>
  <cp:revision>10</cp:revision>
</cp:coreProperties>
</file>