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8F4D68" w:rsidP="001E6A1A" w:rsidRDefault="008F4D68">
      <w:pPr>
        <w:pStyle w:val="Nzev"/>
      </w:pPr>
      <w:r>
        <w:t xml:space="preserve">Výzva k podání nabídek na výběrové řízení na </w:t>
      </w:r>
      <w:r w:rsidR="00042B24">
        <w:t>služby</w:t>
      </w:r>
    </w:p>
    <w:p w:rsidR="008F4D68" w:rsidP="00A32AD2" w:rsidRDefault="008F4D68">
      <w:r>
        <w:t>Zadavatel na základě § 25 odst. a) zákona č. 137/2006 Sb., o veřejných zakázkách v aktuálním znění (dále jen „ZVZ“), zadává tuto výzvu v souladu s postupem pro zjednodušená podlimitní řízení.</w:t>
      </w:r>
    </w:p>
    <w:p w:rsidR="008F4D68" w:rsidP="001B2CE7" w:rsidRDefault="008F4D68">
      <w:pPr>
        <w:pStyle w:val="Nadpis1"/>
        <w:numPr>
          <w:ilvl w:val="0"/>
          <w:numId w:val="12"/>
        </w:numPr>
      </w:pPr>
      <w:r>
        <w:t>Identifikační údaje veřejného zadavatele</w:t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/>
      </w:tblPr>
      <w:tblGrid>
        <w:gridCol w:w="2781"/>
        <w:gridCol w:w="5250"/>
      </w:tblGrid>
      <w:tr w:rsidRPr="00A6416A" w:rsidR="008F4D68" w:rsidTr="00A6416A">
        <w:trPr>
          <w:trHeight w:val="326"/>
        </w:trPr>
        <w:tc>
          <w:tcPr>
            <w:tcW w:w="2781" w:type="dxa"/>
            <w:shd w:val="clear" w:color="auto" w:fill="5A6378"/>
            <w:vAlign w:val="center"/>
          </w:tcPr>
          <w:p w:rsidRPr="00A6416A" w:rsidR="008F4D68" w:rsidP="00A6416A" w:rsidRDefault="008F4D68">
            <w:pPr>
              <w:spacing w:after="0" w:line="240" w:lineRule="auto"/>
              <w:rPr>
                <w:b/>
                <w:color w:val="FFFFFF"/>
                <w:lang w:val="en-GB"/>
              </w:rPr>
            </w:pPr>
            <w:proofErr w:type="spellStart"/>
            <w:r w:rsidRPr="00A6416A">
              <w:rPr>
                <w:b/>
                <w:color w:val="FFFFFF"/>
                <w:lang w:val="en-GB"/>
              </w:rPr>
              <w:t>Zadavatel</w:t>
            </w:r>
            <w:proofErr w:type="spellEnd"/>
            <w:r w:rsidRPr="00A6416A">
              <w:rPr>
                <w:b/>
                <w:color w:val="FFFFFF"/>
                <w:lang w:val="en-GB"/>
              </w:rPr>
              <w:t>:</w:t>
            </w:r>
          </w:p>
        </w:tc>
        <w:tc>
          <w:tcPr>
            <w:tcW w:w="5250" w:type="dxa"/>
            <w:vAlign w:val="center"/>
          </w:tcPr>
          <w:p w:rsidRPr="00A6416A" w:rsidR="008F4D68" w:rsidP="00E70000" w:rsidRDefault="00FA05B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EXE JEANS CZ s.r.o.</w:t>
            </w:r>
          </w:p>
        </w:tc>
      </w:tr>
      <w:tr w:rsidRPr="00A6416A" w:rsidR="008F4D68" w:rsidTr="00A6416A">
        <w:trPr>
          <w:trHeight w:val="306"/>
        </w:trPr>
        <w:tc>
          <w:tcPr>
            <w:tcW w:w="2781" w:type="dxa"/>
            <w:shd w:val="clear" w:color="auto" w:fill="5A6378"/>
            <w:vAlign w:val="center"/>
          </w:tcPr>
          <w:p w:rsidRPr="00A6416A" w:rsidR="008F4D68" w:rsidP="00A6416A" w:rsidRDefault="008F4D68">
            <w:pPr>
              <w:spacing w:after="0" w:line="240" w:lineRule="auto"/>
              <w:rPr>
                <w:b/>
                <w:color w:val="FFFFFF"/>
                <w:lang w:val="en-GB"/>
              </w:rPr>
            </w:pPr>
            <w:proofErr w:type="spellStart"/>
            <w:r w:rsidRPr="00A6416A">
              <w:rPr>
                <w:b/>
                <w:color w:val="FFFFFF"/>
                <w:lang w:val="en-GB"/>
              </w:rPr>
              <w:t>Statutární</w:t>
            </w:r>
            <w:proofErr w:type="spellEnd"/>
            <w:r w:rsidRPr="00A6416A">
              <w:rPr>
                <w:b/>
                <w:color w:val="FFFFFF"/>
                <w:lang w:val="en-GB"/>
              </w:rPr>
              <w:t xml:space="preserve"> </w:t>
            </w:r>
            <w:proofErr w:type="spellStart"/>
            <w:r w:rsidRPr="00A6416A">
              <w:rPr>
                <w:b/>
                <w:color w:val="FFFFFF"/>
                <w:lang w:val="en-GB"/>
              </w:rPr>
              <w:t>zástupce</w:t>
            </w:r>
            <w:proofErr w:type="spellEnd"/>
            <w:r w:rsidRPr="00A6416A">
              <w:rPr>
                <w:b/>
                <w:color w:val="FFFFFF"/>
                <w:lang w:val="en-GB"/>
              </w:rPr>
              <w:t>:</w:t>
            </w:r>
          </w:p>
        </w:tc>
        <w:tc>
          <w:tcPr>
            <w:tcW w:w="5250" w:type="dxa"/>
            <w:vAlign w:val="center"/>
          </w:tcPr>
          <w:p w:rsidRPr="00A6416A" w:rsidR="008F4D68" w:rsidP="00A6416A" w:rsidRDefault="00FA05B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Pavel Vaněk</w:t>
            </w:r>
          </w:p>
        </w:tc>
      </w:tr>
      <w:tr w:rsidRPr="00A6416A" w:rsidR="008F4D68" w:rsidTr="00A6416A">
        <w:trPr>
          <w:trHeight w:val="326"/>
        </w:trPr>
        <w:tc>
          <w:tcPr>
            <w:tcW w:w="2781" w:type="dxa"/>
            <w:shd w:val="clear" w:color="auto" w:fill="5A6378"/>
            <w:vAlign w:val="center"/>
          </w:tcPr>
          <w:p w:rsidRPr="00A6416A" w:rsidR="008F4D68" w:rsidP="00A6416A" w:rsidRDefault="008F4D68">
            <w:pPr>
              <w:spacing w:after="0" w:line="240" w:lineRule="auto"/>
              <w:rPr>
                <w:b/>
                <w:color w:val="FFFFFF"/>
                <w:lang w:val="en-GB"/>
              </w:rPr>
            </w:pPr>
            <w:proofErr w:type="spellStart"/>
            <w:r w:rsidRPr="00A6416A">
              <w:rPr>
                <w:b/>
                <w:color w:val="FFFFFF"/>
                <w:lang w:val="en-GB"/>
              </w:rPr>
              <w:t>Adresa</w:t>
            </w:r>
            <w:proofErr w:type="spellEnd"/>
            <w:r w:rsidRPr="00A6416A">
              <w:rPr>
                <w:b/>
                <w:color w:val="FFFFFF"/>
                <w:lang w:val="en-GB"/>
              </w:rPr>
              <w:t>:</w:t>
            </w:r>
          </w:p>
        </w:tc>
        <w:tc>
          <w:tcPr>
            <w:tcW w:w="5250" w:type="dxa"/>
            <w:vAlign w:val="center"/>
          </w:tcPr>
          <w:p w:rsidRPr="00A6416A" w:rsidR="008F4D68" w:rsidP="00FA05BB" w:rsidRDefault="00FA05BB">
            <w:pPr>
              <w:spacing w:after="0" w:line="240" w:lineRule="auto"/>
              <w:rPr>
                <w:lang w:val="en-GB"/>
              </w:rPr>
            </w:pPr>
            <w:proofErr w:type="spellStart"/>
            <w:r>
              <w:rPr>
                <w:lang w:val="en-GB"/>
              </w:rPr>
              <w:t>Václavské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náměstí</w:t>
            </w:r>
            <w:proofErr w:type="spellEnd"/>
            <w:r>
              <w:rPr>
                <w:lang w:val="en-GB"/>
              </w:rPr>
              <w:t xml:space="preserve"> 66, </w:t>
            </w:r>
            <w:proofErr w:type="spellStart"/>
            <w:r>
              <w:rPr>
                <w:lang w:val="en-GB"/>
              </w:rPr>
              <w:t>Praha</w:t>
            </w:r>
            <w:proofErr w:type="spellEnd"/>
            <w:r>
              <w:rPr>
                <w:lang w:val="en-GB"/>
              </w:rPr>
              <w:t xml:space="preserve"> 1, 110 00</w:t>
            </w:r>
          </w:p>
        </w:tc>
      </w:tr>
      <w:tr w:rsidRPr="00A6416A" w:rsidR="008F4D68" w:rsidTr="00A6416A">
        <w:trPr>
          <w:trHeight w:val="326"/>
        </w:trPr>
        <w:tc>
          <w:tcPr>
            <w:tcW w:w="2781" w:type="dxa"/>
            <w:shd w:val="clear" w:color="auto" w:fill="5A6378"/>
            <w:vAlign w:val="center"/>
          </w:tcPr>
          <w:p w:rsidRPr="00A6416A" w:rsidR="008F4D68" w:rsidP="00A6416A" w:rsidRDefault="008F4D68">
            <w:pPr>
              <w:spacing w:after="0" w:line="240" w:lineRule="auto"/>
              <w:rPr>
                <w:b/>
                <w:color w:val="FFFFFF"/>
                <w:lang w:val="en-GB"/>
              </w:rPr>
            </w:pPr>
            <w:r w:rsidRPr="00A6416A">
              <w:rPr>
                <w:b/>
                <w:color w:val="FFFFFF"/>
                <w:lang w:val="en-GB"/>
              </w:rPr>
              <w:t>IČ:</w:t>
            </w:r>
          </w:p>
        </w:tc>
        <w:tc>
          <w:tcPr>
            <w:tcW w:w="5250" w:type="dxa"/>
            <w:vAlign w:val="center"/>
          </w:tcPr>
          <w:p w:rsidRPr="00A6416A" w:rsidR="008F4D68" w:rsidP="00ED5C91" w:rsidRDefault="00FA05B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242 24 154</w:t>
            </w:r>
          </w:p>
        </w:tc>
      </w:tr>
      <w:tr w:rsidRPr="00A6416A" w:rsidR="008F4D68" w:rsidTr="00A6416A">
        <w:trPr>
          <w:trHeight w:val="326"/>
        </w:trPr>
        <w:tc>
          <w:tcPr>
            <w:tcW w:w="2781" w:type="dxa"/>
            <w:shd w:val="clear" w:color="auto" w:fill="5A6378"/>
            <w:vAlign w:val="center"/>
          </w:tcPr>
          <w:p w:rsidRPr="00A6416A" w:rsidR="008F4D68" w:rsidP="00A6416A" w:rsidRDefault="00FA05BB">
            <w:pPr>
              <w:spacing w:after="0" w:line="240" w:lineRule="auto"/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DIČ:</w:t>
            </w:r>
          </w:p>
        </w:tc>
        <w:tc>
          <w:tcPr>
            <w:tcW w:w="5250" w:type="dxa"/>
            <w:vAlign w:val="center"/>
          </w:tcPr>
          <w:p w:rsidRPr="00A6416A" w:rsidR="008F4D68" w:rsidP="00ED5C91" w:rsidRDefault="00FA05BB">
            <w:pPr>
              <w:spacing w:after="0" w:line="240" w:lineRule="auto"/>
              <w:rPr>
                <w:lang w:val="en-GB"/>
              </w:rPr>
            </w:pPr>
            <w:r>
              <w:rPr>
                <w:lang w:val="en-GB"/>
              </w:rPr>
              <w:t>CZ24224154</w:t>
            </w:r>
          </w:p>
        </w:tc>
      </w:tr>
      <w:tr w:rsidRPr="00A6416A" w:rsidR="008F4D68" w:rsidTr="00A6416A">
        <w:trPr>
          <w:trHeight w:val="326"/>
        </w:trPr>
        <w:tc>
          <w:tcPr>
            <w:tcW w:w="2781" w:type="dxa"/>
            <w:shd w:val="clear" w:color="auto" w:fill="5A6378"/>
            <w:vAlign w:val="center"/>
          </w:tcPr>
          <w:p w:rsidRPr="00A6416A" w:rsidR="008F4D68" w:rsidP="00A6416A" w:rsidRDefault="008F4D68">
            <w:pPr>
              <w:spacing w:after="0" w:line="240" w:lineRule="auto"/>
              <w:rPr>
                <w:b/>
                <w:color w:val="FFFFFF"/>
                <w:lang w:val="en-GB"/>
              </w:rPr>
            </w:pPr>
            <w:r w:rsidRPr="00A6416A">
              <w:rPr>
                <w:b/>
                <w:color w:val="FFFFFF"/>
                <w:lang w:val="en-GB"/>
              </w:rPr>
              <w:t>Tel.:</w:t>
            </w:r>
          </w:p>
        </w:tc>
        <w:tc>
          <w:tcPr>
            <w:tcW w:w="5250" w:type="dxa"/>
            <w:vAlign w:val="center"/>
          </w:tcPr>
          <w:p w:rsidRPr="00FA05BB" w:rsidR="008F4D68" w:rsidP="00ED5C91" w:rsidRDefault="00FA05BB">
            <w:pPr>
              <w:spacing w:after="0" w:line="240" w:lineRule="auto"/>
              <w:rPr>
                <w:lang w:val="en-GB"/>
              </w:rPr>
            </w:pPr>
            <w:r w:rsidRPr="00FA05BB">
              <w:t>+420 602 767 087 </w:t>
            </w:r>
          </w:p>
        </w:tc>
      </w:tr>
      <w:tr w:rsidRPr="00A6416A" w:rsidR="008F4D68" w:rsidTr="00A6416A">
        <w:trPr>
          <w:trHeight w:val="326"/>
        </w:trPr>
        <w:tc>
          <w:tcPr>
            <w:tcW w:w="2781" w:type="dxa"/>
            <w:shd w:val="clear" w:color="auto" w:fill="5A6378"/>
            <w:vAlign w:val="center"/>
          </w:tcPr>
          <w:p w:rsidRPr="00A6416A" w:rsidR="008F4D68" w:rsidP="00A6416A" w:rsidRDefault="008F4D68">
            <w:pPr>
              <w:spacing w:after="0" w:line="240" w:lineRule="auto"/>
              <w:rPr>
                <w:b/>
                <w:color w:val="FFFFFF"/>
                <w:lang w:val="en-GB"/>
              </w:rPr>
            </w:pPr>
            <w:r w:rsidRPr="00A6416A">
              <w:rPr>
                <w:b/>
                <w:color w:val="FFFFFF"/>
                <w:lang w:val="en-GB"/>
              </w:rPr>
              <w:t>Email:</w:t>
            </w:r>
          </w:p>
        </w:tc>
        <w:tc>
          <w:tcPr>
            <w:tcW w:w="5250" w:type="dxa"/>
            <w:vAlign w:val="center"/>
          </w:tcPr>
          <w:p w:rsidRPr="00A6416A" w:rsidR="008F4D68" w:rsidP="00ED5C91" w:rsidRDefault="00C70D4D">
            <w:pPr>
              <w:spacing w:after="0" w:line="240" w:lineRule="auto"/>
              <w:rPr>
                <w:lang w:val="en-GB"/>
              </w:rPr>
            </w:pPr>
            <w:hyperlink w:history="true" r:id="rId8">
              <w:r w:rsidRPr="00DC33EB" w:rsidR="00FA05BB">
                <w:rPr>
                  <w:rStyle w:val="Hypertextovodkaz"/>
                  <w:lang w:val="en-GB"/>
                </w:rPr>
                <w:t>pavel@exejeans.com</w:t>
              </w:r>
            </w:hyperlink>
            <w:r w:rsidR="00FA05BB">
              <w:rPr>
                <w:lang w:val="en-GB"/>
              </w:rPr>
              <w:t xml:space="preserve"> </w:t>
            </w:r>
          </w:p>
        </w:tc>
      </w:tr>
      <w:tr w:rsidRPr="00A6416A" w:rsidR="008F4D68" w:rsidTr="00A6416A">
        <w:trPr>
          <w:trHeight w:val="326"/>
        </w:trPr>
        <w:tc>
          <w:tcPr>
            <w:tcW w:w="8031" w:type="dxa"/>
            <w:gridSpan w:val="2"/>
            <w:shd w:val="clear" w:color="auto" w:fill="C0C0C0"/>
            <w:vAlign w:val="center"/>
          </w:tcPr>
          <w:p w:rsidRPr="00A6416A" w:rsidR="008F4D68" w:rsidP="00A6416A" w:rsidRDefault="008F4D68">
            <w:pPr>
              <w:spacing w:after="0" w:line="240" w:lineRule="auto"/>
              <w:rPr>
                <w:b/>
                <w:lang w:val="en-GB"/>
              </w:rPr>
            </w:pPr>
            <w:proofErr w:type="spellStart"/>
            <w:r w:rsidRPr="00A6416A">
              <w:rPr>
                <w:b/>
                <w:lang w:val="en-GB"/>
              </w:rPr>
              <w:t>Zástupce</w:t>
            </w:r>
            <w:proofErr w:type="spellEnd"/>
            <w:r w:rsidRPr="00A6416A">
              <w:rPr>
                <w:b/>
                <w:lang w:val="en-GB"/>
              </w:rPr>
              <w:t xml:space="preserve"> </w:t>
            </w:r>
            <w:proofErr w:type="spellStart"/>
            <w:r w:rsidRPr="00A6416A">
              <w:rPr>
                <w:b/>
                <w:lang w:val="en-GB"/>
              </w:rPr>
              <w:t>zadavatele</w:t>
            </w:r>
            <w:proofErr w:type="spellEnd"/>
            <w:r w:rsidRPr="00A6416A">
              <w:rPr>
                <w:b/>
                <w:lang w:val="en-GB"/>
              </w:rPr>
              <w:t>:</w:t>
            </w:r>
          </w:p>
        </w:tc>
      </w:tr>
      <w:tr w:rsidRPr="00A6416A" w:rsidR="008F4D68" w:rsidTr="00A6416A">
        <w:trPr>
          <w:trHeight w:val="326"/>
        </w:trPr>
        <w:tc>
          <w:tcPr>
            <w:tcW w:w="2781" w:type="dxa"/>
            <w:shd w:val="clear" w:color="auto" w:fill="5A6378"/>
            <w:vAlign w:val="center"/>
          </w:tcPr>
          <w:p w:rsidRPr="00A6416A" w:rsidR="008F4D68" w:rsidP="00A6416A" w:rsidRDefault="008F4D68">
            <w:pPr>
              <w:spacing w:after="0" w:line="240" w:lineRule="auto"/>
              <w:rPr>
                <w:b/>
                <w:color w:val="FFFFFF"/>
                <w:lang w:val="en-GB"/>
              </w:rPr>
            </w:pPr>
            <w:r w:rsidRPr="00A6416A">
              <w:rPr>
                <w:b/>
                <w:color w:val="FFFFFF"/>
                <w:lang w:val="en-GB"/>
              </w:rPr>
              <w:t>Firma:</w:t>
            </w:r>
          </w:p>
        </w:tc>
        <w:tc>
          <w:tcPr>
            <w:tcW w:w="5250" w:type="dxa"/>
            <w:vAlign w:val="center"/>
          </w:tcPr>
          <w:p w:rsidRPr="00A6416A" w:rsidR="008F4D68" w:rsidP="00A6416A" w:rsidRDefault="008F4D68">
            <w:pPr>
              <w:spacing w:after="0" w:line="240" w:lineRule="auto"/>
              <w:rPr>
                <w:lang w:val="en-GB"/>
              </w:rPr>
            </w:pPr>
            <w:r w:rsidRPr="00A6416A">
              <w:rPr>
                <w:lang w:val="en-GB"/>
              </w:rPr>
              <w:t>LEGRO CONSULT s.r.o.</w:t>
            </w:r>
          </w:p>
        </w:tc>
      </w:tr>
      <w:tr w:rsidRPr="00A6416A" w:rsidR="008F4D68" w:rsidTr="00A6416A">
        <w:trPr>
          <w:trHeight w:val="326"/>
        </w:trPr>
        <w:tc>
          <w:tcPr>
            <w:tcW w:w="2781" w:type="dxa"/>
            <w:shd w:val="clear" w:color="auto" w:fill="5A6378"/>
            <w:vAlign w:val="center"/>
          </w:tcPr>
          <w:p w:rsidRPr="00A6416A" w:rsidR="008F4D68" w:rsidP="00A6416A" w:rsidRDefault="008F4D68">
            <w:pPr>
              <w:spacing w:after="0" w:line="240" w:lineRule="auto"/>
              <w:rPr>
                <w:b/>
                <w:color w:val="FFFFFF"/>
                <w:lang w:val="en-GB"/>
              </w:rPr>
            </w:pPr>
            <w:proofErr w:type="spellStart"/>
            <w:r w:rsidRPr="00A6416A">
              <w:rPr>
                <w:b/>
                <w:color w:val="FFFFFF"/>
                <w:lang w:val="en-GB"/>
              </w:rPr>
              <w:t>Adresa</w:t>
            </w:r>
            <w:proofErr w:type="spellEnd"/>
            <w:r w:rsidRPr="00A6416A">
              <w:rPr>
                <w:b/>
                <w:color w:val="FFFFFF"/>
                <w:lang w:val="en-GB"/>
              </w:rPr>
              <w:t>:</w:t>
            </w:r>
          </w:p>
        </w:tc>
        <w:tc>
          <w:tcPr>
            <w:tcW w:w="5250" w:type="dxa"/>
            <w:vAlign w:val="center"/>
          </w:tcPr>
          <w:p w:rsidRPr="00A6416A" w:rsidR="008F4D68" w:rsidP="00A6416A" w:rsidRDefault="008F4D68">
            <w:pPr>
              <w:spacing w:after="0" w:line="240" w:lineRule="auto"/>
              <w:rPr>
                <w:lang w:val="en-GB"/>
              </w:rPr>
            </w:pPr>
            <w:r w:rsidRPr="00A6416A">
              <w:rPr>
                <w:lang w:val="en-GB"/>
              </w:rPr>
              <w:t xml:space="preserve">U </w:t>
            </w:r>
            <w:proofErr w:type="spellStart"/>
            <w:r w:rsidRPr="00A6416A">
              <w:rPr>
                <w:lang w:val="en-GB"/>
              </w:rPr>
              <w:t>Výstaviště</w:t>
            </w:r>
            <w:proofErr w:type="spellEnd"/>
            <w:r w:rsidRPr="00A6416A">
              <w:rPr>
                <w:lang w:val="en-GB"/>
              </w:rPr>
              <w:t xml:space="preserve"> 1485, České Budějovice, 370 05</w:t>
            </w:r>
          </w:p>
        </w:tc>
      </w:tr>
      <w:tr w:rsidRPr="00A6416A" w:rsidR="008F4D68" w:rsidTr="00A6416A">
        <w:trPr>
          <w:trHeight w:val="326"/>
        </w:trPr>
        <w:tc>
          <w:tcPr>
            <w:tcW w:w="2781" w:type="dxa"/>
            <w:shd w:val="clear" w:color="auto" w:fill="5A6378"/>
            <w:vAlign w:val="center"/>
          </w:tcPr>
          <w:p w:rsidRPr="00A6416A" w:rsidR="008F4D68" w:rsidP="00A6416A" w:rsidRDefault="008F4D68">
            <w:pPr>
              <w:spacing w:after="0" w:line="240" w:lineRule="auto"/>
              <w:rPr>
                <w:b/>
                <w:color w:val="FFFFFF"/>
                <w:lang w:val="en-GB"/>
              </w:rPr>
            </w:pPr>
            <w:proofErr w:type="spellStart"/>
            <w:r w:rsidRPr="00A6416A">
              <w:rPr>
                <w:b/>
                <w:color w:val="FFFFFF"/>
                <w:lang w:val="en-GB"/>
              </w:rPr>
              <w:t>Kontaktní</w:t>
            </w:r>
            <w:proofErr w:type="spellEnd"/>
            <w:r w:rsidRPr="00A6416A">
              <w:rPr>
                <w:b/>
                <w:color w:val="FFFFFF"/>
                <w:lang w:val="en-GB"/>
              </w:rPr>
              <w:t xml:space="preserve"> </w:t>
            </w:r>
            <w:proofErr w:type="spellStart"/>
            <w:r w:rsidRPr="00A6416A">
              <w:rPr>
                <w:b/>
                <w:color w:val="FFFFFF"/>
                <w:lang w:val="en-GB"/>
              </w:rPr>
              <w:t>osoba</w:t>
            </w:r>
            <w:proofErr w:type="spellEnd"/>
            <w:r w:rsidRPr="00A6416A">
              <w:rPr>
                <w:b/>
                <w:color w:val="FFFFFF"/>
                <w:lang w:val="en-GB"/>
              </w:rPr>
              <w:t>:</w:t>
            </w:r>
          </w:p>
        </w:tc>
        <w:tc>
          <w:tcPr>
            <w:tcW w:w="5250" w:type="dxa"/>
            <w:vAlign w:val="center"/>
          </w:tcPr>
          <w:p w:rsidRPr="00A6416A" w:rsidR="008F4D68" w:rsidP="00A6416A" w:rsidRDefault="008F4D68">
            <w:pPr>
              <w:spacing w:after="0" w:line="240" w:lineRule="auto"/>
              <w:rPr>
                <w:lang w:val="en-GB"/>
              </w:rPr>
            </w:pPr>
            <w:r w:rsidRPr="00A6416A">
              <w:rPr>
                <w:lang w:val="en-GB"/>
              </w:rPr>
              <w:t>Ing. Michal Novák</w:t>
            </w:r>
          </w:p>
        </w:tc>
      </w:tr>
      <w:tr w:rsidRPr="00A6416A" w:rsidR="008F4D68" w:rsidTr="00A6416A">
        <w:trPr>
          <w:trHeight w:val="326"/>
        </w:trPr>
        <w:tc>
          <w:tcPr>
            <w:tcW w:w="2781" w:type="dxa"/>
            <w:shd w:val="clear" w:color="auto" w:fill="5A6378"/>
            <w:vAlign w:val="center"/>
          </w:tcPr>
          <w:p w:rsidRPr="00A6416A" w:rsidR="008F4D68" w:rsidP="00A6416A" w:rsidRDefault="008F4D68">
            <w:pPr>
              <w:spacing w:after="0" w:line="240" w:lineRule="auto"/>
              <w:rPr>
                <w:b/>
                <w:color w:val="FFFFFF"/>
                <w:lang w:val="en-GB"/>
              </w:rPr>
            </w:pPr>
            <w:r w:rsidRPr="00A6416A">
              <w:rPr>
                <w:b/>
                <w:color w:val="FFFFFF"/>
                <w:lang w:val="en-GB"/>
              </w:rPr>
              <w:t>Tel.:</w:t>
            </w:r>
          </w:p>
        </w:tc>
        <w:tc>
          <w:tcPr>
            <w:tcW w:w="5250" w:type="dxa"/>
            <w:vAlign w:val="center"/>
          </w:tcPr>
          <w:p w:rsidRPr="00A6416A" w:rsidR="008F4D68" w:rsidP="00A6416A" w:rsidRDefault="008F4D68">
            <w:pPr>
              <w:spacing w:after="0" w:line="240" w:lineRule="auto"/>
              <w:rPr>
                <w:lang w:val="en-GB"/>
              </w:rPr>
            </w:pPr>
            <w:r w:rsidRPr="00A6416A">
              <w:rPr>
                <w:lang w:val="en-GB"/>
              </w:rPr>
              <w:t>+420 775 572 247</w:t>
            </w:r>
          </w:p>
        </w:tc>
      </w:tr>
      <w:tr w:rsidRPr="00A6416A" w:rsidR="008F4D68" w:rsidTr="00A6416A">
        <w:trPr>
          <w:trHeight w:val="326"/>
        </w:trPr>
        <w:tc>
          <w:tcPr>
            <w:tcW w:w="2781" w:type="dxa"/>
            <w:shd w:val="clear" w:color="auto" w:fill="5A6378"/>
            <w:vAlign w:val="center"/>
          </w:tcPr>
          <w:p w:rsidRPr="00A6416A" w:rsidR="008F4D68" w:rsidP="00A6416A" w:rsidRDefault="008F4D68">
            <w:pPr>
              <w:spacing w:after="0" w:line="240" w:lineRule="auto"/>
              <w:rPr>
                <w:b/>
                <w:color w:val="FFFFFF"/>
                <w:lang w:val="en-GB"/>
              </w:rPr>
            </w:pPr>
            <w:r w:rsidRPr="00A6416A">
              <w:rPr>
                <w:b/>
                <w:color w:val="FFFFFF"/>
                <w:lang w:val="en-GB"/>
              </w:rPr>
              <w:t>Email:</w:t>
            </w:r>
          </w:p>
        </w:tc>
        <w:tc>
          <w:tcPr>
            <w:tcW w:w="5250" w:type="dxa"/>
            <w:vAlign w:val="center"/>
          </w:tcPr>
          <w:p w:rsidRPr="00A6416A" w:rsidR="008F4D68" w:rsidP="00A6416A" w:rsidRDefault="00C70D4D">
            <w:pPr>
              <w:spacing w:after="0" w:line="240" w:lineRule="auto"/>
              <w:rPr>
                <w:lang w:val="en-GB"/>
              </w:rPr>
            </w:pPr>
            <w:hyperlink w:history="true" r:id="rId9">
              <w:r w:rsidRPr="00DF5271" w:rsidR="00E70000">
                <w:rPr>
                  <w:rStyle w:val="Hypertextovodkaz"/>
                  <w:lang w:val="en-GB"/>
                </w:rPr>
                <w:t>novak@legroconsult.cz</w:t>
              </w:r>
            </w:hyperlink>
            <w:r w:rsidR="00E70000">
              <w:rPr>
                <w:lang w:val="en-GB"/>
              </w:rPr>
              <w:t xml:space="preserve"> </w:t>
            </w:r>
          </w:p>
        </w:tc>
      </w:tr>
    </w:tbl>
    <w:p w:rsidR="008F4D68" w:rsidP="00631D72" w:rsidRDefault="008F4D68">
      <w:pPr>
        <w:pStyle w:val="Nadpis1"/>
        <w:numPr>
          <w:ilvl w:val="0"/>
          <w:numId w:val="12"/>
        </w:numPr>
      </w:pPr>
      <w:r>
        <w:t>Zastoupení zadavatele</w:t>
      </w:r>
    </w:p>
    <w:p w:rsidR="008F4D68" w:rsidP="00631D72" w:rsidRDefault="008F4D68">
      <w:r>
        <w:t>Zadavatel se rozhodl, v souladu s § 151 ZVZ, nechat se zastoupit při výkonu práv a povinností podle zákona souvisejících se zadávacím řízením osobou výše uvedeného zástupce. Zástupce</w:t>
      </w:r>
      <w:r w:rsidRPr="00DA1BD3">
        <w:rPr>
          <w:bCs/>
        </w:rPr>
        <w:t xml:space="preserve"> splňuje požadavek nepodjatosti podle § 74 odst. 7 </w:t>
      </w:r>
      <w:r>
        <w:rPr>
          <w:bCs/>
        </w:rPr>
        <w:t>ZVZ</w:t>
      </w:r>
      <w:r w:rsidRPr="00DA1BD3">
        <w:rPr>
          <w:bCs/>
        </w:rPr>
        <w:t xml:space="preserve"> a žádným způsobem se předmětného zadávacího řízení neúčastní</w:t>
      </w:r>
      <w:r w:rsidRPr="00DA1BD3">
        <w:t>.</w:t>
      </w:r>
      <w:r>
        <w:t xml:space="preserve"> Zástupce zadavatele pro zadání veřejné zakázky je zmocněn zadavatelem k výkonu zadavatelských činností. Zástupce je tak zmocněn k veškerým úkonům souvisejícím se zajištěním průběhu zadávacího řízení, a to však s vyloučením činností uvedených v § 151 odst. 2 ZVZ.</w:t>
      </w:r>
    </w:p>
    <w:p w:rsidR="008F4D68" w:rsidP="001B2CE7" w:rsidRDefault="008F4D68">
      <w:pPr>
        <w:pStyle w:val="Nadpis1"/>
        <w:numPr>
          <w:ilvl w:val="0"/>
          <w:numId w:val="12"/>
        </w:numPr>
      </w:pPr>
      <w:r>
        <w:t>Druh a předmět veřejné zakázky</w:t>
      </w:r>
    </w:p>
    <w:p w:rsidR="008F4D68" w:rsidP="001B2CE7" w:rsidRDefault="008F4D68">
      <w:pPr>
        <w:pStyle w:val="Nadpis2"/>
        <w:numPr>
          <w:ilvl w:val="1"/>
          <w:numId w:val="12"/>
        </w:numPr>
      </w:pPr>
      <w:r>
        <w:t>Druh veřejné zakázky:</w:t>
      </w:r>
    </w:p>
    <w:p w:rsidR="008F4D68" w:rsidP="009651BB" w:rsidRDefault="008F4D68">
      <w:r w:rsidRPr="00C825D4">
        <w:t xml:space="preserve">Podlimitní veřejná zakázka na </w:t>
      </w:r>
      <w:r w:rsidR="00FA05BB">
        <w:t>služby</w:t>
      </w:r>
      <w:r>
        <w:t xml:space="preserve"> – zakázka je zadávána v režimu Zjednodušeného podlimitního řízení</w:t>
      </w:r>
      <w:r w:rsidR="00DA3EC2">
        <w:t xml:space="preserve"> v souladu s § 38 ZVZ</w:t>
      </w:r>
      <w:r>
        <w:t>.</w:t>
      </w:r>
    </w:p>
    <w:p w:rsidR="008F4D68" w:rsidP="001B2CE7" w:rsidRDefault="008F4D68">
      <w:pPr>
        <w:pStyle w:val="Nadpis2"/>
        <w:numPr>
          <w:ilvl w:val="1"/>
          <w:numId w:val="12"/>
        </w:numPr>
      </w:pPr>
      <w:r>
        <w:t>Předmět veřejné zakázky</w:t>
      </w:r>
    </w:p>
    <w:p w:rsidR="008F4D68" w:rsidP="00A32AD2" w:rsidRDefault="008F4D68">
      <w:r>
        <w:t>Předmětem výzvy je podlimitní veřejná zakázka na dodávky s názvem:</w:t>
      </w:r>
    </w:p>
    <w:p w:rsidR="008F4D68" w:rsidP="00FA05BB" w:rsidRDefault="008F4D68">
      <w:pPr>
        <w:jc w:val="center"/>
        <w:rPr>
          <w:b/>
        </w:rPr>
      </w:pPr>
      <w:r w:rsidRPr="00FA05BB">
        <w:rPr>
          <w:b/>
        </w:rPr>
        <w:t>„</w:t>
      </w:r>
      <w:r w:rsidRPr="00FA05BB" w:rsidR="00FA05BB">
        <w:rPr>
          <w:b/>
        </w:rPr>
        <w:t>Zvýšení konkurenceschopnosti firmy EXE JEANS CZ s.r.o. vzděláváním jejich zaměstnanců</w:t>
      </w:r>
      <w:r w:rsidRPr="00FA05BB">
        <w:rPr>
          <w:b/>
        </w:rPr>
        <w:t>“</w:t>
      </w:r>
    </w:p>
    <w:p w:rsidRPr="00AC79C3" w:rsidR="00FA05BB" w:rsidP="00AC79C3" w:rsidRDefault="00FA05BB"/>
    <w:p w:rsidRPr="00AC79C3" w:rsidR="00AC79C3" w:rsidP="00AC79C3" w:rsidRDefault="00AC79C3">
      <w:r w:rsidRPr="00AC79C3">
        <w:lastRenderedPageBreak/>
        <w:t>Hlavním cílem je zvýšení odborných znalostí a dovedností zaměstnanců a zaměstnavatelů firmy EXE</w:t>
      </w:r>
      <w:r>
        <w:t xml:space="preserve"> </w:t>
      </w:r>
      <w:r w:rsidRPr="00AC79C3">
        <w:t>JEANS CZ s.</w:t>
      </w:r>
      <w:proofErr w:type="gramStart"/>
      <w:r w:rsidRPr="00AC79C3">
        <w:t>r.o..</w:t>
      </w:r>
      <w:proofErr w:type="gramEnd"/>
    </w:p>
    <w:p w:rsidRPr="00AC79C3" w:rsidR="00AC79C3" w:rsidP="00AC79C3" w:rsidRDefault="00AC79C3">
      <w:r>
        <w:t>C</w:t>
      </w:r>
      <w:r w:rsidRPr="00AC79C3">
        <w:t>ílem je realizace vzdělávání zaměstnanců</w:t>
      </w:r>
      <w:r>
        <w:t xml:space="preserve"> </w:t>
      </w:r>
      <w:r w:rsidRPr="00AC79C3">
        <w:t xml:space="preserve">žadatele </w:t>
      </w:r>
      <w:r w:rsidR="00042B24">
        <w:t>v 16 vzdělávacích aktivitách. Zakázka je rozdělena do 2 částí, přičemž uchazeči mají možnost podat nabídku na jednotlivé části zakázky, nebo na zakázku jako celek.</w:t>
      </w:r>
    </w:p>
    <w:p w:rsidR="008F4D68" w:rsidP="001B2CE7" w:rsidRDefault="00AC79C3">
      <w:r>
        <w:rPr>
          <w:b/>
        </w:rPr>
        <w:t>Specifikace předmětů zakázky</w:t>
      </w:r>
      <w:r w:rsidRPr="00A361D3" w:rsidR="008F4D68">
        <w:rPr>
          <w:b/>
        </w:rPr>
        <w:t>:</w:t>
      </w:r>
      <w:r w:rsidRPr="001B2CE7" w:rsidR="008F4D68">
        <w:t xml:space="preserve"> </w:t>
      </w:r>
    </w:p>
    <w:p w:rsidR="008F4D68" w:rsidP="009651BB" w:rsidRDefault="008F4D68">
      <w:r>
        <w:t>Veškeré požadavky jsou uvedeny v příloze č. 1 – Zadávací dokumentace, která je nedílnou součástí této výzvy.</w:t>
      </w:r>
    </w:p>
    <w:p w:rsidRPr="001D0EC4" w:rsidR="008F4D68" w:rsidP="00631D72" w:rsidRDefault="008F4D68">
      <w:pPr>
        <w:rPr>
          <w:rFonts w:ascii="Arial" w:hAnsi="Arial" w:cs="Arial"/>
          <w:sz w:val="20"/>
          <w:szCs w:val="20"/>
          <w:lang w:eastAsia="cs-CZ"/>
        </w:rPr>
      </w:pPr>
      <w:r w:rsidRPr="001D0EC4">
        <w:rPr>
          <w:b/>
        </w:rPr>
        <w:t>Kód CPV:</w:t>
      </w:r>
      <w:r w:rsidRPr="001D0EC4">
        <w:tab/>
      </w:r>
      <w:r w:rsidRPr="001D0EC4">
        <w:tab/>
      </w:r>
      <w:r w:rsidRPr="001D0EC4">
        <w:tab/>
      </w:r>
      <w:r w:rsidRPr="001D0EC4">
        <w:tab/>
      </w:r>
      <w:r w:rsidRPr="001D0EC4" w:rsidR="000267EF">
        <w:rPr>
          <w:rFonts w:ascii="Arial" w:hAnsi="Arial" w:eastAsia="Times New Roman" w:cs="Arial"/>
          <w:sz w:val="20"/>
          <w:szCs w:val="20"/>
          <w:lang w:eastAsia="cs-CZ"/>
        </w:rPr>
        <w:t>79632000-3</w:t>
      </w:r>
      <w:r w:rsidRPr="001D0EC4" w:rsidR="000267EF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1D0EC4">
        <w:rPr>
          <w:rFonts w:ascii="Arial" w:hAnsi="Arial" w:cs="Arial"/>
          <w:sz w:val="20"/>
          <w:szCs w:val="20"/>
          <w:lang w:eastAsia="cs-CZ"/>
        </w:rPr>
        <w:t xml:space="preserve">– </w:t>
      </w:r>
      <w:r w:rsidRPr="001D0EC4" w:rsidR="000267EF">
        <w:rPr>
          <w:rFonts w:ascii="Arial" w:hAnsi="Arial" w:eastAsia="Times New Roman" w:cs="Arial"/>
          <w:sz w:val="20"/>
          <w:szCs w:val="20"/>
          <w:lang w:eastAsia="cs-CZ"/>
        </w:rPr>
        <w:t>Vzdělávání zaměstnanců</w:t>
      </w:r>
    </w:p>
    <w:p w:rsidRPr="001D0EC4" w:rsidR="008F4D68" w:rsidP="00A32AD2" w:rsidRDefault="008F4D68">
      <w:pPr>
        <w:rPr>
          <w:b/>
        </w:rPr>
      </w:pPr>
      <w:r w:rsidRPr="001D0EC4">
        <w:rPr>
          <w:b/>
        </w:rPr>
        <w:t>Místo realizace zakázky:</w:t>
      </w:r>
      <w:r w:rsidRPr="001D0EC4">
        <w:rPr>
          <w:b/>
        </w:rPr>
        <w:tab/>
      </w:r>
      <w:r w:rsidRPr="001D0EC4">
        <w:rPr>
          <w:b/>
        </w:rPr>
        <w:tab/>
      </w:r>
      <w:r w:rsidRPr="001D0EC4" w:rsidR="00042B24">
        <w:t>Česká republika</w:t>
      </w:r>
      <w:r w:rsidRPr="001D0EC4">
        <w:rPr>
          <w:b/>
        </w:rPr>
        <w:t xml:space="preserve"> </w:t>
      </w:r>
    </w:p>
    <w:p w:rsidRPr="001D0EC4" w:rsidR="00070D90" w:rsidP="00A32AD2" w:rsidRDefault="001D0EC4">
      <w:r w:rsidRPr="001D0EC4">
        <w:rPr>
          <w:b/>
        </w:rPr>
        <w:t>Termín plnění:</w:t>
      </w:r>
      <w:r w:rsidRPr="001D0EC4">
        <w:rPr>
          <w:b/>
        </w:rPr>
        <w:tab/>
      </w:r>
      <w:r w:rsidRPr="001D0EC4">
        <w:rPr>
          <w:b/>
        </w:rPr>
        <w:tab/>
      </w:r>
      <w:r w:rsidRPr="001D0EC4">
        <w:rPr>
          <w:b/>
        </w:rPr>
        <w:tab/>
      </w:r>
      <w:r w:rsidRPr="001D0EC4">
        <w:rPr>
          <w:b/>
        </w:rPr>
        <w:tab/>
      </w:r>
      <w:r w:rsidRPr="001D0EC4">
        <w:t xml:space="preserve">cca 20 měsíců – harmonogram kurzů bude specifikován po </w:t>
      </w:r>
      <w:r w:rsidRPr="001D0EC4">
        <w:tab/>
      </w:r>
      <w:r w:rsidRPr="001D0EC4">
        <w:tab/>
      </w:r>
      <w:r w:rsidRPr="001D0EC4">
        <w:tab/>
      </w:r>
      <w:r w:rsidRPr="001D0EC4">
        <w:tab/>
      </w:r>
      <w:r w:rsidRPr="001D0EC4">
        <w:tab/>
        <w:t>ukončení výběrového řízení s vítězným uchazečem</w:t>
      </w:r>
      <w:r w:rsidRPr="001D0EC4" w:rsidR="00070D90">
        <w:t xml:space="preserve"> </w:t>
      </w:r>
    </w:p>
    <w:p w:rsidR="008F4D68" w:rsidP="00A32AD2" w:rsidRDefault="008F4D68">
      <w:r w:rsidRPr="001D0EC4">
        <w:rPr>
          <w:b/>
        </w:rPr>
        <w:t xml:space="preserve">Předpokládaná </w:t>
      </w:r>
      <w:r w:rsidR="002B028D">
        <w:rPr>
          <w:b/>
        </w:rPr>
        <w:t>hodnota</w:t>
      </w:r>
      <w:r w:rsidRPr="001D0EC4">
        <w:rPr>
          <w:b/>
        </w:rPr>
        <w:t xml:space="preserve"> zakázky činí:</w:t>
      </w:r>
      <w:r w:rsidRPr="001D0EC4">
        <w:tab/>
      </w:r>
      <w:r w:rsidRPr="001D0EC4" w:rsidR="00BB4AE7">
        <w:t>1</w:t>
      </w:r>
      <w:r w:rsidRPr="001D0EC4" w:rsidR="00042B24">
        <w:t>.</w:t>
      </w:r>
      <w:r w:rsidR="00AB78F7">
        <w:t>597</w:t>
      </w:r>
      <w:r w:rsidRPr="001D0EC4" w:rsidR="00BB4AE7">
        <w:t>.</w:t>
      </w:r>
      <w:r w:rsidR="00AB78F7">
        <w:t>2</w:t>
      </w:r>
      <w:r w:rsidRPr="001D0EC4" w:rsidR="00BB4AE7">
        <w:t>00</w:t>
      </w:r>
      <w:r w:rsidRPr="001D0EC4">
        <w:t>,- Kč bez DPH.</w:t>
      </w:r>
    </w:p>
    <w:p w:rsidR="002B028D" w:rsidP="00A32AD2" w:rsidRDefault="002B028D">
      <w:r>
        <w:t xml:space="preserve">Předpokládaná </w:t>
      </w:r>
      <w:r>
        <w:tab/>
        <w:t>hodnota 1. část:</w:t>
      </w:r>
      <w:r>
        <w:tab/>
        <w:t>823.200,- Kč bez DPH</w:t>
      </w:r>
    </w:p>
    <w:p w:rsidR="002B028D" w:rsidP="002B028D" w:rsidRDefault="002B028D">
      <w:r>
        <w:t xml:space="preserve">Předpokládaná </w:t>
      </w:r>
      <w:r>
        <w:tab/>
        <w:t>hodnota 2. část:</w:t>
      </w:r>
      <w:r>
        <w:tab/>
        <w:t>774.000,- Kč bez DPH</w:t>
      </w:r>
    </w:p>
    <w:p w:rsidRPr="00C07B30" w:rsidR="00C07B30" w:rsidP="002B028D" w:rsidRDefault="002B028D">
      <w:r>
        <w:tab/>
      </w:r>
      <w:r w:rsidRPr="00C07B30" w:rsidR="00C07B30">
        <w:t xml:space="preserve">Vzhledem k limitovaným finančním prostředkům zadavatele na tuto zakázku bude nabídka </w:t>
      </w:r>
      <w:r>
        <w:tab/>
      </w:r>
      <w:r w:rsidRPr="00C07B30" w:rsidR="00C07B30">
        <w:t>s nabídkovou cenou převyšující maximální hodnotu zakázky hodnocena jako nepřijatelná.</w:t>
      </w:r>
    </w:p>
    <w:p w:rsidR="00C07B30" w:rsidP="00C07B30" w:rsidRDefault="00C07B30">
      <w:pPr>
        <w:ind w:left="705"/>
      </w:pPr>
      <w:r w:rsidRPr="001D0EC4">
        <w:t>Cena zahrnuje veškeré náklady na zakázku včetně cestovné</w:t>
      </w:r>
      <w:r w:rsidR="00FF3904">
        <w:t>ho</w:t>
      </w:r>
      <w:r w:rsidRPr="001D0EC4">
        <w:t xml:space="preserve"> a stravné</w:t>
      </w:r>
      <w:r w:rsidR="00FF3904">
        <w:t>ho lektorů</w:t>
      </w:r>
      <w:r w:rsidRPr="001D0EC4">
        <w:t>, studijn</w:t>
      </w:r>
      <w:r w:rsidR="00FF3904">
        <w:t>ích</w:t>
      </w:r>
      <w:r w:rsidRPr="001D0EC4">
        <w:t xml:space="preserve"> materiá</w:t>
      </w:r>
      <w:r w:rsidR="00FF3904">
        <w:t>lů</w:t>
      </w:r>
      <w:r w:rsidRPr="001D0EC4">
        <w:t xml:space="preserve"> (v písemné formě) pro školenou skupinu zaměstnanců, osobní</w:t>
      </w:r>
      <w:r w:rsidR="00FF3904">
        <w:t>ch</w:t>
      </w:r>
      <w:r w:rsidRPr="001D0EC4">
        <w:t xml:space="preserve"> konzultac</w:t>
      </w:r>
      <w:r w:rsidR="00FF3904">
        <w:t>í</w:t>
      </w:r>
      <w:r w:rsidRPr="001D0EC4">
        <w:t xml:space="preserve"> před začátkem jednotlivých kurzů a jejich případn</w:t>
      </w:r>
      <w:r w:rsidR="00FF3904">
        <w:t>ých</w:t>
      </w:r>
      <w:r w:rsidRPr="001D0EC4">
        <w:t xml:space="preserve"> úprav dle aktuálního požadavku zadavatele, zpracování výstupních dokumentů. Každý absolvent obdrží certifikát školitele a provede písemné hodnocení školení.</w:t>
      </w:r>
    </w:p>
    <w:p w:rsidRPr="003F1DE1" w:rsidR="008F4D68" w:rsidP="006A35E6" w:rsidRDefault="008F4D68">
      <w:pPr>
        <w:pStyle w:val="Nadpis1"/>
        <w:numPr>
          <w:ilvl w:val="0"/>
          <w:numId w:val="12"/>
        </w:numPr>
      </w:pPr>
      <w:r w:rsidRPr="003F1DE1">
        <w:t>Lhůta a místo pro podání nabídek</w:t>
      </w:r>
    </w:p>
    <w:p w:rsidRPr="003F1DE1" w:rsidR="008F4D68" w:rsidP="006A35E6" w:rsidRDefault="008F4D68">
      <w:pPr>
        <w:pStyle w:val="Nadpis2"/>
        <w:numPr>
          <w:ilvl w:val="1"/>
          <w:numId w:val="12"/>
        </w:numPr>
      </w:pPr>
      <w:bookmarkStart w:name="_Toc208975064" w:id="0"/>
      <w:r w:rsidRPr="003F1DE1">
        <w:t>Lhůta pro podání nabídek</w:t>
      </w:r>
      <w:bookmarkEnd w:id="0"/>
    </w:p>
    <w:p w:rsidRPr="003F1DE1" w:rsidR="008F4D68" w:rsidP="00A32AD2" w:rsidRDefault="008F4D68">
      <w:r w:rsidRPr="000434F3">
        <w:t xml:space="preserve">Lhůta pro podání nabídek je stanovena na </w:t>
      </w:r>
      <w:proofErr w:type="gramStart"/>
      <w:r w:rsidR="007466B4">
        <w:t>29</w:t>
      </w:r>
      <w:r w:rsidR="001D0EC4">
        <w:t>.</w:t>
      </w:r>
      <w:r w:rsidR="007466B4">
        <w:t>10</w:t>
      </w:r>
      <w:r w:rsidR="0060310E">
        <w:t>.2013</w:t>
      </w:r>
      <w:proofErr w:type="gramEnd"/>
      <w:r>
        <w:t xml:space="preserve"> </w:t>
      </w:r>
      <w:r w:rsidRPr="000434F3">
        <w:t xml:space="preserve">do </w:t>
      </w:r>
      <w:r w:rsidR="007466B4">
        <w:t>14</w:t>
      </w:r>
      <w:r w:rsidR="00D3280F">
        <w:t>:00</w:t>
      </w:r>
      <w:r w:rsidRPr="000434F3">
        <w:t xml:space="preserve"> hod.</w:t>
      </w:r>
    </w:p>
    <w:p w:rsidRPr="003F1DE1" w:rsidR="008F4D68" w:rsidP="006A35E6" w:rsidRDefault="008F4D68">
      <w:pPr>
        <w:pStyle w:val="Nadpis2"/>
        <w:numPr>
          <w:ilvl w:val="1"/>
          <w:numId w:val="12"/>
        </w:numPr>
      </w:pPr>
      <w:bookmarkStart w:name="_Toc208975065" w:id="1"/>
      <w:r w:rsidRPr="003F1DE1">
        <w:t>Místo pro podání nabídek</w:t>
      </w:r>
      <w:bookmarkEnd w:id="1"/>
    </w:p>
    <w:p w:rsidRPr="003F1DE1" w:rsidR="008F4D68" w:rsidP="00A32AD2" w:rsidRDefault="008F4D68">
      <w:r w:rsidRPr="003F1DE1">
        <w:t>Nabídky se doručují na adresu:</w:t>
      </w:r>
    </w:p>
    <w:p w:rsidRPr="003F1DE1" w:rsidR="008F4D68" w:rsidP="001D0EC4" w:rsidRDefault="001D0EC4">
      <w:pPr>
        <w:numPr>
          <w:ilvl w:val="0"/>
          <w:numId w:val="1"/>
        </w:numPr>
        <w:spacing w:line="240" w:lineRule="auto"/>
      </w:pPr>
      <w:r>
        <w:rPr>
          <w:lang w:val="en-GB"/>
        </w:rPr>
        <w:t xml:space="preserve">EXE JEANS CZ s.r.o., </w:t>
      </w:r>
      <w:r w:rsidRPr="001D0EC4">
        <w:t xml:space="preserve">K </w:t>
      </w:r>
      <w:proofErr w:type="spellStart"/>
      <w:r w:rsidRPr="001D0EC4">
        <w:t>Raškovci</w:t>
      </w:r>
      <w:proofErr w:type="spellEnd"/>
      <w:r w:rsidRPr="001D0EC4">
        <w:t xml:space="preserve"> 851</w:t>
      </w:r>
      <w:r>
        <w:t xml:space="preserve">, </w:t>
      </w:r>
      <w:r w:rsidRPr="001D0EC4">
        <w:t>280 02 Kolín V</w:t>
      </w:r>
      <w:r w:rsidR="008F4D68">
        <w:t>;</w:t>
      </w:r>
    </w:p>
    <w:p w:rsidRPr="003F1DE1" w:rsidR="008F4D68" w:rsidP="00A32AD2" w:rsidRDefault="008F4D68">
      <w:r w:rsidRPr="003F1DE1">
        <w:t>a to následujícími způsoby:</w:t>
      </w:r>
    </w:p>
    <w:p w:rsidRPr="003F1DE1" w:rsidR="008F4D68" w:rsidP="00A32AD2" w:rsidRDefault="008F4D68">
      <w:pPr>
        <w:numPr>
          <w:ilvl w:val="0"/>
          <w:numId w:val="2"/>
        </w:numPr>
        <w:spacing w:line="240" w:lineRule="auto"/>
      </w:pPr>
      <w:r w:rsidRPr="003F1DE1">
        <w:t>doporučeně poštou,</w:t>
      </w:r>
    </w:p>
    <w:p w:rsidR="008F4D68" w:rsidP="00A32AD2" w:rsidRDefault="001D0EC4">
      <w:pPr>
        <w:numPr>
          <w:ilvl w:val="0"/>
          <w:numId w:val="2"/>
        </w:numPr>
        <w:spacing w:line="240" w:lineRule="auto"/>
      </w:pPr>
      <w:r>
        <w:t>osobně (</w:t>
      </w:r>
      <w:proofErr w:type="gramStart"/>
      <w:r>
        <w:t>Po</w:t>
      </w:r>
      <w:proofErr w:type="gramEnd"/>
      <w:r>
        <w:t xml:space="preserve"> – Pá; od 08:00 do 15:00)</w:t>
      </w:r>
    </w:p>
    <w:p w:rsidR="008F4D68" w:rsidP="0062495A" w:rsidRDefault="008F4D68">
      <w:pPr>
        <w:pStyle w:val="Nadpis1"/>
        <w:numPr>
          <w:ilvl w:val="0"/>
          <w:numId w:val="12"/>
        </w:numPr>
      </w:pPr>
      <w:bookmarkStart w:name="_Toc208975069" w:id="2"/>
      <w:r w:rsidRPr="000B2CF4">
        <w:t>Termín</w:t>
      </w:r>
      <w:r>
        <w:t xml:space="preserve"> a místo pro otevírání a hodnocení nabídek</w:t>
      </w:r>
      <w:bookmarkEnd w:id="2"/>
    </w:p>
    <w:p w:rsidR="008F4D68" w:rsidP="0062495A" w:rsidRDefault="008F4D68">
      <w:pPr>
        <w:pStyle w:val="Nadpis2"/>
        <w:numPr>
          <w:ilvl w:val="1"/>
          <w:numId w:val="12"/>
        </w:numPr>
      </w:pPr>
      <w:bookmarkStart w:name="_Toc208975070" w:id="3"/>
      <w:r>
        <w:t xml:space="preserve">Termín </w:t>
      </w:r>
      <w:r w:rsidRPr="000B2CF4">
        <w:t>otevírání</w:t>
      </w:r>
      <w:r>
        <w:t xml:space="preserve"> </w:t>
      </w:r>
      <w:bookmarkEnd w:id="3"/>
      <w:r>
        <w:t>obálek</w:t>
      </w:r>
    </w:p>
    <w:p w:rsidRPr="00FD0160" w:rsidR="008F4D68" w:rsidP="0062495A" w:rsidRDefault="008F4D68">
      <w:r w:rsidRPr="000434F3">
        <w:t xml:space="preserve">Otevírání obálek proběhne dne </w:t>
      </w:r>
      <w:proofErr w:type="gramStart"/>
      <w:r w:rsidR="007466B4">
        <w:t>29</w:t>
      </w:r>
      <w:r w:rsidR="001D0EC4">
        <w:t>.</w:t>
      </w:r>
      <w:r w:rsidR="007466B4">
        <w:t>10</w:t>
      </w:r>
      <w:r w:rsidR="0060310E">
        <w:t>.2013</w:t>
      </w:r>
      <w:proofErr w:type="gramEnd"/>
      <w:r>
        <w:t xml:space="preserve"> </w:t>
      </w:r>
      <w:r w:rsidRPr="000434F3">
        <w:t xml:space="preserve">od </w:t>
      </w:r>
      <w:r w:rsidR="007466B4">
        <w:t>14</w:t>
      </w:r>
      <w:r w:rsidR="0060310E">
        <w:t>:00</w:t>
      </w:r>
      <w:r>
        <w:t xml:space="preserve"> </w:t>
      </w:r>
      <w:r w:rsidRPr="000434F3">
        <w:t>hod.</w:t>
      </w:r>
    </w:p>
    <w:p w:rsidR="008F4D68" w:rsidP="0062495A" w:rsidRDefault="008F4D68">
      <w:r w:rsidRPr="00953DB5">
        <w:lastRenderedPageBreak/>
        <w:t xml:space="preserve">Nabídky budou hodnoceny </w:t>
      </w:r>
      <w:r>
        <w:t>způsobem uvedeným v</w:t>
      </w:r>
      <w:r w:rsidR="001D0EC4">
        <w:t> kapitole č. 8</w:t>
      </w:r>
      <w:r>
        <w:rPr>
          <w:color w:val="000000"/>
        </w:rPr>
        <w:t>.</w:t>
      </w:r>
    </w:p>
    <w:p w:rsidR="008F4D68" w:rsidP="0062495A" w:rsidRDefault="008F4D68">
      <w:pPr>
        <w:pStyle w:val="Nadpis2"/>
        <w:numPr>
          <w:ilvl w:val="1"/>
          <w:numId w:val="12"/>
        </w:numPr>
      </w:pPr>
      <w:bookmarkStart w:name="_Toc208975071" w:id="4"/>
      <w:r>
        <w:t xml:space="preserve">Místo otevírání </w:t>
      </w:r>
      <w:bookmarkEnd w:id="4"/>
      <w:r>
        <w:t>obálek</w:t>
      </w:r>
    </w:p>
    <w:p w:rsidRPr="009C4154" w:rsidR="008F4D68" w:rsidP="0062495A" w:rsidRDefault="008F4D68">
      <w:r>
        <w:t>Místo otevírání obálek</w:t>
      </w:r>
      <w:r w:rsidRPr="009C4154">
        <w:t>:</w:t>
      </w:r>
    </w:p>
    <w:p w:rsidRPr="003F1DE1" w:rsidR="00AC79C3" w:rsidP="00AC79C3" w:rsidRDefault="001D0EC4">
      <w:pPr>
        <w:numPr>
          <w:ilvl w:val="0"/>
          <w:numId w:val="1"/>
        </w:numPr>
        <w:spacing w:line="240" w:lineRule="auto"/>
      </w:pPr>
      <w:r>
        <w:rPr>
          <w:lang w:val="en-GB"/>
        </w:rPr>
        <w:t xml:space="preserve">EXE JEANS CZ s.r.o., </w:t>
      </w:r>
      <w:r w:rsidRPr="001D0EC4">
        <w:t xml:space="preserve">K </w:t>
      </w:r>
      <w:proofErr w:type="spellStart"/>
      <w:r w:rsidRPr="001D0EC4">
        <w:t>Raškovci</w:t>
      </w:r>
      <w:proofErr w:type="spellEnd"/>
      <w:r w:rsidRPr="001D0EC4">
        <w:t xml:space="preserve"> 851</w:t>
      </w:r>
      <w:r>
        <w:t xml:space="preserve">, </w:t>
      </w:r>
      <w:r w:rsidRPr="001D0EC4">
        <w:t>280 02 Kolín V</w:t>
      </w:r>
      <w:r w:rsidR="00AC79C3">
        <w:t>;</w:t>
      </w:r>
    </w:p>
    <w:p w:rsidR="008F4D68" w:rsidP="0062495A" w:rsidRDefault="008F4D68">
      <w:pPr>
        <w:pStyle w:val="Nadpis1"/>
        <w:numPr>
          <w:ilvl w:val="0"/>
          <w:numId w:val="12"/>
        </w:numPr>
      </w:pPr>
      <w:r>
        <w:t>Požadavky na prokázání splnění kvalifikace</w:t>
      </w:r>
    </w:p>
    <w:p w:rsidRPr="008D128C" w:rsidR="008F4D68" w:rsidP="003246CC" w:rsidRDefault="008F4D68">
      <w:pPr>
        <w:spacing w:after="200"/>
        <w:jc w:val="left"/>
      </w:pPr>
      <w:r w:rsidRPr="008D128C">
        <w:t>Předpokladem účasti zájemce v tomto zadávacím řízení je splnění kvalifikace v rozsahu stanoveném zadavatelem, čímž se rozumí:</w:t>
      </w:r>
    </w:p>
    <w:p w:rsidRPr="008D128C" w:rsidR="008F4D68" w:rsidP="003246CC" w:rsidRDefault="008F4D68">
      <w:pPr>
        <w:numPr>
          <w:ilvl w:val="0"/>
          <w:numId w:val="18"/>
        </w:numPr>
        <w:spacing w:after="0"/>
        <w:ind w:left="714" w:hanging="357"/>
        <w:jc w:val="left"/>
      </w:pPr>
      <w:r w:rsidRPr="008D128C">
        <w:t>Prokázání základních kvalifikačních předpokladů</w:t>
      </w:r>
      <w:r w:rsidR="00DA3EC2">
        <w:t xml:space="preserve"> - § 53 ZVZ </w:t>
      </w:r>
    </w:p>
    <w:p w:rsidR="008F4D68" w:rsidP="003246CC" w:rsidRDefault="008F4D68">
      <w:pPr>
        <w:numPr>
          <w:ilvl w:val="0"/>
          <w:numId w:val="18"/>
        </w:numPr>
        <w:spacing w:after="0"/>
        <w:ind w:left="714" w:hanging="357"/>
        <w:jc w:val="left"/>
      </w:pPr>
      <w:r w:rsidRPr="008D128C">
        <w:t>Prokázání profesních kvalifikačních předpokladů</w:t>
      </w:r>
      <w:r w:rsidR="00DA3EC2">
        <w:t xml:space="preserve"> - § 54 ZVZ</w:t>
      </w:r>
    </w:p>
    <w:p w:rsidR="00AC79C3" w:rsidP="003246CC" w:rsidRDefault="00AC79C3">
      <w:pPr>
        <w:numPr>
          <w:ilvl w:val="0"/>
          <w:numId w:val="18"/>
        </w:numPr>
        <w:spacing w:after="0"/>
        <w:ind w:left="714" w:hanging="357"/>
        <w:jc w:val="left"/>
      </w:pPr>
      <w:r>
        <w:t xml:space="preserve">Prokázání technických kvalifikačních </w:t>
      </w:r>
      <w:r w:rsidRPr="00603A17">
        <w:t xml:space="preserve">předpokladů - </w:t>
      </w:r>
      <w:r w:rsidRPr="00603A17" w:rsidR="00603A17">
        <w:t>§ 56 ZVZ</w:t>
      </w:r>
    </w:p>
    <w:p w:rsidRPr="00510944" w:rsidR="008F4D68" w:rsidP="003246CC" w:rsidRDefault="008F4D68">
      <w:pPr>
        <w:numPr>
          <w:ilvl w:val="0"/>
          <w:numId w:val="18"/>
        </w:numPr>
        <w:spacing w:after="0"/>
        <w:ind w:left="714" w:hanging="357"/>
        <w:jc w:val="left"/>
      </w:pPr>
      <w:r w:rsidRPr="00510944">
        <w:t>Prokázání finanční a ekonomické způsobilosti</w:t>
      </w:r>
      <w:r w:rsidR="00DA3EC2">
        <w:t xml:space="preserve"> - § 50, odst. 1) písm. c) ZVZ</w:t>
      </w:r>
    </w:p>
    <w:p w:rsidRPr="008D128C" w:rsidR="008F4D68" w:rsidP="003246CC" w:rsidRDefault="008F4D68">
      <w:pPr>
        <w:spacing w:after="200"/>
        <w:jc w:val="left"/>
      </w:pPr>
      <w:r w:rsidRPr="008D128C">
        <w:t>Pokud není dodavatel schopen prokázat splnění určité části kvalifikace požadované veřejným zadavatelem podle § 50 odst. 1 písm. b) a d)</w:t>
      </w:r>
      <w:r>
        <w:t xml:space="preserve"> ZVZ </w:t>
      </w:r>
      <w:r w:rsidRPr="008D128C">
        <w:t xml:space="preserve"> v plném rozsahu, je oprávněn splnění kvalifikace v chybějícím rozsahu prokázat prostřednictvím subdodavatele.</w:t>
      </w:r>
    </w:p>
    <w:p w:rsidRPr="008D128C" w:rsidR="008F4D68" w:rsidP="003246CC" w:rsidRDefault="008F4D68">
      <w:pPr>
        <w:spacing w:after="200"/>
        <w:jc w:val="left"/>
      </w:pPr>
      <w:r w:rsidRPr="008D128C">
        <w:t>Dodavatel je v takovém případě povinen veřejnému zadavateli předložit</w:t>
      </w:r>
    </w:p>
    <w:p w:rsidRPr="008D128C" w:rsidR="008F4D68" w:rsidP="003246CC" w:rsidRDefault="008F4D68">
      <w:pPr>
        <w:numPr>
          <w:ilvl w:val="0"/>
          <w:numId w:val="19"/>
        </w:numPr>
        <w:spacing w:after="200"/>
        <w:jc w:val="left"/>
      </w:pPr>
      <w:r w:rsidRPr="008D128C">
        <w:t>doklady prokazující splnění základního kvalifikačního předpokladu podle § 53 odst. 1 písm. j)</w:t>
      </w:r>
      <w:r>
        <w:t xml:space="preserve"> ZVZ</w:t>
      </w:r>
      <w:r w:rsidRPr="008D128C">
        <w:t xml:space="preserve"> a profesního kvalifikačního předpokladu podle § 54 písm. a)</w:t>
      </w:r>
      <w:r>
        <w:t xml:space="preserve"> ZVZ</w:t>
      </w:r>
      <w:r w:rsidRPr="008D128C">
        <w:t xml:space="preserve"> subdodavatelem a</w:t>
      </w:r>
    </w:p>
    <w:p w:rsidRPr="008D128C" w:rsidR="008F4D68" w:rsidP="003246CC" w:rsidRDefault="008F4D68">
      <w:pPr>
        <w:numPr>
          <w:ilvl w:val="0"/>
          <w:numId w:val="19"/>
        </w:numPr>
        <w:spacing w:after="200"/>
        <w:jc w:val="left"/>
      </w:pPr>
      <w:r w:rsidRPr="008D128C">
        <w:t>smlouvu uzavřenou se subdodavatelem, z níž vyplývá závazek subdodavatele k poskytnutí plnění určeného k plnění veřejné zakázky dodavatelem či k poskytnutí věcí či práv, s nimiž bude dodavatel oprávněn disponovat v rámci plnění veřejné zakázky, a to alespoň v rozsahu, v jakém subdodavatel prokázal splnění kvalifikace p</w:t>
      </w:r>
      <w:r>
        <w:t>odle § 50 odst. 1 písm. b) a d) ZVZ.</w:t>
      </w:r>
    </w:p>
    <w:p w:rsidRPr="008D128C" w:rsidR="008F4D68" w:rsidP="003246CC" w:rsidRDefault="008F4D68">
      <w:pPr>
        <w:spacing w:after="200"/>
        <w:jc w:val="left"/>
      </w:pPr>
      <w:r w:rsidRPr="008D128C">
        <w:t>Dodavatel není oprávněn prostřednictvím subdodavatele prokázat splnění kvalifikace podle § 54 písm. a)</w:t>
      </w:r>
      <w:r>
        <w:t xml:space="preserve"> ZVZ </w:t>
      </w:r>
      <w:r w:rsidRPr="008D128C">
        <w:t>(tzn. výpis z obchodního rejstříku, pokud je v něm zapsán, či výpis z jiné obdobné evidence, pokud je v ní zapsán).</w:t>
      </w:r>
    </w:p>
    <w:p w:rsidRPr="00F5003A" w:rsidR="008F4D68" w:rsidP="003246CC" w:rsidRDefault="008F4D68">
      <w:pPr>
        <w:spacing w:after="200"/>
        <w:jc w:val="left"/>
        <w:rPr>
          <w:b/>
          <w:u w:val="single"/>
        </w:rPr>
      </w:pPr>
      <w:r w:rsidRPr="00F5003A">
        <w:rPr>
          <w:b/>
          <w:u w:val="single"/>
        </w:rPr>
        <w:t>Prokázání základních kvalifikačních předpokladů</w:t>
      </w:r>
    </w:p>
    <w:p w:rsidRPr="00F5003A" w:rsidR="008F4D68" w:rsidP="003246CC" w:rsidRDefault="008F4D68">
      <w:pPr>
        <w:spacing w:after="200"/>
        <w:jc w:val="left"/>
        <w:rPr>
          <w:b/>
        </w:rPr>
      </w:pPr>
      <w:r w:rsidRPr="00F5003A">
        <w:rPr>
          <w:b/>
        </w:rPr>
        <w:t>Požadavek:</w:t>
      </w:r>
    </w:p>
    <w:p w:rsidRPr="008D128C" w:rsidR="008F4D68" w:rsidP="003246CC" w:rsidRDefault="008F4D68">
      <w:pPr>
        <w:spacing w:after="200"/>
        <w:jc w:val="left"/>
      </w:pPr>
      <w:r w:rsidRPr="008D128C">
        <w:t>Zadavatel požaduje prokázání Základních kvalifikačních předpokladů podle § 53 odst. 1)</w:t>
      </w:r>
      <w:r>
        <w:t xml:space="preserve"> ZVZ</w:t>
      </w:r>
      <w:r w:rsidRPr="008D128C">
        <w:t xml:space="preserve">. </w:t>
      </w:r>
    </w:p>
    <w:p w:rsidRPr="00F5003A" w:rsidR="008F4D68" w:rsidP="003246CC" w:rsidRDefault="008F4D68">
      <w:pPr>
        <w:spacing w:after="200"/>
        <w:jc w:val="left"/>
        <w:rPr>
          <w:b/>
          <w:u w:val="single"/>
        </w:rPr>
      </w:pPr>
      <w:r w:rsidRPr="00F5003A">
        <w:rPr>
          <w:b/>
          <w:u w:val="single"/>
        </w:rPr>
        <w:t>Prokázání profesních kvalifikačních předpokladů</w:t>
      </w:r>
    </w:p>
    <w:p w:rsidRPr="00F5003A" w:rsidR="008F4D68" w:rsidP="003246CC" w:rsidRDefault="008F4D68">
      <w:pPr>
        <w:spacing w:after="200"/>
        <w:jc w:val="left"/>
        <w:rPr>
          <w:b/>
        </w:rPr>
      </w:pPr>
      <w:r w:rsidRPr="00F5003A">
        <w:rPr>
          <w:b/>
        </w:rPr>
        <w:t>Požadavek:</w:t>
      </w:r>
    </w:p>
    <w:p w:rsidRPr="008D128C" w:rsidR="008F4D68" w:rsidP="003246CC" w:rsidRDefault="008F4D68">
      <w:pPr>
        <w:spacing w:after="200"/>
        <w:jc w:val="left"/>
      </w:pPr>
      <w:r w:rsidRPr="008D128C">
        <w:t>Zadavatel požaduje prokázání Profesních kvalifikačních předpokladů podle § 54 p</w:t>
      </w:r>
      <w:r>
        <w:t>ísm. a) a b) ZVZ.</w:t>
      </w:r>
    </w:p>
    <w:p w:rsidRPr="00F5003A" w:rsidR="00603A17" w:rsidP="00603A17" w:rsidRDefault="007634B7">
      <w:pPr>
        <w:spacing w:after="200"/>
        <w:jc w:val="left"/>
        <w:rPr>
          <w:b/>
          <w:u w:val="single"/>
        </w:rPr>
      </w:pPr>
      <w:r>
        <w:rPr>
          <w:b/>
          <w:u w:val="single"/>
        </w:rPr>
        <w:br w:type="page"/>
      </w:r>
      <w:r w:rsidRPr="00F5003A" w:rsidR="00603A17">
        <w:rPr>
          <w:b/>
          <w:u w:val="single"/>
        </w:rPr>
        <w:lastRenderedPageBreak/>
        <w:t>Prokázání technických kvalifikačních předpokladů</w:t>
      </w:r>
    </w:p>
    <w:p w:rsidRPr="00F5003A" w:rsidR="00603A17" w:rsidP="00603A17" w:rsidRDefault="00603A17">
      <w:pPr>
        <w:spacing w:after="200"/>
        <w:jc w:val="left"/>
        <w:rPr>
          <w:b/>
        </w:rPr>
      </w:pPr>
      <w:r w:rsidRPr="00F5003A">
        <w:rPr>
          <w:b/>
        </w:rPr>
        <w:t>Požadavek:</w:t>
      </w:r>
    </w:p>
    <w:p w:rsidR="00603A17" w:rsidP="00603A17" w:rsidRDefault="00603A17">
      <w:pPr>
        <w:spacing w:after="200"/>
        <w:jc w:val="left"/>
      </w:pPr>
      <w:r w:rsidRPr="00603A17">
        <w:t xml:space="preserve">K prokázání splnění technických kvalifikačních předpokladů dodavatele pro plnění zakázky </w:t>
      </w:r>
      <w:r>
        <w:t>zadavatel požaduje</w:t>
      </w:r>
      <w:r w:rsidR="00C07B30">
        <w:t xml:space="preserve"> předložení seznamu významných zakázek v posledních 3 letech s uvedením jejich rozsahu a doby poskytnutí. Zadavatel požaduje předložení min. </w:t>
      </w:r>
      <w:r w:rsidR="00D41801">
        <w:t>5</w:t>
      </w:r>
      <w:r w:rsidR="00C07B30">
        <w:t xml:space="preserve"> zakázek v hodnotě nad 1.</w:t>
      </w:r>
      <w:r w:rsidR="00D41801">
        <w:t>5</w:t>
      </w:r>
      <w:r w:rsidR="00C07B30">
        <w:t>00.000,- Kč bez DPH.</w:t>
      </w:r>
    </w:p>
    <w:p w:rsidRPr="00F5003A" w:rsidR="00C07B30" w:rsidP="00603A17" w:rsidRDefault="00C07B30">
      <w:pPr>
        <w:spacing w:after="200"/>
        <w:jc w:val="left"/>
        <w:rPr>
          <w:b/>
        </w:rPr>
      </w:pPr>
      <w:r w:rsidRPr="00F5003A">
        <w:rPr>
          <w:b/>
        </w:rPr>
        <w:t>Způsob prokázání:</w:t>
      </w:r>
    </w:p>
    <w:p w:rsidRPr="00603A17" w:rsidR="00603A17" w:rsidP="002B028D" w:rsidRDefault="00C07B30">
      <w:pPr>
        <w:spacing w:after="200"/>
        <w:jc w:val="left"/>
      </w:pPr>
      <w:r>
        <w:t>S</w:t>
      </w:r>
      <w:r w:rsidRPr="00603A17" w:rsidR="00603A17">
        <w:t>eznam významných služeb poskytnutých dodavatelem v posledních 3 letech a s uvedením jejich rozsahu a doby poskytnutí</w:t>
      </w:r>
      <w:r w:rsidR="002B028D">
        <w:t>. Seznam bude mít formu čestného prohlášení.</w:t>
      </w:r>
    </w:p>
    <w:p w:rsidRPr="00F5003A" w:rsidR="00C07B30" w:rsidP="00B81D71" w:rsidRDefault="00F5003A">
      <w:pPr>
        <w:spacing w:after="200"/>
        <w:jc w:val="left"/>
        <w:rPr>
          <w:b/>
        </w:rPr>
      </w:pPr>
      <w:r w:rsidRPr="00F5003A">
        <w:rPr>
          <w:b/>
        </w:rPr>
        <w:t>Požadavek:</w:t>
      </w:r>
    </w:p>
    <w:p w:rsidRPr="00A0109D" w:rsidR="00C07B30" w:rsidP="00A0109D" w:rsidRDefault="00A0109D">
      <w:pPr>
        <w:spacing w:after="200"/>
        <w:jc w:val="left"/>
      </w:pPr>
      <w:r w:rsidRPr="00A0109D">
        <w:t xml:space="preserve">Zadavatel požaduje předložit seznam technického </w:t>
      </w:r>
      <w:r w:rsidRPr="00A0109D" w:rsidR="00C07B30">
        <w:t>vybavení a opatření používaných dodavatelem k zajištění jakosti</w:t>
      </w:r>
      <w:r w:rsidRPr="00A0109D">
        <w:t>.</w:t>
      </w:r>
      <w:r w:rsidRPr="00A0109D" w:rsidR="00C07B30">
        <w:t xml:space="preserve"> </w:t>
      </w:r>
    </w:p>
    <w:p w:rsidRPr="00F5003A" w:rsidR="00A0109D" w:rsidP="00A0109D" w:rsidRDefault="00A0109D">
      <w:pPr>
        <w:spacing w:after="200"/>
        <w:jc w:val="left"/>
        <w:rPr>
          <w:b/>
        </w:rPr>
      </w:pPr>
      <w:r w:rsidRPr="00F5003A">
        <w:rPr>
          <w:b/>
        </w:rPr>
        <w:t>Způsob prokázání:</w:t>
      </w:r>
    </w:p>
    <w:p w:rsidR="00D41801" w:rsidP="00070D90" w:rsidRDefault="00A0109D">
      <w:pPr>
        <w:spacing w:after="200"/>
        <w:jc w:val="left"/>
      </w:pPr>
      <w:r>
        <w:t>Zadavatel požaduje předložit seznam technického vybavení a dalších opatření používaných dodavatelem k zajištění jakosti. Seznam bude mít formu čestného prohlášení.</w:t>
      </w:r>
    </w:p>
    <w:p w:rsidRPr="004F0F35" w:rsidR="002B028D" w:rsidP="002B028D" w:rsidRDefault="002B028D">
      <w:pPr>
        <w:rPr>
          <w:b/>
        </w:rPr>
      </w:pPr>
      <w:r>
        <w:rPr>
          <w:b/>
        </w:rPr>
        <w:t xml:space="preserve">Způsob prokázání základních, profesních a technických </w:t>
      </w:r>
      <w:r w:rsidRPr="004F0F35">
        <w:rPr>
          <w:b/>
        </w:rPr>
        <w:t>kvalifikačních předpokladů</w:t>
      </w:r>
    </w:p>
    <w:p w:rsidRPr="004F0F35" w:rsidR="002B028D" w:rsidP="002B028D" w:rsidRDefault="002B028D">
      <w:r>
        <w:rPr>
          <w:bCs/>
        </w:rPr>
        <w:t>S</w:t>
      </w:r>
      <w:r w:rsidRPr="004F0F35">
        <w:rPr>
          <w:bCs/>
        </w:rPr>
        <w:t>plnění kvalifikačních předpokladů</w:t>
      </w:r>
      <w:r>
        <w:rPr>
          <w:bCs/>
        </w:rPr>
        <w:t xml:space="preserve"> se v souladu s § 62 odst. 3 ZVZ </w:t>
      </w:r>
      <w:r w:rsidRPr="004F0F35">
        <w:rPr>
          <w:bCs/>
        </w:rPr>
        <w:t>prokazuje předložením čestného prohlášení, z jehož obsahu bude zřejmé, že dodavatel</w:t>
      </w:r>
      <w:r>
        <w:rPr>
          <w:bCs/>
        </w:rPr>
        <w:t xml:space="preserve"> </w:t>
      </w:r>
      <w:r w:rsidRPr="004F0F35">
        <w:rPr>
          <w:bCs/>
        </w:rPr>
        <w:t>kvalifikační předpoklady požadované zadavatelem splň</w:t>
      </w:r>
      <w:r>
        <w:rPr>
          <w:bCs/>
        </w:rPr>
        <w:t>uje.</w:t>
      </w:r>
    </w:p>
    <w:p w:rsidR="002B028D" w:rsidP="002B028D" w:rsidRDefault="002B028D">
      <w:pPr>
        <w:rPr>
          <w:bCs/>
        </w:rPr>
      </w:pPr>
      <w:r w:rsidRPr="004F0F35">
        <w:rPr>
          <w:bCs/>
        </w:rPr>
        <w:t>Uchazeč, se kterým má být uzavřena smlouva podle § 82</w:t>
      </w:r>
      <w:r>
        <w:rPr>
          <w:bCs/>
        </w:rPr>
        <w:t xml:space="preserve"> ZVZ</w:t>
      </w:r>
      <w:r w:rsidRPr="004F0F35">
        <w:rPr>
          <w:bCs/>
        </w:rPr>
        <w:t>, je povinen před</w:t>
      </w:r>
      <w:r>
        <w:rPr>
          <w:bCs/>
        </w:rPr>
        <w:t xml:space="preserve"> </w:t>
      </w:r>
      <w:r w:rsidRPr="004F0F35">
        <w:rPr>
          <w:bCs/>
        </w:rPr>
        <w:t>jejím uzavřením předložit zadavateli originály nebo úředně ověřené kopie dokladů prokazujících splnění kvalifikace.</w:t>
      </w:r>
    </w:p>
    <w:p w:rsidRPr="00E22A74" w:rsidR="008F4D68" w:rsidP="00B81D71" w:rsidRDefault="008F4D68">
      <w:pPr>
        <w:spacing w:after="200"/>
        <w:jc w:val="left"/>
        <w:rPr>
          <w:b/>
          <w:u w:val="single"/>
        </w:rPr>
      </w:pPr>
      <w:r w:rsidRPr="00E22A74">
        <w:rPr>
          <w:b/>
          <w:u w:val="single"/>
        </w:rPr>
        <w:t>Prokázání finanční a ekonomické způsobilosti</w:t>
      </w:r>
    </w:p>
    <w:p w:rsidRPr="00E22A74" w:rsidR="008F4D68" w:rsidP="00B81D71" w:rsidRDefault="008F4D68">
      <w:pPr>
        <w:spacing w:after="200"/>
        <w:jc w:val="left"/>
        <w:rPr>
          <w:b/>
        </w:rPr>
      </w:pPr>
      <w:r w:rsidRPr="00E22A74">
        <w:rPr>
          <w:b/>
        </w:rPr>
        <w:t>Požadavek:</w:t>
      </w:r>
    </w:p>
    <w:p w:rsidRPr="008D128C" w:rsidR="008F4D68" w:rsidP="00B81D71" w:rsidRDefault="008F4D68">
      <w:pPr>
        <w:spacing w:after="200"/>
        <w:jc w:val="left"/>
      </w:pPr>
      <w:r w:rsidRPr="008D128C">
        <w:t xml:space="preserve">Zadavatel požaduje prokázání </w:t>
      </w:r>
      <w:r>
        <w:t>finanční a ekonomické způsobilosti splnit veřejnou zakázku v souladu s § 5</w:t>
      </w:r>
      <w:r w:rsidR="00DA3EC2">
        <w:t>0</w:t>
      </w:r>
      <w:r>
        <w:t xml:space="preserve"> odst</w:t>
      </w:r>
      <w:r w:rsidR="00A82656">
        <w:t>.</w:t>
      </w:r>
      <w:r>
        <w:t xml:space="preserve"> 1., písm. c) ZVZ</w:t>
      </w:r>
    </w:p>
    <w:p w:rsidRPr="00E22A74" w:rsidR="008F4D68" w:rsidP="00B81D71" w:rsidRDefault="008F4D68">
      <w:pPr>
        <w:rPr>
          <w:b/>
        </w:rPr>
      </w:pPr>
      <w:r w:rsidRPr="00E22A74">
        <w:rPr>
          <w:b/>
        </w:rPr>
        <w:t>Způsob prokázání:</w:t>
      </w:r>
    </w:p>
    <w:p w:rsidRPr="00B81D71" w:rsidR="008F4D68" w:rsidP="00B81D71" w:rsidRDefault="008F4D68">
      <w:r w:rsidRPr="00B81D71">
        <w:t>Uchazeč prokáže splnění finanční a ekonomické způsobilosti splnit veřejnou zakázku čestným prohlášením.</w:t>
      </w:r>
    </w:p>
    <w:p w:rsidR="008F4D68" w:rsidP="001A6D4E" w:rsidRDefault="008F4D68">
      <w:pPr>
        <w:pStyle w:val="Nadpis1"/>
        <w:keepLines w:val="false"/>
        <w:numPr>
          <w:ilvl w:val="0"/>
          <w:numId w:val="12"/>
        </w:numPr>
        <w:spacing w:before="240" w:after="60"/>
      </w:pPr>
      <w:r>
        <w:t>Dodatečné informace</w:t>
      </w:r>
    </w:p>
    <w:p w:rsidR="008F4D68" w:rsidP="004119E3" w:rsidRDefault="008F4D68">
      <w:r>
        <w:t>Dodavatel je oprávněn po zadavateli požadovat písemně dodatečné informace k zadávacím podmínkám. Písemná žádost musí být zadavateli doručena nejpozději 5 pracovních dnů před uplynutím lhůty pro podání nabídek</w:t>
      </w:r>
    </w:p>
    <w:p w:rsidR="008F4D68" w:rsidP="004119E3" w:rsidRDefault="008F4D68">
      <w:r>
        <w:t xml:space="preserve">Zadavatel odešle dodatečné informace k zadávacím podmínkám, případně související dokumenty, nejpozději do </w:t>
      </w:r>
      <w:r w:rsidRPr="00D27894">
        <w:t>3 pracovních dnů po doručení žádosti</w:t>
      </w:r>
      <w:r>
        <w:t>.</w:t>
      </w:r>
    </w:p>
    <w:p w:rsidR="008F4D68" w:rsidP="004119E3" w:rsidRDefault="008F4D68">
      <w:r>
        <w:lastRenderedPageBreak/>
        <w:t>Při poskytování dodatečných informací se zadavatel bude plně řídit pokyny podle § 49 ZVZ.</w:t>
      </w:r>
    </w:p>
    <w:p w:rsidR="008F4D68" w:rsidP="004119E3" w:rsidRDefault="008F4D68">
      <w:pPr>
        <w:pStyle w:val="Nadpis1"/>
        <w:keepLines w:val="false"/>
        <w:numPr>
          <w:ilvl w:val="0"/>
          <w:numId w:val="12"/>
        </w:numPr>
        <w:spacing w:before="240" w:after="60"/>
      </w:pPr>
      <w:r w:rsidRPr="00835E71">
        <w:t>Způsob hodnocení nabídek</w:t>
      </w:r>
    </w:p>
    <w:p w:rsidRPr="00820BA5" w:rsidR="00820BA5" w:rsidP="00820BA5" w:rsidRDefault="00820BA5">
      <w:r w:rsidRPr="00820BA5">
        <w:t>Hodnoce</w:t>
      </w:r>
      <w:r>
        <w:t>ní nabídek provede hodnotící pěti</w:t>
      </w:r>
      <w:r w:rsidRPr="00820BA5">
        <w:t xml:space="preserve">členná komise na základě kritéria </w:t>
      </w:r>
      <w:r w:rsidR="00175CF5">
        <w:t>„</w:t>
      </w:r>
      <w:r w:rsidRPr="00820BA5">
        <w:t>ekonomické výhodnosti</w:t>
      </w:r>
      <w:r w:rsidR="00175CF5">
        <w:t>“</w:t>
      </w:r>
      <w:r w:rsidRPr="00820BA5">
        <w:t xml:space="preserve"> nabídky, podle jednotlivých dílčích hodnotících kritérií a jejich vah. Hodnotící kriteria budou obodována na základě matematických výpočtů. Podle počtu přidělených bodů budou nabídky seřazeny a vítězná nabídka bude ta, která obdrží nejvyšší počet bodů.</w:t>
      </w:r>
    </w:p>
    <w:p w:rsidR="00175CF5" w:rsidP="00175CF5" w:rsidRDefault="00175CF5">
      <w:r w:rsidRPr="00835E71">
        <w:t>Hodnotící komise posoudí též výši nabídkových cen ve vztahu k předmětu zakázky. Jestliže nabídka obsahuje mimořádně nízkou nabídkovou cenu</w:t>
      </w:r>
      <w:r>
        <w:t xml:space="preserve"> (viz. § 77 ZVZ)</w:t>
      </w:r>
      <w:r w:rsidRPr="00835E71">
        <w:t xml:space="preserve"> ve vztahu k předmětu zakázky, musí si komise vyžádat od uchazeče písemné zdůvodnění těch částí nabídky, které jsou pro výši nabídkové ceny podstatné. Zdůvodnění musí být uchazečem doručeno ve lhůtě 3 pracovních dnů ode dne doručení žádosti uchazeči, pokud hodnotící komise nestanoví lhůtu delší. Neodůvodní-li uchazeč písemně mimořádně nízkou nabídkovou cenu ve stanovené lhůtě, nebo posoudí-li hodnotící komise jeho zdůvodnění jako neopodstatněné, musí být nabídka vyřazena.</w:t>
      </w:r>
    </w:p>
    <w:p w:rsidRPr="00820BA5" w:rsidR="00820BA5" w:rsidP="00820BA5" w:rsidRDefault="00820BA5">
      <w:pPr>
        <w:rPr>
          <w:bCs/>
        </w:rPr>
      </w:pPr>
      <w:r w:rsidRPr="00820BA5">
        <w:rPr>
          <w:bCs/>
        </w:rPr>
        <w:t>Dílčí kritéria jsou uvedena v sestupném pořadí podle jejich váhy, kterou jim zadavatel stanovil následovně:</w:t>
      </w:r>
    </w:p>
    <w:p w:rsidR="00175CF5" w:rsidP="00175CF5" w:rsidRDefault="00820BA5">
      <w:pPr>
        <w:numPr>
          <w:ilvl w:val="0"/>
          <w:numId w:val="25"/>
        </w:numPr>
      </w:pPr>
      <w:r w:rsidRPr="00820BA5">
        <w:rPr>
          <w:iCs/>
        </w:rPr>
        <w:t xml:space="preserve">kvalita a rozsah nabízených služeb </w:t>
      </w:r>
      <w:r w:rsidRPr="00820BA5">
        <w:rPr>
          <w:iCs/>
        </w:rPr>
        <w:tab/>
      </w:r>
      <w:r w:rsidRPr="00820BA5">
        <w:rPr>
          <w:iCs/>
        </w:rPr>
        <w:tab/>
      </w:r>
      <w:r w:rsidRPr="00820BA5">
        <w:rPr>
          <w:iCs/>
        </w:rPr>
        <w:tab/>
      </w:r>
      <w:r w:rsidRPr="00820BA5">
        <w:rPr>
          <w:iCs/>
        </w:rPr>
        <w:tab/>
        <w:t xml:space="preserve">váha </w:t>
      </w:r>
      <w:r w:rsidR="00175CF5">
        <w:rPr>
          <w:iCs/>
        </w:rPr>
        <w:t>60</w:t>
      </w:r>
      <w:r w:rsidRPr="00820BA5">
        <w:rPr>
          <w:iCs/>
        </w:rPr>
        <w:t xml:space="preserve"> %</w:t>
      </w:r>
      <w:r w:rsidRPr="00175CF5" w:rsidR="00175CF5">
        <w:t xml:space="preserve"> </w:t>
      </w:r>
    </w:p>
    <w:p w:rsidR="00175CF5" w:rsidP="00175CF5" w:rsidRDefault="00175CF5">
      <w:pPr>
        <w:numPr>
          <w:ilvl w:val="0"/>
          <w:numId w:val="25"/>
        </w:numPr>
      </w:pPr>
      <w:r w:rsidRPr="00820BA5">
        <w:t xml:space="preserve">celková cena předmětu plnění </w:t>
      </w:r>
      <w:r w:rsidRPr="00820BA5">
        <w:tab/>
      </w:r>
      <w:r w:rsidRPr="00820BA5">
        <w:tab/>
      </w:r>
      <w:r w:rsidRPr="00820BA5">
        <w:tab/>
      </w:r>
      <w:r w:rsidRPr="00820BA5">
        <w:tab/>
        <w:t xml:space="preserve">váha </w:t>
      </w:r>
      <w:r>
        <w:t>40</w:t>
      </w:r>
      <w:r w:rsidRPr="00820BA5">
        <w:t xml:space="preserve"> %</w:t>
      </w:r>
    </w:p>
    <w:p w:rsidRPr="00175CF5" w:rsidR="00820BA5" w:rsidP="00175CF5" w:rsidRDefault="00820BA5">
      <w:r w:rsidRPr="00175CF5">
        <w:rPr>
          <w:b/>
          <w:bCs/>
        </w:rPr>
        <w:t>Vzorce pro výpočet počtu přidělených bodů</w:t>
      </w:r>
      <w:r w:rsidR="0053117E">
        <w:rPr>
          <w:b/>
          <w:bCs/>
        </w:rPr>
        <w:t>:</w:t>
      </w:r>
    </w:p>
    <w:p w:rsidRPr="00820BA5" w:rsidR="00175CF5" w:rsidP="00175CF5" w:rsidRDefault="00175CF5">
      <w:pPr>
        <w:rPr>
          <w:b/>
        </w:rPr>
      </w:pPr>
      <w:r w:rsidRPr="00820BA5">
        <w:rPr>
          <w:b/>
        </w:rPr>
        <w:t>Kvalita a rozsah nabízených služeb</w:t>
      </w:r>
    </w:p>
    <w:p w:rsidR="00175CF5" w:rsidP="00175CF5" w:rsidRDefault="00175CF5">
      <w:r w:rsidRPr="00820BA5">
        <w:t>Toto dílčí kritérium bude hodnoceno dle míry naplnění následujících požadavků zadavatele:</w:t>
      </w:r>
    </w:p>
    <w:p w:rsidR="00175CF5" w:rsidP="00175CF5" w:rsidRDefault="00175CF5">
      <w:pPr>
        <w:pStyle w:val="Odstavecseseznamem"/>
        <w:numPr>
          <w:ilvl w:val="0"/>
          <w:numId w:val="27"/>
        </w:numPr>
        <w:spacing w:after="200" w:line="276" w:lineRule="auto"/>
        <w:jc w:val="left"/>
      </w:pPr>
      <w:r>
        <w:t>Obsah, struktura a náplň vzdělávacích aktivit, způsob hodnocení výsledků školení, návrh zpětné vazby</w:t>
      </w:r>
    </w:p>
    <w:p w:rsidR="00175CF5" w:rsidP="00175CF5" w:rsidRDefault="00175CF5">
      <w:pPr>
        <w:pStyle w:val="Odstavecseseznamem"/>
        <w:numPr>
          <w:ilvl w:val="0"/>
          <w:numId w:val="27"/>
        </w:numPr>
        <w:spacing w:after="200" w:line="276" w:lineRule="auto"/>
        <w:jc w:val="left"/>
      </w:pPr>
      <w:r>
        <w:t>Metody a formy výuky s upřednostněním praktického využití a zajištění přenosu poznatků do praxe</w:t>
      </w:r>
    </w:p>
    <w:p w:rsidR="00175CF5" w:rsidP="00175CF5" w:rsidRDefault="00175CF5">
      <w:pPr>
        <w:pStyle w:val="Odstavecseseznamem"/>
        <w:numPr>
          <w:ilvl w:val="0"/>
          <w:numId w:val="27"/>
        </w:numPr>
        <w:spacing w:after="200" w:line="276" w:lineRule="auto"/>
        <w:jc w:val="left"/>
      </w:pPr>
      <w:r>
        <w:t>Ukázky studijních materiálů – z nichž bude patrné interaktivní zapojení účastníka, praktická použitelnost informací, praktické příklady z praxe účastníků a logická struktura textu</w:t>
      </w:r>
      <w:bookmarkStart w:name="_GoBack" w:id="5"/>
      <w:bookmarkEnd w:id="5"/>
      <w:r>
        <w:t xml:space="preserve"> </w:t>
      </w:r>
      <w:r w:rsidR="00143412">
        <w:t>(pro účely hodnocení požaduje zadavatel předložit ukázky studijní materiál</w:t>
      </w:r>
      <w:r w:rsidR="007466B4">
        <w:t>y ke 3 kurzům z té </w:t>
      </w:r>
      <w:proofErr w:type="gramStart"/>
      <w:r w:rsidR="007466B4">
        <w:t>části do</w:t>
      </w:r>
      <w:proofErr w:type="gramEnd"/>
      <w:r w:rsidR="007466B4">
        <w:t xml:space="preserve"> které uchazeč podává nabídku. V případě, že se účastní obou částí, požaduje zadavatel celkem 6 ks ukázkových studijních materiálů, z každé části po 3 ks</w:t>
      </w:r>
      <w:r w:rsidR="00143412">
        <w:t>).</w:t>
      </w:r>
    </w:p>
    <w:p w:rsidRPr="00E31BE8" w:rsidR="00E31BE8" w:rsidP="00850705" w:rsidRDefault="00850705">
      <w:r w:rsidRPr="00E31BE8">
        <w:t xml:space="preserve">Pro hodnocení </w:t>
      </w:r>
      <w:r w:rsidR="00A82656">
        <w:t xml:space="preserve">tohoto </w:t>
      </w:r>
      <w:r w:rsidRPr="00E31BE8">
        <w:t>subjektivní</w:t>
      </w:r>
      <w:r w:rsidR="00A82656">
        <w:t>ho</w:t>
      </w:r>
      <w:r w:rsidRPr="00E31BE8">
        <w:t xml:space="preserve"> (nečíseln</w:t>
      </w:r>
      <w:r w:rsidR="00A82656">
        <w:t>ého</w:t>
      </w:r>
      <w:r w:rsidRPr="00E31BE8">
        <w:t>) kritéri</w:t>
      </w:r>
      <w:r w:rsidR="00A82656">
        <w:t xml:space="preserve">a </w:t>
      </w:r>
      <w:r w:rsidRPr="00E31BE8">
        <w:t xml:space="preserve">se použije bodová stupnice 1 až 100. </w:t>
      </w:r>
    </w:p>
    <w:p w:rsidR="00E31BE8" w:rsidP="00850705" w:rsidRDefault="00850705">
      <w:r w:rsidRPr="00E31BE8">
        <w:t>Nejvhodnější nabídce je přiřazena hodnota 100 bodů, ostatním body odpovídající porovnání s nejvhodn</w:t>
      </w:r>
      <w:r w:rsidR="00A82656">
        <w:t>ější nabídkou v daném kritériu.</w:t>
      </w:r>
    </w:p>
    <w:p w:rsidRPr="00E31BE8" w:rsidR="00850705" w:rsidP="00850705" w:rsidRDefault="00850705">
      <w:r w:rsidRPr="00E31BE8">
        <w:t>Hodnotící komise v zápisu dostatečně zdůvodní své hodnocení tak, aby bylo její hodnocení přezkoumatelné. Přidělený počet bodů musí vždy vycházet z porovnání ne</w:t>
      </w:r>
      <w:r w:rsidR="00A82656">
        <w:t>jvhodnější a hodnocené nabídky.</w:t>
      </w:r>
    </w:p>
    <w:p w:rsidRPr="00820BA5" w:rsidR="00175CF5" w:rsidP="00175CF5" w:rsidRDefault="00175CF5">
      <w:pPr>
        <w:rPr>
          <w:b/>
        </w:rPr>
      </w:pPr>
      <w:r w:rsidRPr="00820BA5">
        <w:rPr>
          <w:b/>
        </w:rPr>
        <w:tab/>
        <w:t>počet bodů hodnocené nabídky x váha vyjádřená v procentech</w:t>
      </w:r>
    </w:p>
    <w:p w:rsidRPr="00820BA5" w:rsidR="00820BA5" w:rsidP="00820BA5" w:rsidRDefault="00820BA5">
      <w:pPr>
        <w:rPr>
          <w:b/>
        </w:rPr>
      </w:pPr>
      <w:r w:rsidRPr="00820BA5">
        <w:rPr>
          <w:b/>
        </w:rPr>
        <w:t>Cena:</w:t>
      </w:r>
    </w:p>
    <w:p w:rsidRPr="00820BA5" w:rsidR="00820BA5" w:rsidP="00820BA5" w:rsidRDefault="00820BA5">
      <w:pPr>
        <w:rPr>
          <w:b/>
        </w:rPr>
      </w:pPr>
      <w:r w:rsidRPr="00820BA5">
        <w:rPr>
          <w:b/>
        </w:rPr>
        <w:tab/>
        <w:t>100 x nejvýhodnější nabídka / cena hodnocené nabídky x váha vyjádřená v %</w:t>
      </w:r>
    </w:p>
    <w:p w:rsidR="00961D76" w:rsidP="00961D76" w:rsidRDefault="00961D76"/>
    <w:p w:rsidR="008F4D68" w:rsidP="004119E3" w:rsidRDefault="008F4D68">
      <w:pPr>
        <w:pStyle w:val="Nadpis1"/>
        <w:keepLines w:val="false"/>
        <w:numPr>
          <w:ilvl w:val="0"/>
          <w:numId w:val="12"/>
        </w:numPr>
        <w:spacing w:before="240" w:after="60"/>
      </w:pPr>
      <w:r>
        <w:t>Zadávací lhůta</w:t>
      </w:r>
    </w:p>
    <w:p w:rsidRPr="001513D6" w:rsidR="008F4D68" w:rsidP="004119E3" w:rsidRDefault="008F4D68">
      <w:r>
        <w:t xml:space="preserve">Zadavatel v souladu s § 43 odst. 2 ZVZ stanovuje délku zadávací lhůty, po kterou jsou uchazeči vázáni svými nabídkami na </w:t>
      </w:r>
      <w:r w:rsidRPr="000F29FE">
        <w:t>90 dnů.</w:t>
      </w:r>
    </w:p>
    <w:p w:rsidR="008F4D68" w:rsidP="004119E3" w:rsidRDefault="008F4D68">
      <w:pPr>
        <w:pStyle w:val="Nadpis1"/>
        <w:keepLines w:val="false"/>
        <w:numPr>
          <w:ilvl w:val="0"/>
          <w:numId w:val="12"/>
        </w:numPr>
        <w:spacing w:before="240" w:after="60"/>
      </w:pPr>
      <w:r>
        <w:t>Zrušení zadávacího řízení</w:t>
      </w:r>
    </w:p>
    <w:p w:rsidR="008F4D68" w:rsidP="004119E3" w:rsidRDefault="008F4D68">
      <w:pPr>
        <w:rPr>
          <w:color w:val="000000"/>
        </w:rPr>
      </w:pPr>
      <w:r>
        <w:rPr>
          <w:color w:val="000000"/>
        </w:rPr>
        <w:t>Zadavatel může zrušit zadávací řízení pouze za podmínek uvedených v § 84 zákona ZVZ.</w:t>
      </w:r>
    </w:p>
    <w:p w:rsidR="008F4D68" w:rsidP="004119E3" w:rsidRDefault="008F4D68">
      <w:pPr>
        <w:rPr>
          <w:color w:val="000000"/>
        </w:rPr>
      </w:pPr>
      <w:r>
        <w:rPr>
          <w:color w:val="000000"/>
        </w:rPr>
        <w:t>Pokud zadavatel zruší výběrové řízení v souladu s § 84 ZVZ, nevzniká vyzvaným uchazečům vůči zadavateli jakýkoliv nárok.</w:t>
      </w:r>
    </w:p>
    <w:p w:rsidR="008F4D68" w:rsidP="004119E3" w:rsidRDefault="008F4D68">
      <w:pPr>
        <w:rPr>
          <w:color w:val="000000"/>
        </w:rPr>
      </w:pPr>
    </w:p>
    <w:p w:rsidR="008F4D68" w:rsidP="004119E3" w:rsidRDefault="008F4D68">
      <w:r w:rsidRPr="000434F3">
        <w:t>V </w:t>
      </w:r>
      <w:r w:rsidR="00C07B30">
        <w:t>Praze</w:t>
      </w:r>
      <w:r w:rsidRPr="000434F3">
        <w:t xml:space="preserve"> dne</w:t>
      </w:r>
      <w:r>
        <w:t xml:space="preserve"> </w:t>
      </w:r>
      <w:proofErr w:type="gramStart"/>
      <w:r w:rsidR="00034A05">
        <w:t>10</w:t>
      </w:r>
      <w:r w:rsidR="002B028D">
        <w:t>.10</w:t>
      </w:r>
      <w:r w:rsidR="0060310E">
        <w:t>.2013</w:t>
      </w:r>
      <w:proofErr w:type="gramEnd"/>
    </w:p>
    <w:p w:rsidR="008F4D68" w:rsidP="00A32AD2" w:rsidRDefault="008F4D68"/>
    <w:p w:rsidR="008F4D68" w:rsidP="00A32AD2" w:rsidRDefault="008F4D68"/>
    <w:p w:rsidR="008F4D68" w:rsidP="00A32AD2" w:rsidRDefault="008F4D68"/>
    <w:p w:rsidR="008F4D68" w:rsidP="00A32AD2" w:rsidRDefault="008F4D68">
      <w:pPr>
        <w:tabs>
          <w:tab w:val="center" w:pos="6985"/>
        </w:tabs>
      </w:pPr>
    </w:p>
    <w:p w:rsidR="008F4D68" w:rsidP="00A32AD2" w:rsidRDefault="008F4D68">
      <w:pPr>
        <w:tabs>
          <w:tab w:val="center" w:pos="6985"/>
        </w:tabs>
        <w:spacing w:after="0"/>
      </w:pPr>
      <w:r>
        <w:tab/>
        <w:t>………………………………………..</w:t>
      </w:r>
    </w:p>
    <w:p w:rsidR="008F4D68" w:rsidP="00A32AD2" w:rsidRDefault="008F4D68">
      <w:pPr>
        <w:tabs>
          <w:tab w:val="center" w:pos="6985"/>
        </w:tabs>
        <w:spacing w:after="0"/>
      </w:pPr>
      <w:r>
        <w:tab/>
      </w:r>
      <w:r w:rsidR="00C07B30">
        <w:t>Pavel Vaněk</w:t>
      </w:r>
    </w:p>
    <w:p w:rsidR="008F4D68" w:rsidP="00A32AD2" w:rsidRDefault="008F4D68">
      <w:pPr>
        <w:tabs>
          <w:tab w:val="center" w:pos="6985"/>
        </w:tabs>
        <w:spacing w:after="0"/>
      </w:pPr>
      <w:r>
        <w:tab/>
      </w:r>
      <w:r w:rsidR="00C07B30">
        <w:t>je</w:t>
      </w:r>
      <w:r w:rsidR="000F29FE">
        <w:t>d</w:t>
      </w:r>
      <w:r w:rsidR="00C07B30">
        <w:t>natel</w:t>
      </w:r>
      <w:r>
        <w:t xml:space="preserve"> / zadavatel</w:t>
      </w:r>
    </w:p>
    <w:p w:rsidR="008F4D68" w:rsidP="00A32AD2" w:rsidRDefault="008F4D68">
      <w:pPr>
        <w:tabs>
          <w:tab w:val="center" w:pos="6985"/>
        </w:tabs>
        <w:spacing w:after="0"/>
      </w:pPr>
      <w:r>
        <w:tab/>
      </w:r>
      <w:proofErr w:type="gramStart"/>
      <w:r w:rsidR="00C07B30">
        <w:rPr>
          <w:lang w:val="en-GB"/>
        </w:rPr>
        <w:t>EXE JEANS CZ s.r.o.</w:t>
      </w:r>
      <w:proofErr w:type="gramEnd"/>
    </w:p>
    <w:p w:rsidRPr="00336144" w:rsidR="008F4D68" w:rsidP="00A32AD2" w:rsidRDefault="008F4D68">
      <w:pPr>
        <w:tabs>
          <w:tab w:val="center" w:pos="6985"/>
        </w:tabs>
        <w:spacing w:after="0"/>
      </w:pPr>
      <w:r>
        <w:tab/>
      </w:r>
      <w:proofErr w:type="spellStart"/>
      <w:r>
        <w:t>vz</w:t>
      </w:r>
      <w:proofErr w:type="spellEnd"/>
      <w:r>
        <w:t xml:space="preserve">. Ing. </w:t>
      </w:r>
      <w:smartTag w:uri="urn:schemas-microsoft-com:office:smarttags" w:element="PersonName">
        <w:smartTagPr>
          <w:attr w:name="ProductID" w:val="Michal Novák"/>
        </w:smartTagPr>
        <w:r>
          <w:t>Michal Novák</w:t>
        </w:r>
      </w:smartTag>
      <w:r>
        <w:t>, LEGRO CONSULT s.r.o.</w:t>
      </w:r>
    </w:p>
    <w:sectPr w:rsidRPr="00336144" w:rsidR="008F4D68" w:rsidSect="00AB3424">
      <w:headerReference w:type="default" r:id="rId10"/>
      <w:footerReference w:type="default" r:id="rId11"/>
      <w:pgSz w:w="11906" w:h="16838"/>
      <w:pgMar w:top="1417" w:right="1417" w:bottom="1417" w:left="1417" w:header="426" w:footer="304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641928" w:rsidP="00A32AD2" w:rsidRDefault="00641928">
      <w:pPr>
        <w:spacing w:after="0" w:line="240" w:lineRule="auto"/>
      </w:pPr>
      <w:r>
        <w:separator/>
      </w:r>
    </w:p>
  </w:endnote>
  <w:endnote w:type="continuationSeparator" w:id="0">
    <w:p w:rsidR="00641928" w:rsidP="00A32AD2" w:rsidRDefault="00641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Lite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8F4D68" w:rsidP="00A6416A" w:rsidRDefault="008F4D68">
    <w:pPr>
      <w:pStyle w:val="Zpat"/>
      <w:tabs>
        <w:tab w:val="clear" w:pos="4536"/>
      </w:tabs>
    </w:pPr>
    <w:r>
      <w:rPr>
        <w:rFonts w:ascii="Cambria" w:hAnsi="Cambria" w:cs="Cambria"/>
      </w:rPr>
      <w:t>Výzva k podání nabídek</w:t>
    </w:r>
    <w:r>
      <w:rPr>
        <w:rFonts w:ascii="Cambria" w:hAnsi="Cambria" w:cs="Cambria"/>
      </w:rPr>
      <w:tab/>
      <w:t xml:space="preserve">Stránka </w:t>
    </w:r>
    <w:r w:rsidRPr="00C70D4D" w:rsidR="00C70D4D">
      <w:fldChar w:fldCharType="begin"/>
    </w:r>
    <w:r w:rsidR="00DB6874">
      <w:instrText xml:space="preserve"> PAGE   \* MERGEFORMAT </w:instrText>
    </w:r>
    <w:r w:rsidRPr="00C70D4D" w:rsidR="00C70D4D">
      <w:fldChar w:fldCharType="separate"/>
    </w:r>
    <w:r w:rsidRPr="007466B4" w:rsidR="007466B4">
      <w:rPr>
        <w:rFonts w:ascii="Cambria" w:hAnsi="Cambria" w:cs="Cambria"/>
        <w:noProof/>
      </w:rPr>
      <w:t>2</w:t>
    </w:r>
    <w:r w:rsidR="00C70D4D">
      <w:rPr>
        <w:rFonts w:ascii="Cambria" w:hAnsi="Cambria" w:cs="Cambria"/>
        <w:noProof/>
      </w:rPr>
      <w:fldChar w:fldCharType="end"/>
    </w:r>
  </w:p>
  <w:p w:rsidR="008F4D68" w:rsidP="00197EA7" w:rsidRDefault="008F4D68">
    <w:pPr>
      <w:autoSpaceDE w:val="false"/>
      <w:autoSpaceDN w:val="false"/>
      <w:adjustRightInd w:val="false"/>
      <w:spacing w:after="0" w:line="240" w:lineRule="auto"/>
      <w:jc w:val="left"/>
      <w:rPr>
        <w:rFonts w:ascii="JohnSansLitePro" w:hAnsi="JohnSansLitePro" w:cs="JohnSansLitePro"/>
        <w:color w:val="3D5A5A"/>
        <w:sz w:val="11"/>
        <w:szCs w:val="11"/>
      </w:rPr>
    </w:pPr>
  </w:p>
  <w:p w:rsidRPr="00D25E68" w:rsidR="008F4D68" w:rsidP="00197EA7" w:rsidRDefault="00C70D4D">
    <w:pPr>
      <w:autoSpaceDE w:val="false"/>
      <w:autoSpaceDN w:val="false"/>
      <w:adjustRightInd w:val="false"/>
      <w:spacing w:after="0" w:line="240" w:lineRule="auto"/>
      <w:jc w:val="center"/>
    </w:pPr>
    <w:r>
      <w:rPr>
        <w:noProof/>
        <w:lang w:eastAsia="cs-CZ"/>
      </w:rPr>
      <w:pict>
        <v:group coordsize="15823,1439" coordorigin="8,9" style="position:absolute;left:0;text-align:left;margin-left:0;margin-top:0;width:593.7pt;height:63.75pt;flip:y;z-index:3;mso-position-horizontal:center;mso-position-horizontal-relative:page;mso-position-vertical:bottom;mso-position-vertical-relative:page" id="_x0000_s2049" o:allowincell="f"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type="#_x0000_t32" style="position:absolute;left:9;top:1431;width:15822;height:0;mso-position-horizontal:center;mso-position-horizontal-relative:page;mso-position-vertical:bottom;mso-position-vertical-relative:top-margin-area" id="_x0000_s2050" strokecolor="#ce5a1b" o:connectortype="straight"/>
          <v:rect style="position:absolute;left:8;top:9;width:4031;height:1439" id="_x0000_s2051" stroked="f" filled="f"/>
          <w10:wrap anchorx="page" anchory="page"/>
        </v:group>
      </w:pict>
    </w:r>
    <w:r>
      <w:rPr>
        <w:noProof/>
        <w:lang w:eastAsia="cs-CZ"/>
      </w:rPr>
      <w:pict>
        <v:rect style="position:absolute;left:0;text-align:left;margin-left:32.6pt;margin-top:0;width:7.15pt;height:62.45pt;z-index:2;mso-position-horizontal-relative:page;mso-position-vertical:bottom;mso-position-vertical-relative:page" id="_x0000_s2052" strokecolor="#893b12" fillcolor="#e88651">
          <w10:wrap anchorx="margin" anchory="page"/>
        </v:rect>
      </w:pict>
    </w:r>
    <w:r>
      <w:rPr>
        <w:noProof/>
        <w:lang w:eastAsia="cs-CZ"/>
      </w:rPr>
      <w:pict>
        <v:rect style="position:absolute;left:0;text-align:left;margin-left:557pt;margin-top:0;width:7.15pt;height:62.45pt;z-index:1;mso-position-horizontal-relative:page;mso-position-vertical:bottom;mso-position-vertical-relative:page" id="_x0000_s2053" strokecolor="#893b12" fillcolor="#e88651">
          <w10:wrap anchorx="page" anchory="page"/>
        </v:rect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641928" w:rsidP="00A32AD2" w:rsidRDefault="00641928">
      <w:pPr>
        <w:spacing w:after="0" w:line="240" w:lineRule="auto"/>
      </w:pPr>
      <w:r>
        <w:separator/>
      </w:r>
    </w:p>
  </w:footnote>
  <w:footnote w:type="continuationSeparator" w:id="0">
    <w:p w:rsidR="00641928" w:rsidP="00A32AD2" w:rsidRDefault="00641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F76330" w:rsidRDefault="00F76330">
    <w:pPr>
      <w:pStyle w:val="Zhlav"/>
    </w:pP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42920786" r:id="rId2"/>
      </w:obje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1362EFE"/>
    <w:multiLevelType w:val="hybridMultilevel"/>
    <w:tmpl w:val="064604D4"/>
    <w:lvl w:ilvl="0" w:tplc="3BD83FEE">
      <w:numFmt w:val="bullet"/>
      <w:lvlText w:val="-"/>
      <w:lvlJc w:val="left"/>
      <w:pPr>
        <w:ind w:left="1068" w:hanging="360"/>
      </w:pPr>
      <w:rPr>
        <w:rFonts w:hint="default" w:ascii="Calibri" w:hAnsi="Calibri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nsid w:val="080972EE"/>
    <w:multiLevelType w:val="hybridMultilevel"/>
    <w:tmpl w:val="62A4954C"/>
    <w:lvl w:ilvl="0" w:tplc="354282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0A132D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0C35034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D56547B"/>
    <w:multiLevelType w:val="hybridMultilevel"/>
    <w:tmpl w:val="7812CE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E6F59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2D76DD2"/>
    <w:multiLevelType w:val="hybridMultilevel"/>
    <w:tmpl w:val="954E6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D6155"/>
    <w:multiLevelType w:val="hybridMultilevel"/>
    <w:tmpl w:val="6FFEDBD2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FFFFFFFF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1A73649B"/>
    <w:multiLevelType w:val="hybridMultilevel"/>
    <w:tmpl w:val="AED80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C003C5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81D70B3"/>
    <w:multiLevelType w:val="hybridMultilevel"/>
    <w:tmpl w:val="8B826B7E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FFFFFFFF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>
    <w:nsid w:val="41B85F2E"/>
    <w:multiLevelType w:val="hybridMultilevel"/>
    <w:tmpl w:val="67C451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668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83D1E54"/>
    <w:multiLevelType w:val="hybridMultilevel"/>
    <w:tmpl w:val="A6908A6A"/>
    <w:lvl w:ilvl="0" w:tplc="FFFFFFFF">
      <w:start w:val="4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Arial" w:hAnsi="Arial" w:eastAsia="Times New Roman" w:cs="Arial"/>
      </w:rPr>
    </w:lvl>
    <w:lvl w:ilvl="1" w:tplc="FFFFFFFF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 w:ascii="Arial" w:hAnsi="Arial" w:eastAsia="Times New Roman" w:cs="Arial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>
    <w:nsid w:val="4B0543B6"/>
    <w:multiLevelType w:val="hybridMultilevel"/>
    <w:tmpl w:val="7150ADC6"/>
    <w:lvl w:ilvl="0" w:tplc="7C52BE98">
      <w:numFmt w:val="bullet"/>
      <w:lvlText w:val="–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D655E53"/>
    <w:multiLevelType w:val="hybridMultilevel"/>
    <w:tmpl w:val="D0D4CDB8"/>
    <w:lvl w:ilvl="0" w:tplc="3542822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4E7F2FF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508B28AD"/>
    <w:multiLevelType w:val="hybridMultilevel"/>
    <w:tmpl w:val="BF20E3A4"/>
    <w:lvl w:ilvl="0" w:tplc="3542822A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 w:ascii="Arial" w:hAnsi="Arial" w:eastAsia="Times New Roman"/>
      </w:rPr>
    </w:lvl>
    <w:lvl w:ilvl="1" w:tplc="0405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hint="default" w:ascii="Wingdings" w:hAnsi="Wingdings"/>
      </w:rPr>
    </w:lvl>
  </w:abstractNum>
  <w:abstractNum w:abstractNumId="18">
    <w:nsid w:val="5FA57D65"/>
    <w:multiLevelType w:val="hybridMultilevel"/>
    <w:tmpl w:val="67465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656DD"/>
    <w:multiLevelType w:val="hybridMultilevel"/>
    <w:tmpl w:val="37A4F4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90573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646A72DD"/>
    <w:multiLevelType w:val="hybridMultilevel"/>
    <w:tmpl w:val="C158010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65F22E5"/>
    <w:multiLevelType w:val="hybridMultilevel"/>
    <w:tmpl w:val="8CF88D9C"/>
    <w:lvl w:ilvl="0" w:tplc="0405000F">
      <w:start w:val="4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19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1B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19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1B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19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1B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>
    <w:nsid w:val="6A0638D5"/>
    <w:multiLevelType w:val="hybridMultilevel"/>
    <w:tmpl w:val="15B067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44E2FB2"/>
    <w:multiLevelType w:val="hybridMultilevel"/>
    <w:tmpl w:val="F738D7AA"/>
    <w:lvl w:ilvl="0" w:tplc="5FF81BD0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 w:ascii="Arial" w:hAnsi="Arial" w:eastAsia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25">
    <w:nsid w:val="754B0062"/>
    <w:multiLevelType w:val="hybridMultilevel"/>
    <w:tmpl w:val="CFAA2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713677A"/>
    <w:multiLevelType w:val="hybridMultilevel"/>
    <w:tmpl w:val="CD48E9E2"/>
    <w:lvl w:ilvl="0" w:tplc="F9B2DDA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/>
      </w:rPr>
    </w:lvl>
    <w:lvl w:ilvl="1" w:tplc="F9B2D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23"/>
  </w:num>
  <w:num w:numId="5">
    <w:abstractNumId w:val="17"/>
  </w:num>
  <w:num w:numId="6">
    <w:abstractNumId w:val="15"/>
  </w:num>
  <w:num w:numId="7">
    <w:abstractNumId w:val="24"/>
  </w:num>
  <w:num w:numId="8">
    <w:abstractNumId w:val="26"/>
  </w:num>
  <w:num w:numId="9">
    <w:abstractNumId w:val="25"/>
  </w:num>
  <w:num w:numId="10">
    <w:abstractNumId w:val="5"/>
  </w:num>
  <w:num w:numId="11">
    <w:abstractNumId w:val="12"/>
  </w:num>
  <w:num w:numId="12">
    <w:abstractNumId w:val="20"/>
  </w:num>
  <w:num w:numId="13">
    <w:abstractNumId w:val="2"/>
  </w:num>
  <w:num w:numId="14">
    <w:abstractNumId w:val="3"/>
  </w:num>
  <w:num w:numId="15">
    <w:abstractNumId w:val="16"/>
  </w:num>
  <w:num w:numId="16">
    <w:abstractNumId w:val="21"/>
  </w:num>
  <w:num w:numId="17">
    <w:abstractNumId w:val="8"/>
  </w:num>
  <w:num w:numId="18">
    <w:abstractNumId w:val="22"/>
  </w:num>
  <w:num w:numId="19">
    <w:abstractNumId w:val="19"/>
  </w:num>
  <w:num w:numId="20">
    <w:abstractNumId w:val="11"/>
  </w:num>
  <w:num w:numId="21">
    <w:abstractNumId w:val="6"/>
  </w:num>
  <w:num w:numId="22">
    <w:abstractNumId w:val="4"/>
  </w:num>
  <w:num w:numId="23">
    <w:abstractNumId w:val="14"/>
  </w:num>
  <w:num w:numId="24">
    <w:abstractNumId w:val="9"/>
  </w:num>
  <w:num w:numId="25">
    <w:abstractNumId w:val="13"/>
  </w:num>
  <w:num w:numId="26">
    <w:abstractNumId w:val="0"/>
  </w:num>
  <w:num w:numId="27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oNotTrackMoves/>
  <w:defaultTabStop w:val="708"/>
  <w:hyphenationZone w:val="425"/>
  <w:characterSpacingControl w:val="doNotCompress"/>
  <w:hdrShapeDefaults>
    <o:shapedefaults spidmax="24578" v:ext="edit"/>
    <o:shapelayout v:ext="edit">
      <o:idmap data="2" v:ext="edit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3EB"/>
    <w:rsid w:val="000223EB"/>
    <w:rsid w:val="000267EF"/>
    <w:rsid w:val="00034A05"/>
    <w:rsid w:val="00042B24"/>
    <w:rsid w:val="000434F3"/>
    <w:rsid w:val="00053A6A"/>
    <w:rsid w:val="00057B0A"/>
    <w:rsid w:val="000661A2"/>
    <w:rsid w:val="0007031F"/>
    <w:rsid w:val="00070D90"/>
    <w:rsid w:val="000920F7"/>
    <w:rsid w:val="000B2CF4"/>
    <w:rsid w:val="000E30C0"/>
    <w:rsid w:val="000F29FE"/>
    <w:rsid w:val="001170CD"/>
    <w:rsid w:val="0012377C"/>
    <w:rsid w:val="00127201"/>
    <w:rsid w:val="00143412"/>
    <w:rsid w:val="001502F4"/>
    <w:rsid w:val="001513D6"/>
    <w:rsid w:val="00173E4A"/>
    <w:rsid w:val="001751C9"/>
    <w:rsid w:val="00175CF5"/>
    <w:rsid w:val="0018559C"/>
    <w:rsid w:val="00197EA7"/>
    <w:rsid w:val="001A0781"/>
    <w:rsid w:val="001A6D4E"/>
    <w:rsid w:val="001B2CE7"/>
    <w:rsid w:val="001D0EC4"/>
    <w:rsid w:val="001E6A1A"/>
    <w:rsid w:val="002261EB"/>
    <w:rsid w:val="00252EAE"/>
    <w:rsid w:val="002B028D"/>
    <w:rsid w:val="002C13D6"/>
    <w:rsid w:val="002E0F49"/>
    <w:rsid w:val="00313DEB"/>
    <w:rsid w:val="003246CC"/>
    <w:rsid w:val="00336144"/>
    <w:rsid w:val="00371CF2"/>
    <w:rsid w:val="00394B7C"/>
    <w:rsid w:val="003B4FEC"/>
    <w:rsid w:val="003B5A49"/>
    <w:rsid w:val="003C3886"/>
    <w:rsid w:val="003C54F0"/>
    <w:rsid w:val="003E1042"/>
    <w:rsid w:val="003F1DE1"/>
    <w:rsid w:val="0041091B"/>
    <w:rsid w:val="004119E3"/>
    <w:rsid w:val="00437C1E"/>
    <w:rsid w:val="004417FF"/>
    <w:rsid w:val="00453029"/>
    <w:rsid w:val="00466288"/>
    <w:rsid w:val="004827D4"/>
    <w:rsid w:val="00492939"/>
    <w:rsid w:val="00494DDA"/>
    <w:rsid w:val="00496178"/>
    <w:rsid w:val="004969F9"/>
    <w:rsid w:val="004A32F2"/>
    <w:rsid w:val="004A3C88"/>
    <w:rsid w:val="004D36F1"/>
    <w:rsid w:val="004F0F35"/>
    <w:rsid w:val="00502B30"/>
    <w:rsid w:val="00506550"/>
    <w:rsid w:val="00507FCE"/>
    <w:rsid w:val="00510944"/>
    <w:rsid w:val="00525D96"/>
    <w:rsid w:val="0053117E"/>
    <w:rsid w:val="005364D7"/>
    <w:rsid w:val="00537323"/>
    <w:rsid w:val="00541758"/>
    <w:rsid w:val="005459C8"/>
    <w:rsid w:val="00556F28"/>
    <w:rsid w:val="00562686"/>
    <w:rsid w:val="00565091"/>
    <w:rsid w:val="005660C4"/>
    <w:rsid w:val="0057607B"/>
    <w:rsid w:val="00593E8A"/>
    <w:rsid w:val="005B5C02"/>
    <w:rsid w:val="005E4380"/>
    <w:rsid w:val="005F3192"/>
    <w:rsid w:val="005F3991"/>
    <w:rsid w:val="005F7443"/>
    <w:rsid w:val="0060310E"/>
    <w:rsid w:val="00603390"/>
    <w:rsid w:val="00603A17"/>
    <w:rsid w:val="006102BF"/>
    <w:rsid w:val="00613F39"/>
    <w:rsid w:val="0061581F"/>
    <w:rsid w:val="00623AF2"/>
    <w:rsid w:val="0062495A"/>
    <w:rsid w:val="006250BC"/>
    <w:rsid w:val="00631D72"/>
    <w:rsid w:val="00641928"/>
    <w:rsid w:val="006658ED"/>
    <w:rsid w:val="006708B5"/>
    <w:rsid w:val="0067297C"/>
    <w:rsid w:val="00687731"/>
    <w:rsid w:val="00692E98"/>
    <w:rsid w:val="00696CD3"/>
    <w:rsid w:val="006A00E9"/>
    <w:rsid w:val="006A35E6"/>
    <w:rsid w:val="006D79ED"/>
    <w:rsid w:val="00722032"/>
    <w:rsid w:val="007459DA"/>
    <w:rsid w:val="007466B4"/>
    <w:rsid w:val="007550C8"/>
    <w:rsid w:val="007634B7"/>
    <w:rsid w:val="0079315F"/>
    <w:rsid w:val="007A1ACA"/>
    <w:rsid w:val="007A1EBF"/>
    <w:rsid w:val="007B0768"/>
    <w:rsid w:val="007C30FB"/>
    <w:rsid w:val="007E697C"/>
    <w:rsid w:val="008031F3"/>
    <w:rsid w:val="00816F57"/>
    <w:rsid w:val="00820BA5"/>
    <w:rsid w:val="0082498C"/>
    <w:rsid w:val="00824DAF"/>
    <w:rsid w:val="00832DC8"/>
    <w:rsid w:val="00835E71"/>
    <w:rsid w:val="00837DDA"/>
    <w:rsid w:val="00850705"/>
    <w:rsid w:val="00853CA0"/>
    <w:rsid w:val="00896926"/>
    <w:rsid w:val="008A3FC3"/>
    <w:rsid w:val="008B11AD"/>
    <w:rsid w:val="008B2506"/>
    <w:rsid w:val="008C52AC"/>
    <w:rsid w:val="008D128C"/>
    <w:rsid w:val="008D31C7"/>
    <w:rsid w:val="008E4A36"/>
    <w:rsid w:val="008F4D68"/>
    <w:rsid w:val="0092601F"/>
    <w:rsid w:val="00953DB5"/>
    <w:rsid w:val="00961D76"/>
    <w:rsid w:val="00964BA8"/>
    <w:rsid w:val="009651BB"/>
    <w:rsid w:val="00994574"/>
    <w:rsid w:val="00995763"/>
    <w:rsid w:val="009A1883"/>
    <w:rsid w:val="009B361E"/>
    <w:rsid w:val="009C4154"/>
    <w:rsid w:val="00A0109D"/>
    <w:rsid w:val="00A0598F"/>
    <w:rsid w:val="00A124A4"/>
    <w:rsid w:val="00A32AD2"/>
    <w:rsid w:val="00A352B1"/>
    <w:rsid w:val="00A361D3"/>
    <w:rsid w:val="00A36741"/>
    <w:rsid w:val="00A45056"/>
    <w:rsid w:val="00A6416A"/>
    <w:rsid w:val="00A70525"/>
    <w:rsid w:val="00A76F34"/>
    <w:rsid w:val="00A82656"/>
    <w:rsid w:val="00AB3424"/>
    <w:rsid w:val="00AB78F7"/>
    <w:rsid w:val="00AC79C3"/>
    <w:rsid w:val="00AF2889"/>
    <w:rsid w:val="00B02BB9"/>
    <w:rsid w:val="00B04C7F"/>
    <w:rsid w:val="00B31F61"/>
    <w:rsid w:val="00B62D52"/>
    <w:rsid w:val="00B81D71"/>
    <w:rsid w:val="00BB0B38"/>
    <w:rsid w:val="00BB443E"/>
    <w:rsid w:val="00BB4AE7"/>
    <w:rsid w:val="00BB6BCE"/>
    <w:rsid w:val="00BF4C04"/>
    <w:rsid w:val="00C02160"/>
    <w:rsid w:val="00C02FA1"/>
    <w:rsid w:val="00C07B30"/>
    <w:rsid w:val="00C22B44"/>
    <w:rsid w:val="00C23FDF"/>
    <w:rsid w:val="00C263D3"/>
    <w:rsid w:val="00C543BF"/>
    <w:rsid w:val="00C54C5A"/>
    <w:rsid w:val="00C57A75"/>
    <w:rsid w:val="00C66D82"/>
    <w:rsid w:val="00C70D4D"/>
    <w:rsid w:val="00C81625"/>
    <w:rsid w:val="00C825D4"/>
    <w:rsid w:val="00CA7F9E"/>
    <w:rsid w:val="00CB27B2"/>
    <w:rsid w:val="00CD1DC7"/>
    <w:rsid w:val="00CD3D64"/>
    <w:rsid w:val="00CD4733"/>
    <w:rsid w:val="00CF557E"/>
    <w:rsid w:val="00D25087"/>
    <w:rsid w:val="00D25E68"/>
    <w:rsid w:val="00D27894"/>
    <w:rsid w:val="00D3280F"/>
    <w:rsid w:val="00D41801"/>
    <w:rsid w:val="00DA1BD3"/>
    <w:rsid w:val="00DA3EC2"/>
    <w:rsid w:val="00DB4E00"/>
    <w:rsid w:val="00DB6874"/>
    <w:rsid w:val="00DC17F0"/>
    <w:rsid w:val="00DC1F32"/>
    <w:rsid w:val="00DD0EBE"/>
    <w:rsid w:val="00DD4B9C"/>
    <w:rsid w:val="00E0040F"/>
    <w:rsid w:val="00E2244B"/>
    <w:rsid w:val="00E22A74"/>
    <w:rsid w:val="00E267DD"/>
    <w:rsid w:val="00E31BE8"/>
    <w:rsid w:val="00E535BD"/>
    <w:rsid w:val="00E70000"/>
    <w:rsid w:val="00E84D21"/>
    <w:rsid w:val="00E9194C"/>
    <w:rsid w:val="00EC7270"/>
    <w:rsid w:val="00ED5C91"/>
    <w:rsid w:val="00EE57F9"/>
    <w:rsid w:val="00EF71F2"/>
    <w:rsid w:val="00F05069"/>
    <w:rsid w:val="00F44C1E"/>
    <w:rsid w:val="00F5003A"/>
    <w:rsid w:val="00F6026B"/>
    <w:rsid w:val="00F76330"/>
    <w:rsid w:val="00FA05BB"/>
    <w:rsid w:val="00FB173C"/>
    <w:rsid w:val="00FC77A2"/>
    <w:rsid w:val="00FD0160"/>
    <w:rsid w:val="00FE5E9E"/>
    <w:rsid w:val="00FF3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spidmax="2457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1A6D4E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32AD2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B38000"/>
      <w:sz w:val="28"/>
      <w:szCs w:val="28"/>
      <w:lang/>
    </w:rPr>
  </w:style>
  <w:style w:type="paragraph" w:styleId="Nadpis2">
    <w:name w:val="heading 2"/>
    <w:basedOn w:val="Normln"/>
    <w:next w:val="Normln"/>
    <w:link w:val="Nadpis2Char"/>
    <w:uiPriority w:val="99"/>
    <w:qFormat/>
    <w:rsid w:val="00A32AD2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F0AD00"/>
      <w:sz w:val="26"/>
      <w:szCs w:val="26"/>
      <w:lang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A32AD2"/>
    <w:rPr>
      <w:rFonts w:ascii="Cambria" w:hAnsi="Cambria" w:cs="Times New Roman"/>
      <w:b/>
      <w:bCs/>
      <w:color w:val="B38000"/>
      <w:sz w:val="28"/>
      <w:szCs w:val="28"/>
    </w:rPr>
  </w:style>
  <w:style w:type="character" w:styleId="Nadpis2Char" w:customStyle="true">
    <w:name w:val="Nadpis 2 Char"/>
    <w:link w:val="Nadpis2"/>
    <w:uiPriority w:val="99"/>
    <w:locked/>
    <w:rsid w:val="00A32AD2"/>
    <w:rPr>
      <w:rFonts w:ascii="Cambria" w:hAnsi="Cambria" w:cs="Times New Roman"/>
      <w:b/>
      <w:bCs/>
      <w:color w:val="F0AD00"/>
      <w:sz w:val="26"/>
      <w:szCs w:val="26"/>
    </w:rPr>
  </w:style>
  <w:style w:type="paragraph" w:styleId="Nzev">
    <w:name w:val="Title"/>
    <w:basedOn w:val="Normln"/>
    <w:next w:val="Normln"/>
    <w:link w:val="NzevChar"/>
    <w:uiPriority w:val="99"/>
    <w:qFormat/>
    <w:rsid w:val="001E6A1A"/>
    <w:pPr>
      <w:pBdr>
        <w:bottom w:val="single" w:color="F0AD00" w:sz="8" w:space="4"/>
      </w:pBdr>
      <w:spacing w:after="300" w:line="240" w:lineRule="auto"/>
      <w:contextualSpacing/>
    </w:pPr>
    <w:rPr>
      <w:rFonts w:ascii="Cambria" w:hAnsi="Cambria"/>
      <w:color w:val="434959"/>
      <w:spacing w:val="5"/>
      <w:kern w:val="28"/>
      <w:sz w:val="52"/>
      <w:szCs w:val="52"/>
      <w:lang/>
    </w:rPr>
  </w:style>
  <w:style w:type="character" w:styleId="NzevChar" w:customStyle="true">
    <w:name w:val="Název Char"/>
    <w:link w:val="Nzev"/>
    <w:uiPriority w:val="99"/>
    <w:locked/>
    <w:rsid w:val="001E6A1A"/>
    <w:rPr>
      <w:rFonts w:ascii="Cambria" w:hAnsi="Cambria" w:cs="Times New Roman"/>
      <w:color w:val="434959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99"/>
    <w:rsid w:val="00A32AD2"/>
    <w:rPr>
      <w:lang w:val="en-GB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uiPriority w:val="99"/>
    <w:rsid w:val="00A32AD2"/>
    <w:rPr>
      <w:rFonts w:cs="Times New Roman"/>
      <w:color w:val="168BBA"/>
      <w:u w:val="single"/>
    </w:rPr>
  </w:style>
  <w:style w:type="paragraph" w:styleId="Odstavecseseznamem">
    <w:name w:val="List Paragraph"/>
    <w:basedOn w:val="Normln"/>
    <w:uiPriority w:val="34"/>
    <w:qFormat/>
    <w:rsid w:val="00A32AD2"/>
    <w:pPr>
      <w:spacing w:line="240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rsid w:val="00A32AD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styleId="ZhlavChar" w:customStyle="true">
    <w:name w:val="Záhlaví Char"/>
    <w:link w:val="Zhlav"/>
    <w:uiPriority w:val="99"/>
    <w:locked/>
    <w:rsid w:val="00A32AD2"/>
    <w:rPr>
      <w:rFonts w:cs="Times New Roman"/>
    </w:rPr>
  </w:style>
  <w:style w:type="paragraph" w:styleId="Zpat">
    <w:name w:val="footer"/>
    <w:basedOn w:val="Normln"/>
    <w:link w:val="ZpatChar"/>
    <w:uiPriority w:val="99"/>
    <w:rsid w:val="00A32AD2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styleId="ZpatChar" w:customStyle="true">
    <w:name w:val="Zápatí Char"/>
    <w:link w:val="Zpat"/>
    <w:uiPriority w:val="99"/>
    <w:locked/>
    <w:rsid w:val="00A32AD2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C825D4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styleId="TextbublinyChar" w:customStyle="true">
    <w:name w:val="Text bubliny Char"/>
    <w:link w:val="Textbubliny"/>
    <w:uiPriority w:val="99"/>
    <w:semiHidden/>
    <w:locked/>
    <w:rsid w:val="00C825D4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99"/>
    <w:qFormat/>
    <w:rsid w:val="00C825D4"/>
    <w:rPr>
      <w:rFonts w:eastAsia="Times New Roman"/>
      <w:sz w:val="22"/>
      <w:szCs w:val="22"/>
      <w:lang w:eastAsia="en-US"/>
    </w:rPr>
  </w:style>
  <w:style w:type="character" w:styleId="BezmezerChar" w:customStyle="true">
    <w:name w:val="Bez mezer Char"/>
    <w:link w:val="Bezmezer"/>
    <w:uiPriority w:val="99"/>
    <w:locked/>
    <w:rsid w:val="00C825D4"/>
    <w:rPr>
      <w:rFonts w:eastAsia="Times New Roman"/>
      <w:sz w:val="22"/>
      <w:szCs w:val="22"/>
      <w:lang w:val="cs-CZ" w:eastAsia="en-US" w:bidi="ar-SA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672967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995736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pavel@exejeans.com" Type="http://schemas.openxmlformats.org/officeDocument/2006/relationships/hyperlink" Id="rId8"/>
    <Relationship Target="theme/theme1.xml" Type="http://schemas.openxmlformats.org/officeDocument/2006/relationships/theme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ntTable.xml" Type="http://schemas.openxmlformats.org/officeDocument/2006/relationships/fontTabl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Mode="External" Target="mailto:novak@legroconsult.cz" Type="http://schemas.openxmlformats.org/officeDocument/2006/relationships/hyperlink" Id="rId9"/>
    <Relationship Target="stylesWithEffects.xml" Type="http://schemas.microsoft.com/office/2007/relationships/stylesWithEffects" Id="rId14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26EB6319-289A-43F1-BDD8-0475F8C79F5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1552</properties:Words>
  <properties:Characters>9160</properties:Characters>
  <properties:Lines>76</properties:Lines>
  <properties:Paragraphs>21</properties:Paragraphs>
  <properties:TotalTime>515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Výzva k podání nabídek na výběrové řízení na dodávky</vt:lpstr>
    </vt:vector>
  </properties:TitlesOfParts>
  <properties:LinksUpToDate>false</properties:LinksUpToDate>
  <properties:CharactersWithSpaces>10691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2012-11-07T10:06:00Z</dcterms:created>
  <dc:creator/>
  <dc:description/>
  <cp:keywords/>
  <cp:lastModifiedBy/>
  <dcterms:modified xmlns:xsi="http://www.w3.org/2001/XMLSchema-instance" xsi:type="dcterms:W3CDTF">2013-10-10T12:33:00Z</dcterms:modified>
  <cp:revision>31</cp:revision>
  <dc:subject/>
  <dc:title>Výzva k podání nabídek na výběrové řízení na dodávky</dc:title>
</cp:coreProperties>
</file>