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2216EE">
        <w:tc>
          <w:tcPr>
            <w:tcW w:w="2830" w:type="dxa"/>
            <w:vAlign w:val="center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216EE" w:rsidR="004B5567" w:rsidP="003D1430" w:rsidRDefault="004B5567">
            <w:pPr>
              <w:spacing w:before="0" w:after="120"/>
              <w:ind w:left="363"/>
              <w:rPr>
                <w:rFonts w:asciiTheme="minorHAnsi" w:hAnsiTheme="minorHAnsi" w:cstheme="minorHAnsi"/>
                <w:b/>
                <w:szCs w:val="22"/>
              </w:rPr>
            </w:pPr>
            <w:r w:rsidRPr="002216EE">
              <w:rPr>
                <w:rFonts w:asciiTheme="minorHAnsi" w:hAnsiTheme="minorHAnsi" w:cstheme="minorHAnsi"/>
                <w:b/>
                <w:szCs w:val="22"/>
              </w:rPr>
              <w:t>Konfliktní situace a jejich zvládání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4B5567" w:rsidP="003D1430" w:rsidRDefault="004B556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Barevné domky Hajnice</w:t>
            </w:r>
          </w:p>
          <w:p w:rsidR="00AD070D" w:rsidP="00AD070D" w:rsidRDefault="00AD070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r w:rsidRPr="00AD070D">
              <w:rPr>
                <w:rFonts w:asciiTheme="minorHAnsi" w:hAnsiTheme="minorHAnsi" w:cstheme="minorHAnsi"/>
                <w:szCs w:val="22"/>
              </w:rPr>
              <w:t>č.p. 46, 544 66 Hajnice</w:t>
            </w:r>
          </w:p>
          <w:p w:rsidRPr="003D1430" w:rsidR="00AD070D" w:rsidP="00AD070D" w:rsidRDefault="00AD070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AD070D">
              <w:rPr>
                <w:rFonts w:asciiTheme="minorHAnsi" w:hAnsiTheme="minorHAnsi" w:cstheme="minorHAnsi"/>
                <w:szCs w:val="22"/>
              </w:rPr>
              <w:t>001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AD070D">
              <w:rPr>
                <w:rFonts w:asciiTheme="minorHAnsi" w:hAnsiTheme="minorHAnsi" w:cstheme="minorHAnsi"/>
                <w:szCs w:val="22"/>
              </w:rPr>
              <w:t>94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bookmarkStart w:name="_GoBack" w:id="0"/>
            <w:bookmarkEnd w:id="0"/>
            <w:r w:rsidRPr="00AD070D">
              <w:rPr>
                <w:rFonts w:asciiTheme="minorHAnsi" w:hAnsiTheme="minorHAnsi" w:cstheme="minorHAnsi"/>
                <w:szCs w:val="22"/>
              </w:rPr>
              <w:t>972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2216EE" w:rsidR="008368BD" w:rsidP="002216EE" w:rsidRDefault="008368BD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16EE">
              <w:rPr>
                <w:rFonts w:asciiTheme="minorHAnsi" w:hAnsiTheme="minorHAnsi" w:cstheme="minorHAnsi"/>
                <w:i/>
                <w:sz w:val="22"/>
                <w:szCs w:val="22"/>
              </w:rPr>
              <w:t>Cílem je zvýšit odborné kompetence pracovníků v oblasti zaměřené na zvládání příp. předcházení konfliktům.</w:t>
            </w:r>
          </w:p>
          <w:p w:rsidRPr="002216EE" w:rsidR="008368BD" w:rsidP="002216EE" w:rsidRDefault="008368BD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16EE">
              <w:rPr>
                <w:rFonts w:asciiTheme="minorHAnsi" w:hAnsiTheme="minorHAnsi" w:cstheme="minorHAnsi"/>
                <w:i/>
                <w:sz w:val="22"/>
                <w:szCs w:val="22"/>
              </w:rPr>
              <w:t>V zájmu Zadavatele je prostřednictvím dalšího vzdělávání zvýšit odborné kompetence zaměstnanců v oblasti: předcházení a zvládání konfliktů.</w:t>
            </w:r>
          </w:p>
          <w:p w:rsidR="008368BD" w:rsidP="002216EE" w:rsidRDefault="008368BD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68BD">
              <w:rPr>
                <w:rFonts w:asciiTheme="minorHAnsi" w:hAnsiTheme="minorHAnsi" w:cstheme="minorHAnsi"/>
                <w:sz w:val="22"/>
                <w:szCs w:val="22"/>
              </w:rPr>
              <w:t>Záměrem Zadavatele je prostřednictvím dalšího vzdělávání umožnit zaměstnancům poskytovatele dozvědět se, jak předcházet či zvládat konfliktní situace (jak v rámci vztahu pracovník – uživatel, tak v rámci týmu).</w:t>
            </w:r>
          </w:p>
          <w:p w:rsidRPr="00455B2A" w:rsidR="00455B2A" w:rsidP="002216EE" w:rsidRDefault="00455B2A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5B2A">
              <w:rPr>
                <w:rFonts w:asciiTheme="minorHAnsi" w:hAnsiTheme="minorHAnsi" w:cstheme="minorHAnsi"/>
                <w:b/>
                <w:sz w:val="22"/>
                <w:szCs w:val="22"/>
              </w:rPr>
              <w:t>Obsah:</w:t>
            </w:r>
          </w:p>
          <w:p w:rsidRPr="003D1430" w:rsidR="004B5567" w:rsidP="003D1430" w:rsidRDefault="004B5567">
            <w:pPr>
              <w:pStyle w:val="Normlnweb"/>
              <w:numPr>
                <w:ilvl w:val="0"/>
                <w:numId w:val="16"/>
              </w:numPr>
              <w:spacing w:before="0" w:beforeAutospacing="false" w:after="120" w:afterAutospacing="false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1430">
              <w:rPr>
                <w:rFonts w:asciiTheme="minorHAnsi" w:hAnsiTheme="minorHAnsi" w:cstheme="minorHAnsi"/>
                <w:sz w:val="22"/>
                <w:szCs w:val="22"/>
              </w:rPr>
              <w:t>Konflikt/konfliktní situace, typologie konfliktů, příčiny, vznik a vývoj konfliktu. Vnímání konfliktu. Vliv konfliktu na způsob komunikace.</w:t>
            </w:r>
          </w:p>
          <w:p w:rsidRPr="003D1430" w:rsidR="004B5567" w:rsidP="003D1430" w:rsidRDefault="004B5567">
            <w:pPr>
              <w:pStyle w:val="Normlnweb"/>
              <w:numPr>
                <w:ilvl w:val="0"/>
                <w:numId w:val="16"/>
              </w:numPr>
              <w:spacing w:before="0" w:beforeAutospacing="false" w:after="120" w:afterAutospacing="false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1430">
              <w:rPr>
                <w:rFonts w:asciiTheme="minorHAnsi" w:hAnsiTheme="minorHAnsi" w:cstheme="minorHAnsi"/>
                <w:sz w:val="22"/>
                <w:szCs w:val="22"/>
              </w:rPr>
              <w:t>Předcházení konfliktním situacím. Strategie řešení konfliktní situace, výhody, nevýhody.</w:t>
            </w:r>
          </w:p>
          <w:p w:rsidRPr="003D1430" w:rsidR="004B5567" w:rsidP="003D1430" w:rsidRDefault="004B5567">
            <w:pPr>
              <w:pStyle w:val="Normlnweb"/>
              <w:numPr>
                <w:ilvl w:val="0"/>
                <w:numId w:val="16"/>
              </w:numPr>
              <w:spacing w:before="0" w:beforeAutospacing="false" w:after="120" w:afterAutospacing="false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1430">
              <w:rPr>
                <w:rFonts w:asciiTheme="minorHAnsi" w:hAnsiTheme="minorHAnsi" w:cstheme="minorHAnsi"/>
                <w:sz w:val="22"/>
                <w:szCs w:val="22"/>
              </w:rPr>
              <w:t>Zásady efektivní komunikace a řešení konfliktních situací.</w:t>
            </w:r>
          </w:p>
          <w:p w:rsidRPr="003D1430" w:rsidR="003D1430" w:rsidP="003D1430" w:rsidRDefault="004B5567">
            <w:pPr>
              <w:pStyle w:val="Normlnweb"/>
              <w:numPr>
                <w:ilvl w:val="0"/>
                <w:numId w:val="16"/>
              </w:numPr>
              <w:spacing w:before="0" w:beforeAutospacing="false" w:after="120" w:afterAutospacing="false" w:line="276" w:lineRule="auto"/>
              <w:ind w:left="714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1430">
              <w:rPr>
                <w:rFonts w:asciiTheme="minorHAnsi" w:hAnsiTheme="minorHAnsi" w:cstheme="minorHAnsi"/>
                <w:sz w:val="22"/>
                <w:szCs w:val="22"/>
              </w:rPr>
              <w:t>Praktické příklady, modelové situace, důraz na reflexi účastníků ve vztahu k jejich využití ve vykonávané praxi.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3D1430" w:rsidR="004B5567" w:rsidP="008368BD" w:rsidRDefault="002216EE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</w:t>
            </w:r>
            <w:r w:rsidRPr="003D1430" w:rsidR="003D1430">
              <w:rPr>
                <w:rFonts w:asciiTheme="minorHAnsi" w:hAnsiTheme="minorHAnsi" w:cstheme="minorHAnsi"/>
                <w:szCs w:val="22"/>
              </w:rPr>
              <w:t>voudenní – 16 výukových hodin (hodina/ 45 min.), lze řešit i skladebně ze dvou jednodenních kurzů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4B5567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2x I. pol. 2019; 1x II. pol. 2019 (mimo 7-8/19), dle dohody s poskytovatelem</w:t>
            </w:r>
          </w:p>
          <w:p w:rsidRPr="003D1430" w:rsidR="004B5567" w:rsidP="003D1430" w:rsidRDefault="004B5567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1x I. pol. 2020; 2x II. pol. 2020 (mimo 7-8/20)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Počet běhů za rok 2019: 3</w:t>
            </w:r>
          </w:p>
          <w:p w:rsidRPr="003D1430" w:rsidR="003D1430" w:rsidP="003D1430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Počet běhů za rok 2020: 3</w:t>
            </w:r>
          </w:p>
          <w:p w:rsidRPr="003D1430" w:rsidR="003D1430" w:rsidP="003D1430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Celkem: 6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3D1430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14</w:t>
            </w:r>
          </w:p>
        </w:tc>
      </w:tr>
      <w:tr w:rsidRPr="003D1430" w:rsidR="003D1430" w:rsidTr="003D1430">
        <w:tc>
          <w:tcPr>
            <w:tcW w:w="2830" w:type="dxa"/>
          </w:tcPr>
          <w:p w:rsidRPr="003D1430" w:rsidR="003D1430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3D1430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20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3D1430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SP, PSS (DOZP, CHB, SR)</w:t>
            </w:r>
          </w:p>
        </w:tc>
      </w:tr>
    </w:tbl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>
      <w:r>
        <w:separator/>
      </w:r>
    </w:p>
  </w:endnote>
  <w:endnote w:type="continuationSeparator" w:id="0">
    <w:p w:rsidR="004B5567" w:rsidRDefault="004B556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>
      <w:r>
        <w:separator/>
      </w:r>
    </w:p>
  </w:footnote>
  <w:footnote w:type="continuationSeparator" w:id="0">
    <w:p w:rsidR="004B5567" w:rsidRDefault="004B556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5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3"/>
  </w:num>
  <w:num w:numId="8">
    <w:abstractNumId w:val="10"/>
  </w:num>
  <w:num w:numId="9">
    <w:abstractNumId w:val="7"/>
  </w:num>
  <w:num w:numId="10">
    <w:abstractNumId w:val="6"/>
  </w:num>
  <w:num w:numId="11">
    <w:abstractNumId w:val="14"/>
  </w:num>
  <w:num w:numId="12">
    <w:abstractNumId w:val="15"/>
  </w:num>
  <w:num w:numId="13">
    <w:abstractNumId w:val="17"/>
  </w:num>
  <w:num w:numId="14">
    <w:abstractNumId w:val="11"/>
  </w:num>
  <w:num w:numId="15">
    <w:abstractNumId w:val="8"/>
  </w:num>
  <w:num w:numId="16">
    <w:abstractNumId w:val="16"/>
  </w:num>
  <w:num w:numId="17">
    <w:abstractNumId w:val="5"/>
  </w:num>
  <w:num w:numId="18">
    <w:abstractNumId w:val="1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55B2A"/>
    <w:rsid w:val="00465937"/>
    <w:rsid w:val="00473DB2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AD070D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8193" v:ext="edit"/>
    <o:shapelayout v:ext="edit">
      <o:idmap data="1" v:ext="edit"/>
    </o:shapelayout>
  </w:shapeDefaults>
  <w:decimalSymbol w:val=","/>
  <w:listSeparator w:val=";"/>
  <w15:chartTrackingRefBased/>
  <w14:docId w14:val="31A4AE6D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96A0A924</properties:Template>
  <properties:Company/>
  <properties:Pages>2</properties:Pages>
  <properties:Words>219</properties:Words>
  <properties:Characters>1346</properties:Characters>
  <properties:Lines>11</properties:Lines>
  <properties:Paragraphs>3</properties:Paragraphs>
  <properties:TotalTime>29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1562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2019-02-20T12:15:00Z</dcterms:created>
  <dc:creator/>
  <dc:description/>
  <cp:keywords/>
  <cp:lastModifiedBy/>
  <cp:lastPrinted>2004-09-01T08:56:00Z</cp:lastPrinted>
  <dcterms:modified xmlns:xsi="http://www.w3.org/2001/XMLSchema-instance" xsi:type="dcterms:W3CDTF">2019-02-22T12:42:00Z</dcterms:modified>
  <cp:revision>4</cp:revision>
  <dc:subject/>
  <dc:title>Holec Zuska a Partneři Template</dc:title>
</cp:coreProperties>
</file>