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54822" w:rsidR="00554822" w:rsidP="00554822" w:rsidRDefault="00554822">
      <w:pPr>
        <w:tabs>
          <w:tab w:val="left" w:pos="570"/>
          <w:tab w:val="center" w:pos="1526"/>
        </w:tabs>
        <w:spacing w:line="276" w:lineRule="auto"/>
        <w:jc w:val="right"/>
        <w:rPr>
          <w:rFonts w:ascii="Calibri" w:hAnsi="Calibri" w:eastAsia="Calibri"/>
          <w:b/>
          <w:sz w:val="20"/>
          <w:szCs w:val="20"/>
          <w:lang w:eastAsia="en-US"/>
        </w:rPr>
      </w:pPr>
      <w:r w:rsidRPr="00554822">
        <w:rPr>
          <w:rFonts w:ascii="Calibri" w:hAnsi="Calibri" w:eastAsia="Calibri"/>
          <w:b/>
          <w:sz w:val="20"/>
          <w:szCs w:val="20"/>
          <w:lang w:eastAsia="en-US"/>
        </w:rPr>
        <w:t xml:space="preserve">Příloha č. </w:t>
      </w:r>
      <w:r>
        <w:rPr>
          <w:rFonts w:ascii="Calibri" w:hAnsi="Calibri" w:eastAsia="Calibri"/>
          <w:b/>
          <w:sz w:val="20"/>
          <w:szCs w:val="20"/>
          <w:lang w:eastAsia="en-US"/>
        </w:rPr>
        <w:t>1</w:t>
      </w:r>
      <w:r w:rsidRPr="00554822">
        <w:rPr>
          <w:rFonts w:ascii="Calibri" w:hAnsi="Calibri" w:eastAsia="Calibri"/>
          <w:b/>
          <w:sz w:val="20"/>
          <w:szCs w:val="20"/>
          <w:lang w:eastAsia="en-US"/>
        </w:rPr>
        <w:t xml:space="preserve"> Výzvy k podání nabídek</w:t>
      </w:r>
    </w:p>
    <w:p w:rsidR="00171DF4" w:rsidP="00171DF4" w:rsidRDefault="00171DF4">
      <w:pPr>
        <w:spacing w:after="24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KRYCÍ LIST NABÍDKY</w:t>
      </w:r>
    </w:p>
    <w:p w:rsidRPr="0032448E" w:rsidR="00C46A12" w:rsidP="00C46A12" w:rsidRDefault="00C46A12">
      <w:pPr>
        <w:spacing w:after="360"/>
        <w:jc w:val="center"/>
        <w:outlineLvl w:val="1"/>
        <w:rPr>
          <w:rFonts w:cs="Calibri" w:asciiTheme="minorHAnsi" w:hAnsiTheme="minorHAnsi"/>
          <w:sz w:val="22"/>
          <w:szCs w:val="22"/>
          <w:lang w:eastAsia="en-US"/>
        </w:rPr>
      </w:pPr>
      <w:r w:rsidRPr="00A70A18">
        <w:rPr>
          <w:rFonts w:cs="Calibri" w:asciiTheme="minorHAnsi" w:hAnsiTheme="minorHAnsi"/>
          <w:sz w:val="22"/>
          <w:szCs w:val="22"/>
          <w:lang w:eastAsia="en-US"/>
        </w:rPr>
        <w:t>k podlimitní veřejné zakázce na služby s názvem</w:t>
      </w:r>
      <w:r w:rsidRPr="0032448E">
        <w:rPr>
          <w:rFonts w:cs="Calibri" w:asciiTheme="minorHAnsi" w:hAnsiTheme="minorHAnsi"/>
          <w:sz w:val="22"/>
          <w:szCs w:val="22"/>
          <w:lang w:eastAsia="en-US"/>
        </w:rPr>
        <w:t>:</w:t>
      </w:r>
    </w:p>
    <w:p w:rsidRPr="006D5A93" w:rsidR="00C46A12" w:rsidP="00C46A12" w:rsidRDefault="00C46A12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28"/>
          <w:szCs w:val="28"/>
          <w:lang w:eastAsia="en-US"/>
        </w:rPr>
      </w:pPr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>„</w:t>
      </w:r>
      <w:r w:rsidR="003A07DD">
        <w:rPr>
          <w:rFonts w:ascii="Arial" w:hAnsi="Arial" w:cs="Arial"/>
          <w:b/>
          <w:bCs/>
          <w:sz w:val="26"/>
          <w:szCs w:val="26"/>
        </w:rPr>
        <w:t xml:space="preserve">Poradenské služby v oblasti Age managementu společnosti </w:t>
      </w:r>
      <w:proofErr w:type="spellStart"/>
      <w:r w:rsidR="003A07DD">
        <w:rPr>
          <w:rFonts w:ascii="Arial" w:hAnsi="Arial" w:cs="Arial"/>
          <w:b/>
          <w:bCs/>
          <w:sz w:val="26"/>
          <w:szCs w:val="26"/>
        </w:rPr>
        <w:t>Wienerberger</w:t>
      </w:r>
      <w:proofErr w:type="spellEnd"/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>“</w:t>
      </w:r>
    </w:p>
    <w:p w:rsidR="00C46A12" w:rsidP="00C46A12" w:rsidRDefault="00C46A1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Pr="003A07DD" w:rsidR="00A34207" w:rsidP="003A07DD" w:rsidRDefault="00A34207">
      <w:pPr>
        <w:autoSpaceDE w:val="false"/>
        <w:autoSpaceDN w:val="false"/>
        <w:adjustRightInd w:val="false"/>
        <w:rPr>
          <w:rFonts w:eastAsia="Calibri" w:asciiTheme="minorHAnsi" w:hAnsiTheme="minorHAnsi" w:cstheme="minorHAnsi"/>
          <w:bCs/>
          <w:sz w:val="22"/>
          <w:szCs w:val="22"/>
          <w:lang w:eastAsia="en-US"/>
        </w:rPr>
      </w:pPr>
      <w:r w:rsidRPr="003A07DD">
        <w:rPr>
          <w:rFonts w:asciiTheme="minorHAnsi" w:hAnsiTheme="minorHAnsi" w:cstheme="minorHAnsi"/>
          <w:sz w:val="22"/>
          <w:szCs w:val="22"/>
          <w:lang w:eastAsia="en-US"/>
        </w:rPr>
        <w:t xml:space="preserve">zadávané ve zjednodušeném podlimitním řízení podle § 53 zákona č. 134/2016 Sb., o zadávání veřejných zakázek </w:t>
      </w:r>
      <w:r w:rsidRPr="003A07DD">
        <w:rPr>
          <w:rFonts w:asciiTheme="minorHAnsi" w:hAnsiTheme="minorHAnsi" w:cstheme="minorHAnsi"/>
          <w:bCs/>
          <w:sz w:val="22"/>
          <w:szCs w:val="22"/>
        </w:rPr>
        <w:t xml:space="preserve">a v souladu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s Pravidly pro žadatele a příjemce v rámci operačního programu Zaměstnanost (verze 9), platnými ke dni 1. 11. 2018, v rámci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 w:rsid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p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rojektu</w:t>
      </w:r>
      <w:r w:rsidRPr="003A07DD" w:rsid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 „</w:t>
      </w:r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Posílení </w:t>
      </w:r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A</w:t>
      </w:r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ge managementu ve společnosti </w:t>
      </w:r>
      <w:proofErr w:type="spellStart"/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Wienerberger</w:t>
      </w:r>
      <w:proofErr w:type="spellEnd"/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 </w:t>
      </w:r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cihlářský průmysl, a. s.</w:t>
      </w:r>
      <w:r w:rsidRPr="003A07DD" w:rsid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“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spolufinancovaného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z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Operačního programu Zaměstnanost, 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Výzva </w:t>
      </w:r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03_17_079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: </w:t>
      </w:r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Age management - chytrá změna v řízení, příležitost k růstu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,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registrační číslo projektu: </w:t>
      </w:r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CZ.03.1.52/0.0/0.0/17_079/0009505</w:t>
      </w:r>
      <w:r w:rsidRPr="003A07DD" w:rsid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.</w:t>
      </w:r>
    </w:p>
    <w:p w:rsidRPr="003A07DD" w:rsidR="00C46A12" w:rsidP="00C46A12" w:rsidRDefault="00C46A12">
      <w:pPr>
        <w:spacing w:before="240" w:line="276" w:lineRule="auto"/>
        <w:ind w:left="2835" w:hanging="2835"/>
        <w:jc w:val="both"/>
        <w:outlineLvl w:val="1"/>
        <w:rPr>
          <w:rFonts w:eastAsia="Calibri"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3A07DD">
        <w:rPr>
          <w:rFonts w:eastAsia="Calibri" w:asciiTheme="minorHAnsi" w:hAnsiTheme="minorHAnsi" w:cstheme="minorHAnsi"/>
          <w:b/>
          <w:bCs/>
          <w:sz w:val="22"/>
          <w:szCs w:val="22"/>
          <w:u w:val="single"/>
          <w:lang w:eastAsia="en-US"/>
        </w:rPr>
        <w:t>Zadavatel:</w:t>
      </w:r>
    </w:p>
    <w:p w:rsidRPr="003A07DD" w:rsidR="00C46A12" w:rsidP="00C46A12" w:rsidRDefault="00C46A12">
      <w:pPr>
        <w:spacing w:line="276" w:lineRule="auto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Název/Obchodní firma: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ab/>
      </w:r>
      <w:proofErr w:type="spellStart"/>
      <w:r w:rsidRPr="003A07DD" w:rsidR="003A07DD">
        <w:rPr>
          <w:rFonts w:asciiTheme="minorHAnsi" w:hAnsiTheme="minorHAnsi" w:cstheme="minorHAnsi"/>
          <w:b/>
          <w:bCs/>
          <w:sz w:val="22"/>
          <w:szCs w:val="22"/>
        </w:rPr>
        <w:t>Wienerberger</w:t>
      </w:r>
      <w:proofErr w:type="spellEnd"/>
      <w:r w:rsidRPr="003A07DD" w:rsidR="003A07DD">
        <w:rPr>
          <w:rFonts w:asciiTheme="minorHAnsi" w:hAnsiTheme="minorHAnsi" w:cstheme="minorHAnsi"/>
          <w:b/>
          <w:bCs/>
          <w:sz w:val="22"/>
          <w:szCs w:val="22"/>
        </w:rPr>
        <w:t xml:space="preserve"> s.r.o.</w:t>
      </w:r>
    </w:p>
    <w:p w:rsidRPr="003A07DD" w:rsidR="00C46A12" w:rsidP="00C46A12" w:rsidRDefault="00C46A12">
      <w:pPr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 w:rsidR="003A07DD">
        <w:rPr>
          <w:rFonts w:asciiTheme="minorHAnsi" w:hAnsiTheme="minorHAnsi" w:cstheme="minorHAnsi"/>
          <w:sz w:val="22"/>
          <w:szCs w:val="22"/>
        </w:rPr>
        <w:t>Plachého 388/28, 370 01 České Budějovice 1</w:t>
      </w:r>
    </w:p>
    <w:p w:rsidRPr="003A07DD" w:rsidR="00C46A12" w:rsidP="00C46A12" w:rsidRDefault="00C46A12">
      <w:pPr>
        <w:spacing w:line="276" w:lineRule="auto"/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Zastoupen: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     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 w:rsidR="003A07DD">
        <w:rPr>
          <w:rFonts w:asciiTheme="minorHAnsi" w:hAnsiTheme="minorHAnsi" w:cstheme="minorHAnsi"/>
          <w:sz w:val="22"/>
          <w:szCs w:val="22"/>
        </w:rPr>
        <w:t>Ing. Luděk Bárta (jednatel), Ing. Kamil Jeřábek (jednatel)</w:t>
      </w:r>
    </w:p>
    <w:p w:rsidRPr="003A07DD" w:rsidR="00C46A12" w:rsidP="00C46A12" w:rsidRDefault="00C46A12">
      <w:pPr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IČ</w:t>
      </w:r>
      <w:r w:rsidRPr="003A07DD" w:rsidR="004117B1">
        <w:rPr>
          <w:rFonts w:eastAsia="Calibri" w:asciiTheme="minorHAnsi" w:hAnsiTheme="minorHAnsi" w:cstheme="minorHAnsi"/>
          <w:sz w:val="22"/>
          <w:szCs w:val="22"/>
          <w:lang w:eastAsia="en-US"/>
        </w:rPr>
        <w:t>O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 w:rsidR="003A07DD">
        <w:rPr>
          <w:rFonts w:asciiTheme="minorHAnsi" w:hAnsiTheme="minorHAnsi" w:cstheme="minorHAnsi"/>
          <w:sz w:val="22"/>
          <w:szCs w:val="22"/>
        </w:rPr>
        <w:t>00015253</w:t>
      </w:r>
    </w:p>
    <w:p w:rsidRPr="003A07DD" w:rsidR="00C46A12" w:rsidP="00C46A12" w:rsidRDefault="00C46A12">
      <w:pPr>
        <w:spacing w:line="276" w:lineRule="auto"/>
        <w:rPr>
          <w:rFonts w:eastAsia="Calibri" w:asciiTheme="minorHAnsi" w:hAnsiTheme="minorHAnsi" w:cstheme="minorHAnsi"/>
          <w:bCs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DIČ: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CZ</w:t>
      </w:r>
      <w:r w:rsidRPr="003A07DD" w:rsidR="003A07DD">
        <w:rPr>
          <w:rFonts w:asciiTheme="minorHAnsi" w:hAnsiTheme="minorHAnsi" w:cstheme="minorHAnsi"/>
          <w:sz w:val="22"/>
          <w:szCs w:val="22"/>
        </w:rPr>
        <w:t>00015253</w:t>
      </w:r>
    </w:p>
    <w:p w:rsidRPr="003A07DD" w:rsidR="00C46A12" w:rsidP="00C46A12" w:rsidRDefault="00C46A12">
      <w:pPr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Zapsaná v obchodním rejstříku vedeném Krajským soudem </w:t>
      </w:r>
      <w:r w:rsidRPr="003A07DD" w:rsid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v </w:t>
      </w:r>
      <w:r w:rsidRPr="003A07DD" w:rsidR="003A07DD">
        <w:rPr>
          <w:rFonts w:asciiTheme="minorHAnsi" w:hAnsiTheme="minorHAnsi" w:cstheme="minorHAnsi"/>
          <w:sz w:val="22"/>
          <w:szCs w:val="22"/>
        </w:rPr>
        <w:t>Českých Budějovicích oddíl C, složka 27563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.</w:t>
      </w:r>
    </w:p>
    <w:p w:rsidR="00171DF4" w:rsidP="00171DF4" w:rsidRDefault="00171DF4">
      <w:pPr>
        <w:widowControl w:val="false"/>
        <w:autoSpaceDE w:val="false"/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  <w:lang w:eastAsia="en-US"/>
        </w:rPr>
      </w:pPr>
    </w:p>
    <w:p w:rsidR="00AE093B" w:rsidP="00AE093B" w:rsidRDefault="00AE093B">
      <w:pPr>
        <w:spacing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Název/jméno/obchodní firma: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2B68B0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Zastoupen:</w:t>
      </w:r>
    </w:p>
    <w:p w:rsidR="0097683D" w:rsidP="0097683D" w:rsidRDefault="0097683D">
      <w:pPr>
        <w:pStyle w:val="Odstavecseseznamem"/>
        <w:autoSpaceDE w:val="false"/>
        <w:ind w:left="3686" w:hanging="36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Malý či střední podnik dle </w:t>
      </w:r>
    </w:p>
    <w:p w:rsidR="0097683D" w:rsidP="0097683D" w:rsidRDefault="0097683D">
      <w:pPr>
        <w:pStyle w:val="Odstavecseseznamem"/>
        <w:autoSpaceDE w:val="false"/>
        <w:ind w:left="3686" w:hanging="36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doporučení Komise 2003/361/ES:</w:t>
      </w:r>
      <w:r>
        <w:rPr>
          <w:rFonts w:ascii="Calibri" w:hAnsi="Calibri"/>
          <w:sz w:val="22"/>
          <w:szCs w:val="22"/>
        </w:rPr>
        <w:tab/>
      </w:r>
      <w:r w:rsidRPr="008B505C">
        <w:rPr>
          <w:rFonts w:ascii="Calibri" w:hAnsi="Calibri"/>
          <w:sz w:val="22"/>
          <w:szCs w:val="22"/>
          <w:highlight w:val="yellow"/>
        </w:rPr>
        <w:t>.......................................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Tel./fax: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osoba: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Tel./fax:</w:t>
      </w:r>
    </w:p>
    <w:p w:rsidR="00171DF4" w:rsidP="00171DF4" w:rsidRDefault="00171DF4">
      <w:pPr>
        <w:pStyle w:val="Odstavecseseznamem"/>
        <w:autoSpaceDE w:val="false"/>
        <w:spacing w:after="12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6732"/>
        <w:gridCol w:w="2330"/>
      </w:tblGrid>
      <w:tr w:rsidRPr="001B6D4F" w:rsidR="00171DF4" w:rsidTr="0005290C"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71DF4" w:rsidP="00483CAB" w:rsidRDefault="00FD10E5">
            <w:pPr>
              <w:spacing w:line="276" w:lineRule="auto"/>
              <w:jc w:val="both"/>
              <w:outlineLvl w:val="1"/>
              <w:rPr>
                <w:rFonts w:ascii="Calibri" w:hAnsi="Calibri" w:eastAsia="Calibri" w:cs="Arial"/>
                <w:bCs/>
                <w:lang w:eastAsia="en-US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  <w:lang w:eastAsia="en-US"/>
              </w:rPr>
              <w:t>Kritéria hodnocení</w:t>
            </w:r>
            <w:r w:rsidR="00171DF4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 xml:space="preserve"> (Musí být v souladu s dalším obsahem nabídky. Bude-li existovat jakýkoliv rozpor mezi hodnotou uvedenou na krycím listu nabídky a hodnotou uvedenou v závazném textu </w:t>
            </w:r>
            <w:r w:rsidR="00483CAB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 xml:space="preserve">smlouvy </w:t>
            </w:r>
            <w:r w:rsidR="00435ED7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o plnění předmětu veřejné zakáz</w:t>
            </w:r>
            <w:r w:rsidR="00483CAB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k</w:t>
            </w:r>
            <w:r w:rsidR="00435ED7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y</w:t>
            </w:r>
            <w:r w:rsidR="00171DF4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, bude mít ve vztahu k danému zadávacímu řízení přednost hodnota u</w:t>
            </w:r>
            <w:r w:rsidR="00180C7A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vedená v závazném textu Smlouvy</w:t>
            </w:r>
            <w:r w:rsidR="00171DF4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)</w:t>
            </w:r>
            <w:r w:rsidR="00180C7A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Pr="001B6D4F" w:rsidR="00DC143A" w:rsidTr="00DC143A">
        <w:trPr>
          <w:trHeight w:val="272"/>
        </w:trPr>
        <w:tc>
          <w:tcPr>
            <w:tcW w:w="6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Pr="00D52E49" w:rsidR="00DC143A" w:rsidP="00375718" w:rsidRDefault="00DC143A">
            <w:pPr>
              <w:spacing w:line="276" w:lineRule="auto"/>
              <w:jc w:val="both"/>
              <w:outlineLvl w:val="1"/>
              <w:rPr>
                <w:rFonts w:ascii="Calibri" w:hAnsi="Calibri" w:eastAsia="Calibri" w:cs="Arial"/>
                <w:b/>
                <w:bCs/>
                <w:lang w:eastAsia="en-US"/>
              </w:rPr>
            </w:pPr>
            <w:r w:rsidRPr="00D52E49">
              <w:rPr>
                <w:b/>
              </w:rPr>
              <w:br w:type="page"/>
            </w:r>
            <w:r w:rsidRPr="00D52E49">
              <w:rPr>
                <w:rFonts w:eastAsia="Calibri" w:cs="Arial" w:asciiTheme="minorHAnsi" w:hAnsiTheme="minorHAnsi"/>
                <w:b/>
                <w:sz w:val="22"/>
                <w:szCs w:val="22"/>
                <w:lang w:eastAsia="en-US"/>
              </w:rPr>
              <w:t>Nabídková cena v Kč bez DPH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C143A" w:rsidP="0005290C" w:rsidRDefault="00DC143A">
            <w:pPr>
              <w:spacing w:line="276" w:lineRule="auto"/>
              <w:ind w:left="3544" w:hanging="3118"/>
              <w:jc w:val="both"/>
              <w:outlineLvl w:val="1"/>
              <w:rPr>
                <w:rFonts w:ascii="Calibri" w:hAnsi="Calibri" w:eastAsia="Calibri" w:cs="Arial"/>
                <w:bCs/>
                <w:lang w:eastAsia="en-US"/>
              </w:rPr>
            </w:pPr>
          </w:p>
        </w:tc>
      </w:tr>
      <w:tr w:rsidRPr="001B6D4F" w:rsidR="00DC143A" w:rsidTr="00DC143A">
        <w:trPr>
          <w:trHeight w:val="272"/>
        </w:trPr>
        <w:tc>
          <w:tcPr>
            <w:tcW w:w="6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Pr="00D52E49" w:rsidR="00DC143A" w:rsidP="00375718" w:rsidRDefault="00DC143A">
            <w:pPr>
              <w:spacing w:line="276" w:lineRule="auto"/>
              <w:jc w:val="both"/>
              <w:outlineLvl w:val="1"/>
              <w:rPr>
                <w:b/>
              </w:rPr>
            </w:pPr>
            <w:r w:rsidRPr="00D52E49">
              <w:rPr>
                <w:rFonts w:eastAsia="Calibri" w:cs="Arial" w:asciiTheme="minorHAnsi" w:hAnsiTheme="minorHAnsi"/>
                <w:b/>
                <w:sz w:val="22"/>
                <w:szCs w:val="22"/>
                <w:lang w:eastAsia="en-US"/>
              </w:rPr>
              <w:t>Sazba DPH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C143A" w:rsidP="0005290C" w:rsidRDefault="00DC143A">
            <w:pPr>
              <w:spacing w:line="276" w:lineRule="auto"/>
              <w:ind w:left="3544" w:hanging="3118"/>
              <w:jc w:val="both"/>
              <w:outlineLvl w:val="1"/>
              <w:rPr>
                <w:rFonts w:ascii="Calibri" w:hAnsi="Calibri" w:eastAsia="Calibri" w:cs="Arial"/>
                <w:bCs/>
                <w:lang w:eastAsia="en-US"/>
              </w:rPr>
            </w:pPr>
          </w:p>
        </w:tc>
      </w:tr>
      <w:tr w:rsidRPr="001B6D4F" w:rsidR="00DC143A" w:rsidTr="00DC143A">
        <w:trPr>
          <w:trHeight w:val="272"/>
        </w:trPr>
        <w:tc>
          <w:tcPr>
            <w:tcW w:w="6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Pr="00D52E49" w:rsidR="00DC143A" w:rsidP="00375718" w:rsidRDefault="00DC143A">
            <w:pPr>
              <w:spacing w:line="276" w:lineRule="auto"/>
              <w:jc w:val="both"/>
              <w:outlineLvl w:val="1"/>
              <w:rPr>
                <w:b/>
              </w:rPr>
            </w:pPr>
            <w:r w:rsidRPr="00D52E49">
              <w:rPr>
                <w:rFonts w:eastAsia="Calibri" w:cs="Arial" w:asciiTheme="minorHAnsi" w:hAnsiTheme="minorHAnsi"/>
                <w:b/>
                <w:sz w:val="22"/>
                <w:szCs w:val="22"/>
                <w:lang w:eastAsia="en-US"/>
              </w:rPr>
              <w:lastRenderedPageBreak/>
              <w:t>Nabídková cena v Kč včetně DPH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C143A" w:rsidP="0005290C" w:rsidRDefault="00DC143A">
            <w:pPr>
              <w:spacing w:line="276" w:lineRule="auto"/>
              <w:ind w:left="3544" w:hanging="3118"/>
              <w:jc w:val="both"/>
              <w:outlineLvl w:val="1"/>
              <w:rPr>
                <w:rFonts w:ascii="Calibri" w:hAnsi="Calibri" w:eastAsia="Calibri" w:cs="Arial"/>
                <w:bCs/>
                <w:lang w:eastAsia="en-US"/>
              </w:rPr>
            </w:pPr>
          </w:p>
        </w:tc>
      </w:tr>
    </w:tbl>
    <w:p w:rsidRPr="001B6D4F" w:rsidR="00171DF4" w:rsidP="00171DF4" w:rsidRDefault="00171DF4">
      <w:pPr>
        <w:spacing w:after="120"/>
        <w:jc w:val="both"/>
        <w:rPr>
          <w:rFonts w:ascii="Calibri" w:hAnsi="Calibri"/>
          <w:sz w:val="22"/>
          <w:szCs w:val="22"/>
        </w:rPr>
      </w:pPr>
    </w:p>
    <w:p w:rsidRPr="001B6D4F" w:rsidR="00171DF4" w:rsidP="00171DF4" w:rsidRDefault="00171DF4">
      <w:pPr>
        <w:spacing w:after="120"/>
        <w:jc w:val="both"/>
        <w:rPr>
          <w:rFonts w:ascii="Calibri" w:hAnsi="Calibri"/>
          <w:sz w:val="22"/>
          <w:szCs w:val="22"/>
        </w:rPr>
      </w:pPr>
    </w:p>
    <w:p w:rsidRPr="001B6D4F" w:rsidR="00171DF4" w:rsidP="00171DF4" w:rsidRDefault="00C70378">
      <w:pPr>
        <w:spacing w:after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 dne ……………. 201</w:t>
      </w:r>
      <w:r w:rsidR="003A07DD">
        <w:rPr>
          <w:rFonts w:ascii="Calibri" w:hAnsi="Calibri"/>
          <w:sz w:val="22"/>
          <w:szCs w:val="22"/>
        </w:rPr>
        <w:t>9</w:t>
      </w:r>
      <w:bookmarkStart w:name="_GoBack" w:id="0"/>
      <w:bookmarkEnd w:id="0"/>
    </w:p>
    <w:p w:rsidR="00457ACD" w:rsidP="00457ACD" w:rsidRDefault="00457ACD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Osoba oprávněná zastupovat účastníka:</w:t>
      </w:r>
    </w:p>
    <w:p w:rsidRPr="00D63DB7" w:rsidR="00950558" w:rsidP="00950558" w:rsidRDefault="00950558">
      <w:pPr>
        <w:pStyle w:val="Odstavecseseznamem"/>
        <w:widowControl w:val="false"/>
        <w:autoSpaceDE w:val="false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jméno, příjmení:</w:t>
      </w:r>
    </w:p>
    <w:p w:rsidRPr="00D63DB7" w:rsidR="00950558" w:rsidP="00950558" w:rsidRDefault="00950558">
      <w:pPr>
        <w:rPr>
          <w:rFonts w:ascii="Calibri" w:hAnsi="Calibri"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na základě kterého je osoba</w:t>
      </w:r>
      <w:r>
        <w:rPr>
          <w:rFonts w:ascii="Calibri" w:hAnsi="Calibri"/>
          <w:bCs/>
          <w:sz w:val="22"/>
          <w:szCs w:val="22"/>
        </w:rPr>
        <w:t xml:space="preserve"> oprávněna</w:t>
      </w:r>
      <w:r w:rsidRPr="00D63DB7">
        <w:rPr>
          <w:rFonts w:ascii="Calibri" w:hAnsi="Calibri"/>
          <w:bCs/>
          <w:sz w:val="22"/>
          <w:szCs w:val="22"/>
        </w:rPr>
        <w:t xml:space="preserve"> zastupovat </w:t>
      </w:r>
      <w:r>
        <w:rPr>
          <w:rFonts w:ascii="Calibri" w:hAnsi="Calibri"/>
          <w:bCs/>
          <w:sz w:val="22"/>
          <w:szCs w:val="22"/>
        </w:rPr>
        <w:t>účastníka</w:t>
      </w:r>
      <w:r w:rsidRPr="00D63DB7">
        <w:rPr>
          <w:rFonts w:ascii="Calibri" w:hAnsi="Calibri"/>
          <w:bCs/>
          <w:sz w:val="22"/>
          <w:szCs w:val="22"/>
        </w:rPr>
        <w:t>:</w:t>
      </w:r>
    </w:p>
    <w:p w:rsidRPr="00A60467" w:rsidR="00950558" w:rsidP="00950558" w:rsidRDefault="00950558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Podpis oprávněné osoby:</w:t>
      </w: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Pr="001B6D4F"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sectPr w:rsidRPr="001B6D4F" w:rsidR="00171DF4" w:rsidSect="0036018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61280" w:rsidP="0032448E" w:rsidRDefault="00461280">
      <w:r>
        <w:separator/>
      </w:r>
    </w:p>
  </w:endnote>
  <w:endnote w:type="continuationSeparator" w:id="0">
    <w:p w:rsidR="00461280" w:rsidP="0032448E" w:rsidRDefault="004612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61280" w:rsidP="0032448E" w:rsidRDefault="00461280">
      <w:r>
        <w:separator/>
      </w:r>
    </w:p>
  </w:footnote>
  <w:footnote w:type="continuationSeparator" w:id="0">
    <w:p w:rsidR="00461280" w:rsidP="0032448E" w:rsidRDefault="004612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6018D" w:rsidP="00C46A12" w:rsidRDefault="00C46A12">
    <w:pPr>
      <w:pStyle w:val="Zhlav"/>
      <w:pBdr>
        <w:bottom w:val="single" w:color="auto" w:sz="4" w:space="1"/>
      </w:pBdr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F4"/>
    <w:rsid w:val="00044D10"/>
    <w:rsid w:val="00171DF4"/>
    <w:rsid w:val="00180C7A"/>
    <w:rsid w:val="001B2007"/>
    <w:rsid w:val="00282D56"/>
    <w:rsid w:val="002B68B0"/>
    <w:rsid w:val="002E16F5"/>
    <w:rsid w:val="0032139B"/>
    <w:rsid w:val="0032448E"/>
    <w:rsid w:val="00350C67"/>
    <w:rsid w:val="0036018D"/>
    <w:rsid w:val="003A07DD"/>
    <w:rsid w:val="003A4A78"/>
    <w:rsid w:val="003D10F0"/>
    <w:rsid w:val="004117B1"/>
    <w:rsid w:val="00435ED7"/>
    <w:rsid w:val="00457ACD"/>
    <w:rsid w:val="00461280"/>
    <w:rsid w:val="00483CAB"/>
    <w:rsid w:val="004D05DE"/>
    <w:rsid w:val="005361DF"/>
    <w:rsid w:val="00545347"/>
    <w:rsid w:val="00554822"/>
    <w:rsid w:val="00563DB3"/>
    <w:rsid w:val="00596872"/>
    <w:rsid w:val="005F7461"/>
    <w:rsid w:val="00640075"/>
    <w:rsid w:val="006D5A93"/>
    <w:rsid w:val="007A74EA"/>
    <w:rsid w:val="007D4EC0"/>
    <w:rsid w:val="007E29B3"/>
    <w:rsid w:val="008E6369"/>
    <w:rsid w:val="00950558"/>
    <w:rsid w:val="0097683D"/>
    <w:rsid w:val="00985D76"/>
    <w:rsid w:val="00990E5E"/>
    <w:rsid w:val="009E592D"/>
    <w:rsid w:val="00A34207"/>
    <w:rsid w:val="00A94FF3"/>
    <w:rsid w:val="00AB193B"/>
    <w:rsid w:val="00AE093B"/>
    <w:rsid w:val="00B67AF3"/>
    <w:rsid w:val="00B90C70"/>
    <w:rsid w:val="00BE0BDC"/>
    <w:rsid w:val="00BE195C"/>
    <w:rsid w:val="00C041D6"/>
    <w:rsid w:val="00C257FC"/>
    <w:rsid w:val="00C3394E"/>
    <w:rsid w:val="00C46A12"/>
    <w:rsid w:val="00C60FAE"/>
    <w:rsid w:val="00C70378"/>
    <w:rsid w:val="00C72398"/>
    <w:rsid w:val="00C758DC"/>
    <w:rsid w:val="00CC5A97"/>
    <w:rsid w:val="00CD65F0"/>
    <w:rsid w:val="00CF1672"/>
    <w:rsid w:val="00D30F50"/>
    <w:rsid w:val="00D36FCF"/>
    <w:rsid w:val="00D84315"/>
    <w:rsid w:val="00DB3C8A"/>
    <w:rsid w:val="00DC143A"/>
    <w:rsid w:val="00E35246"/>
    <w:rsid w:val="00E613B9"/>
    <w:rsid w:val="00E676C3"/>
    <w:rsid w:val="00EF54D7"/>
    <w:rsid w:val="00F139C6"/>
    <w:rsid w:val="00F22735"/>
    <w:rsid w:val="00F33287"/>
    <w:rsid w:val="00F56E16"/>
    <w:rsid w:val="00F86537"/>
    <w:rsid w:val="00FA3229"/>
    <w:rsid w:val="00FB5B6E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0631F20"/>
  <w15:docId w15:val="{E70C85EE-463B-48C6-BE8D-8ECF7CFC66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71DF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71DF4"/>
    <w:pPr>
      <w:ind w:left="720"/>
    </w:pPr>
  </w:style>
  <w:style w:type="character" w:styleId="OdstavecseseznamemChar" w:customStyle="true">
    <w:name w:val="Odstavec se seznamem Char"/>
    <w:link w:val="Odstavecseseznamem"/>
    <w:uiPriority w:val="34"/>
    <w:rsid w:val="00171DF4"/>
    <w:rPr>
      <w:rFonts w:ascii="Times New Roman" w:hAnsi="Times New Roman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2448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32448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448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2448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A1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6A1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0685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8237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2</properties:Pages>
  <properties:Words>271</properties:Words>
  <properties:Characters>1599</properties:Characters>
  <properties:Lines>13</properties:Lines>
  <properties:Paragraphs>3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2019-02-28T16:18:00Z</dcterms:created>
  <dc:creator/>
  <cp:lastModifiedBy/>
  <dcterms:modified xmlns:xsi="http://www.w3.org/2001/XMLSchema-instance" xsi:type="dcterms:W3CDTF">2019-02-28T16:34:00Z</dcterms:modified>
  <cp:revision>3</cp:revision>
</cp:coreProperties>
</file>