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B2B28" w:rsidP="008B2B28" w:rsidRDefault="008B2B28">
      <w:pPr>
        <w:tabs>
          <w:tab w:val="left" w:pos="2694"/>
        </w:tabs>
        <w:jc w:val="center"/>
        <w:rPr>
          <w:b/>
          <w:bCs/>
          <w:sz w:val="28"/>
        </w:rPr>
      </w:pPr>
    </w:p>
    <w:tbl>
      <w:tblPr>
        <w:tblW w:w="9212" w:type="dxa"/>
        <w:shd w:val="clear" w:color="auto" w:fill="2F5496" w:themeFill="accent5" w:themeFillShade="BF"/>
        <w:tblLayout w:type="fixed"/>
        <w:tblCellMar>
          <w:left w:w="113" w:type="dxa"/>
        </w:tblCellMar>
        <w:tblLook w:firstRow="0" w:lastRow="0" w:firstColumn="0" w:lastColumn="0" w:noHBand="0" w:noVBand="0" w:val="0000"/>
      </w:tblPr>
      <w:tblGrid>
        <w:gridCol w:w="9212"/>
      </w:tblGrid>
      <w:tr w:rsidRPr="00187071" w:rsidR="008B2B28" w:rsidTr="00D049BF">
        <w:tc>
          <w:tcPr>
            <w:tcW w:w="9212" w:type="dxa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17365D" w:sz="4" w:space="0"/>
            </w:tcBorders>
            <w:shd w:val="clear" w:color="auto" w:fill="92D050"/>
          </w:tcPr>
          <w:p w:rsidRPr="00D049BF" w:rsidR="008B2B28" w:rsidP="00D049BF" w:rsidRDefault="008B2B28">
            <w:pPr>
              <w:shd w:val="clear" w:color="auto" w:fill="92D050"/>
              <w:tabs>
                <w:tab w:val="left" w:pos="4395"/>
              </w:tabs>
              <w:jc w:val="center"/>
              <w:rPr>
                <w:b/>
                <w:caps/>
                <w:color w:val="FFFFFF"/>
                <w:sz w:val="28"/>
              </w:rPr>
            </w:pPr>
            <w:r w:rsidRPr="00D049BF">
              <w:rPr>
                <w:b/>
                <w:caps/>
                <w:color w:val="FFFFFF"/>
                <w:sz w:val="28"/>
              </w:rPr>
              <w:t>ČESTNÉ PROHLÁŠENÍ O SPLNĚNÍ ZÁKLADNÍ ZPŮSOBILOSTI</w:t>
            </w:r>
          </w:p>
          <w:p w:rsidR="008B2B28" w:rsidP="00D049BF" w:rsidRDefault="008B2B28">
            <w:pPr>
              <w:shd w:val="clear" w:color="auto" w:fill="92D050"/>
              <w:tabs>
                <w:tab w:val="left" w:pos="4395"/>
              </w:tabs>
              <w:jc w:val="center"/>
              <w:rPr>
                <w:b/>
                <w:color w:val="FFFFFF"/>
              </w:rPr>
            </w:pPr>
            <w:r w:rsidRPr="00D049BF">
              <w:rPr>
                <w:b/>
                <w:color w:val="FFFFFF"/>
              </w:rPr>
              <w:t>dle § 74 zákona č. 134/2016 Sb., zákon o zadávání veřejných zakázek</w:t>
            </w:r>
          </w:p>
          <w:p w:rsidRPr="00946087" w:rsidR="008B2B28" w:rsidP="00FB0A16" w:rsidRDefault="008B2B28">
            <w:pPr>
              <w:tabs>
                <w:tab w:val="left" w:pos="4395"/>
              </w:tabs>
              <w:rPr>
                <w:b/>
                <w:color w:val="FFFFFF"/>
              </w:rPr>
            </w:pPr>
          </w:p>
          <w:p w:rsidRPr="008B2B28" w:rsidR="008B2B28" w:rsidP="00943F30" w:rsidRDefault="00943F30">
            <w:pPr>
              <w:tabs>
                <w:tab w:val="left" w:pos="4395"/>
              </w:tabs>
              <w:jc w:val="center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VZDĚLÁVACÍ AKTIVITY</w:t>
            </w:r>
            <w:bookmarkStart w:name="_GoBack" w:id="0"/>
            <w:bookmarkEnd w:id="0"/>
          </w:p>
        </w:tc>
      </w:tr>
    </w:tbl>
    <w:p w:rsidRPr="002F1567" w:rsidR="00DB5357" w:rsidP="00DB5357" w:rsidRDefault="00DB5357">
      <w:pPr>
        <w:suppressAutoHyphens/>
        <w:overflowPunct w:val="false"/>
        <w:autoSpaceDE w:val="false"/>
        <w:jc w:val="center"/>
        <w:textAlignment w:val="baseline"/>
        <w:rPr>
          <w:rFonts w:ascii="Georgia" w:hAnsi="Georgia" w:cs="Arial"/>
          <w:b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02"/>
        <w:gridCol w:w="6410"/>
      </w:tblGrid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>
              <w:rPr>
                <w:rFonts w:ascii="Georgia" w:hAnsi="Georgia" w:cs="Arial"/>
                <w:b/>
                <w:sz w:val="22"/>
                <w:szCs w:val="20"/>
              </w:rPr>
              <w:t>Účastník</w:t>
            </w:r>
            <w:r w:rsidRPr="002F1567">
              <w:rPr>
                <w:rFonts w:ascii="Georgia" w:hAnsi="Georgia" w:cs="Arial"/>
                <w:b/>
                <w:sz w:val="22"/>
                <w:szCs w:val="20"/>
              </w:rPr>
              <w:t>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 w:rsidRPr="002F1567">
              <w:rPr>
                <w:rFonts w:ascii="Georgia" w:hAnsi="Georgia" w:cs="Arial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  <w:tr w:rsidRPr="002F1567" w:rsidR="00DB5357" w:rsidTr="00DB535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2"/>
                <w:szCs w:val="20"/>
              </w:rPr>
            </w:pPr>
            <w:r w:rsidRPr="002F1567">
              <w:rPr>
                <w:rFonts w:ascii="Georgia" w:hAnsi="Georgia" w:cs="Arial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vAlign w:val="center"/>
          </w:tcPr>
          <w:p w:rsidRPr="002F1567" w:rsidR="00DB5357" w:rsidP="00C26CD8" w:rsidRDefault="00DB5357">
            <w:pPr>
              <w:rPr>
                <w:rFonts w:ascii="Georgia" w:hAnsi="Georgia" w:cs="Arial"/>
                <w:b/>
                <w:sz w:val="28"/>
              </w:rPr>
            </w:pPr>
          </w:p>
        </w:tc>
      </w:tr>
    </w:tbl>
    <w:p w:rsidR="00DB5357" w:rsidP="00DB5357" w:rsidRDefault="00DB5357">
      <w:pPr>
        <w:suppressAutoHyphens/>
        <w:overflowPunct w:val="false"/>
        <w:autoSpaceDE w:val="false"/>
        <w:textAlignment w:val="baseline"/>
        <w:rPr>
          <w:rFonts w:ascii="Georgia" w:hAnsi="Georgia" w:cs="Arial"/>
          <w:sz w:val="20"/>
          <w:szCs w:val="20"/>
          <w:lang w:eastAsia="ar-SA"/>
        </w:rPr>
      </w:pPr>
    </w:p>
    <w:p w:rsidRPr="00DB5357" w:rsidR="00DB5357" w:rsidP="00DB5357" w:rsidRDefault="00DB5357">
      <w:pPr>
        <w:jc w:val="both"/>
      </w:pPr>
      <w:r w:rsidRPr="00DB5357">
        <w:t>tímto k veřejné zakázce čestně prohlašuje, že: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a)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b)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v evidenci daní zachycen splatný daňový nedoplatek;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c)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splatný nedoplatek na pojistném nebo na penále na veřejné zdravotní pojištění;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d) zákona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nemá v České republice nebo v zemi svého sídla splatný nedoplatek na pojistném nebo na penále na sociální zabezpečení a příspěvku na státní politiku zaměstnanosti;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>dle § 74 odst. 1 písm. e) zákona</w:t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 xml:space="preserve">dle § 74 odst. 2 zákona 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:rsidRPr="00DB5357" w:rsidR="00DB5357" w:rsidP="00DB5357" w:rsidRDefault="00DB5357">
      <w:pPr>
        <w:suppressAutoHyphens/>
        <w:overflowPunct w:val="false"/>
        <w:autoSpaceDE w:val="false"/>
        <w:ind w:left="2977" w:hanging="2977"/>
        <w:jc w:val="both"/>
        <w:textAlignment w:val="baseline"/>
      </w:pPr>
      <w:r w:rsidRPr="00DB5357">
        <w:t xml:space="preserve">dle § 74 odst. 3 zákona </w:t>
      </w:r>
    </w:p>
    <w:p w:rsidRPr="00DB5357" w:rsidR="00DB5357" w:rsidP="00DB5357" w:rsidRDefault="00DB5357">
      <w:pPr>
        <w:suppressAutoHyphens/>
        <w:overflowPunct w:val="false"/>
        <w:autoSpaceDE w:val="false"/>
        <w:jc w:val="both"/>
        <w:textAlignment w:val="baseline"/>
      </w:pPr>
      <w:r w:rsidRPr="00DB5357"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DB5357">
        <w:tab/>
      </w:r>
    </w:p>
    <w:p w:rsidRPr="00DB5357"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pStyle w:val="Zkladntext"/>
        <w:rPr>
          <w:b/>
          <w:i/>
          <w:iCs/>
          <w:sz w:val="24"/>
        </w:rPr>
      </w:pPr>
      <w:r w:rsidRPr="00DB5357">
        <w:rPr>
          <w:b/>
          <w:sz w:val="24"/>
        </w:rPr>
        <w:t>Výše uvedené informace účastník podává na základě své jasné, srozumitelné a svobodné vůle a je si vědom všech následků plynoucích z nepravdivých údajů.</w:t>
      </w:r>
    </w:p>
    <w:p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suppressAutoHyphens/>
        <w:overflowPunct w:val="false"/>
        <w:autoSpaceDE w:val="false"/>
        <w:textAlignment w:val="baseline"/>
      </w:pPr>
    </w:p>
    <w:p w:rsidRPr="00DB5357" w:rsidR="00DB5357" w:rsidP="00DB5357" w:rsidRDefault="00DB5357">
      <w:pPr>
        <w:tabs>
          <w:tab w:val="center" w:pos="7371"/>
        </w:tabs>
      </w:pPr>
      <w:r w:rsidRPr="00DB5357">
        <w:t>V …………</w:t>
      </w:r>
      <w:proofErr w:type="gramStart"/>
      <w:r w:rsidRPr="00DB5357">
        <w:t>…..dne</w:t>
      </w:r>
      <w:proofErr w:type="gramEnd"/>
      <w:r w:rsidRPr="00DB5357">
        <w:t xml:space="preserve"> ………………….</w:t>
      </w:r>
    </w:p>
    <w:p w:rsidRPr="00DB5357" w:rsidR="00DB5357" w:rsidP="00DB5357" w:rsidRDefault="00DB5357">
      <w:pPr>
        <w:tabs>
          <w:tab w:val="center" w:pos="7371"/>
        </w:tabs>
      </w:pPr>
    </w:p>
    <w:p w:rsidRPr="00DB5357" w:rsidR="00DB5357" w:rsidP="00DB5357" w:rsidRDefault="00DB5357">
      <w:pPr>
        <w:suppressAutoHyphens/>
        <w:overflowPunct w:val="false"/>
        <w:autoSpaceDE w:val="false"/>
        <w:ind w:left="2835" w:hanging="2835"/>
        <w:textAlignment w:val="baseline"/>
        <w:rPr>
          <w:highlight w:val="yellow"/>
          <w:lang w:eastAsia="ar-SA"/>
        </w:rPr>
      </w:pPr>
      <w:r w:rsidRPr="00DB5357">
        <w:rPr>
          <w:lang w:eastAsia="ar-SA"/>
        </w:rPr>
        <w:tab/>
      </w:r>
      <w:r w:rsidRPr="00DB5357">
        <w:rPr>
          <w:lang w:eastAsia="ar-SA"/>
        </w:rPr>
        <w:tab/>
      </w:r>
      <w:r w:rsidRPr="00DB5357">
        <w:rPr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04415" cy="610235"/>
                <wp:effectExtent l="0" t="2540" r="635" b="0"/>
                <wp:wrapNone/>
                <wp:docPr id="1" name="Textové pole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0441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357" w:rsidP="00DB5357" w:rsidRDefault="00DB5357">
                            <w:pPr>
                              <w:pBdr>
                                <w:bottom w:val="single" w:color="auto" w:sz="6" w:space="1"/>
                              </w:pBdr>
                            </w:pPr>
                          </w:p>
                          <w:p w:rsidRPr="00DB5357" w:rsidR="00DB5357" w:rsidP="00DB5357" w:rsidRDefault="00DB5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5357">
                              <w:rPr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:rsidRPr="00DB5357" w:rsidR="00DB5357" w:rsidP="00DB5357" w:rsidRDefault="00DB5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5357">
                              <w:rPr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" type="#_x0000_t202" style="position:absolute;left:0;text-align:left;margin-left:243.4pt;margin-top:.15pt;width:181.45pt;height:48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id="Textové pole 1" o:spid="_x0000_s1026" stroked="f">
                <v:textbox style="mso-fit-shape-to-text:t">
                  <w:txbxContent>
                    <w:p w:rsidR="00DB5357" w:rsidP="00DB5357" w:rsidRDefault="00DB5357">
                      <w:pPr>
                        <w:pBdr>
                          <w:bottom w:val="single" w:color="auto" w:sz="6" w:space="1"/>
                        </w:pBdr>
                      </w:pPr>
                    </w:p>
                    <w:p w:rsidRPr="00DB5357" w:rsidR="00DB5357" w:rsidP="00DB5357" w:rsidRDefault="00DB5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5357">
                        <w:rPr>
                          <w:sz w:val="22"/>
                          <w:szCs w:val="22"/>
                        </w:rPr>
                        <w:t>Titul, jméno, příjmení</w:t>
                      </w:r>
                    </w:p>
                    <w:p w:rsidRPr="00DB5357" w:rsidR="00DB5357" w:rsidP="00DB5357" w:rsidRDefault="00DB5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B5357">
                        <w:rPr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DB5357" w:rsidR="00DB5357" w:rsidSect="002F15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7"/>
    <w:rsid w:val="00141B52"/>
    <w:rsid w:val="00251A51"/>
    <w:rsid w:val="00350D9D"/>
    <w:rsid w:val="008B2B28"/>
    <w:rsid w:val="00943F30"/>
    <w:rsid w:val="00D049BF"/>
    <w:rsid w:val="00D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956B185D-C453-40F2-9689-F03E512E47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B535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5357"/>
    <w:pPr>
      <w:jc w:val="both"/>
    </w:pPr>
    <w:rPr>
      <w:sz w:val="22"/>
    </w:rPr>
  </w:style>
  <w:style w:type="character" w:styleId="ZkladntextChar" w:customStyle="true">
    <w:name w:val="Základní text Char"/>
    <w:basedOn w:val="Standardnpsmoodstavce"/>
    <w:link w:val="Zkladntext"/>
    <w:rsid w:val="00DB5357"/>
    <w:rPr>
      <w:rFonts w:ascii="Times New Roman" w:hAnsi="Times New Roman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357"/>
    <w:pPr>
      <w:tabs>
        <w:tab w:val="center" w:pos="4536"/>
        <w:tab w:val="right" w:pos="9072"/>
      </w:tabs>
      <w:suppressAutoHyphens/>
      <w:jc w:val="both"/>
    </w:pPr>
    <w:rPr>
      <w:rFonts w:ascii="Calibri" w:hAnsi="Calibri" w:eastAsia="Calibri" w:cs="Calibri"/>
      <w:kern w:val="1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DB5357"/>
    <w:rPr>
      <w:rFonts w:ascii="Calibri" w:hAnsi="Calibri" w:eastAsia="Calibri" w:cs="Calibri"/>
      <w:kern w:val="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286</properties:Words>
  <properties:Characters>1688</properties:Characters>
  <properties:Lines>14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2019-05-14T06:47:00Z</dcterms:created>
  <dc:creator/>
  <dc:description/>
  <cp:keywords/>
  <cp:lastModifiedBy/>
  <dcterms:modified xmlns:xsi="http://www.w3.org/2001/XMLSchema-instance" xsi:type="dcterms:W3CDTF">2019-07-23T10:43:00Z</dcterms:modified>
  <cp:revision>4</cp:revision>
  <dc:subject/>
  <dc:title/>
</cp:coreProperties>
</file>