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43082B" w:rsidRDefault="005232BB">
      <w:pPr>
        <w:rPr>
          <w:rFonts w:ascii="Arial" w:hAnsi="Arial" w:cs="Arial"/>
        </w:rPr>
      </w:pPr>
      <w:r>
        <w:rPr>
          <w:rFonts w:ascii="Arial" w:hAnsi="Arial" w:cs="Arial"/>
        </w:rPr>
        <w:t>Příloha č. 2</w:t>
      </w:r>
    </w:p>
    <w:tbl>
      <w:tblPr>
        <w:tblW w:w="91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9180"/>
      </w:tblGrid>
      <w:tr w:rsidRPr="00267C29" w:rsidR="005232BB" w:rsidTr="0064589C">
        <w:tc>
          <w:tcPr>
            <w:tcW w:w="9180" w:type="dxa"/>
          </w:tcPr>
          <w:p w:rsidRPr="00267C29" w:rsidR="005232BB" w:rsidP="0064589C" w:rsidRDefault="005232BB">
            <w:pPr>
              <w:pStyle w:val="AnnexTOC"/>
              <w:ind w:left="572"/>
              <w:jc w:val="center"/>
              <w:rPr>
                <w:rFonts w:ascii="Calibri" w:hAnsi="Calibri"/>
                <w:caps/>
                <w:color w:val="auto"/>
                <w:sz w:val="28"/>
                <w:szCs w:val="20"/>
              </w:rPr>
            </w:pPr>
            <w:r w:rsidRPr="00267C29">
              <w:rPr>
                <w:rFonts w:ascii="Calibri" w:hAnsi="Calibri"/>
                <w:color w:val="auto"/>
                <w:sz w:val="28"/>
                <w:szCs w:val="20"/>
              </w:rPr>
              <w:t xml:space="preserve">Doložka bezúhonnosti („Integrity </w:t>
            </w:r>
            <w:proofErr w:type="spellStart"/>
            <w:r w:rsidRPr="00267C29">
              <w:rPr>
                <w:rFonts w:ascii="Calibri" w:hAnsi="Calibri"/>
                <w:color w:val="auto"/>
                <w:sz w:val="28"/>
                <w:szCs w:val="20"/>
              </w:rPr>
              <w:t>Clause</w:t>
            </w:r>
            <w:proofErr w:type="spellEnd"/>
            <w:r w:rsidRPr="00267C29">
              <w:rPr>
                <w:rFonts w:ascii="Calibri" w:hAnsi="Calibri"/>
                <w:color w:val="auto"/>
                <w:sz w:val="28"/>
                <w:szCs w:val="20"/>
              </w:rPr>
              <w:t>)</w:t>
            </w:r>
          </w:p>
        </w:tc>
      </w:tr>
    </w:tbl>
    <w:p w:rsidRPr="00267C29" w:rsidR="005232BB" w:rsidP="005232BB" w:rsidRDefault="005232BB">
      <w:pPr>
        <w:pStyle w:val="AnnexTOC"/>
        <w:spacing w:before="60"/>
        <w:ind w:left="0"/>
        <w:rPr>
          <w:rFonts w:ascii="Calibri" w:hAnsi="Calibri"/>
          <w:caps/>
          <w:color w:val="auto"/>
          <w:szCs w:val="20"/>
        </w:rPr>
      </w:pPr>
    </w:p>
    <w:p w:rsidRPr="00267C29" w:rsidR="005232BB" w:rsidP="005232BB" w:rsidRDefault="005232BB">
      <w:pPr>
        <w:pStyle w:val="Zkladntext"/>
        <w:rPr>
          <w:rFonts w:ascii="Calibri" w:hAnsi="Calibri"/>
        </w:rPr>
      </w:pPr>
      <w:r>
        <w:rPr>
          <w:rFonts w:ascii="Calibri" w:hAnsi="Calibri"/>
        </w:rPr>
        <w:t>J</w:t>
      </w:r>
      <w:r w:rsidRPr="00267C29">
        <w:rPr>
          <w:rFonts w:ascii="Calibri" w:hAnsi="Calibri"/>
        </w:rPr>
        <w:t>akýkoli pokus ze strany zájemce či uchazeče o získání důvěrných informací, uzavření protiprávních dohod s konkurenty nebo pokus o ovlivnění komise či zadavatele během procesu zkoumání, objasňování, hodnocení a porovnávání nabídek povede k odmítnutí jeho přihlášky či jeho nabídky.</w:t>
      </w:r>
    </w:p>
    <w:p w:rsidRPr="00267C29" w:rsidR="005232BB" w:rsidP="005232BB" w:rsidRDefault="005232BB">
      <w:pPr>
        <w:jc w:val="both"/>
        <w:rPr>
          <w:rFonts w:ascii="Calibri" w:hAnsi="Calibri" w:cs="Arial"/>
        </w:rPr>
      </w:pPr>
      <w:r w:rsidRPr="00267C29">
        <w:rPr>
          <w:rFonts w:ascii="Calibri" w:hAnsi="Calibri" w:cs="Arial"/>
        </w:rPr>
        <w:t>Při podání nabídky musí uchazeč prohlásit, že nabídka byla připravena v souladu se zásadami volné soutěže, poctivého obchodního styku a nestrannosti uchazeče. Pokud by nestrannost zanikla během plnění smlouvy, musí o tom dodavatel zadavatele neprodleně informovat.</w:t>
      </w:r>
    </w:p>
    <w:p w:rsidRPr="00267C29" w:rsidR="005232BB" w:rsidP="005232BB" w:rsidRDefault="005232BB">
      <w:pPr>
        <w:jc w:val="both"/>
        <w:rPr>
          <w:rFonts w:ascii="Calibri" w:hAnsi="Calibri" w:cs="Arial"/>
        </w:rPr>
      </w:pPr>
      <w:r w:rsidRPr="00267C29">
        <w:rPr>
          <w:rFonts w:ascii="Calibri" w:hAnsi="Calibri" w:cs="Arial"/>
        </w:rPr>
        <w:t>Dodavatel musí vždy jednat nestranně a jako důvěryhodný poradce v souladu s etickým kodexem své profese. Nesmí činit žádná veřejná prohlášení o sub-projektu či službách bez předchozího souhlasu zadavatele. Nesmí zadavatele žádným způsobem zavazovat bez jeho předchozího písemného souhlasu.</w:t>
      </w:r>
    </w:p>
    <w:p w:rsidRPr="00267C29" w:rsidR="005232BB" w:rsidP="005232BB" w:rsidRDefault="005232BB">
      <w:pPr>
        <w:jc w:val="both"/>
        <w:rPr>
          <w:rFonts w:ascii="Calibri" w:hAnsi="Calibri" w:cs="Arial"/>
        </w:rPr>
      </w:pPr>
      <w:r w:rsidRPr="00267C29">
        <w:rPr>
          <w:rFonts w:ascii="Calibri" w:hAnsi="Calibri" w:cs="Arial"/>
        </w:rPr>
        <w:t>Po dobu trvání smlouvy budou dodavatel a jeho zaměstnanci respektovat lidská práva a zavazují se, že budou respektovat politické, kulturní a náboženské zvyklosti ČR.</w:t>
      </w:r>
    </w:p>
    <w:p w:rsidRPr="00267C29" w:rsidR="005232BB" w:rsidP="005232BB" w:rsidRDefault="005232BB">
      <w:pPr>
        <w:jc w:val="both"/>
        <w:rPr>
          <w:rFonts w:ascii="Calibri" w:hAnsi="Calibri" w:cs="Arial"/>
        </w:rPr>
      </w:pPr>
      <w:r w:rsidRPr="00267C29">
        <w:rPr>
          <w:rFonts w:ascii="Calibri" w:hAnsi="Calibri" w:cs="Arial"/>
        </w:rPr>
        <w:t>Dodavatel nesmí přijmout žádnou jinou platbu v souvislosti se smlouvou kromě plateb v ní stanovených. Dodavatel a jeho zaměstnanci nesmějí vykonávat žádnou činnost ani přijmout jakoukoli výhodu, která není v souladu s jejich závazky vůči zadavateli.</w:t>
      </w:r>
    </w:p>
    <w:p w:rsidRPr="00267C29" w:rsidR="005232BB" w:rsidP="005232BB" w:rsidRDefault="005232BB">
      <w:pPr>
        <w:jc w:val="both"/>
        <w:rPr>
          <w:rFonts w:ascii="Calibri" w:hAnsi="Calibri" w:cs="Arial"/>
        </w:rPr>
      </w:pPr>
      <w:r w:rsidRPr="00267C29">
        <w:rPr>
          <w:rFonts w:ascii="Calibri" w:hAnsi="Calibri" w:cs="Arial"/>
        </w:rPr>
        <w:t>Dodavatel a jeho zaměstnanci jsou povinni zachovávat služební tajemství po celou dobu trvání smlouvy a rovněž i po jejím skončení. Veškeré zprávy a dokumenty vypracované či obdržené dodavatelem jsou důvěrné.</w:t>
      </w:r>
    </w:p>
    <w:p w:rsidRPr="00267C29" w:rsidR="005232BB" w:rsidP="005232BB" w:rsidRDefault="005232BB">
      <w:pPr>
        <w:jc w:val="both"/>
        <w:rPr>
          <w:rFonts w:ascii="Calibri" w:hAnsi="Calibri" w:cs="Arial"/>
        </w:rPr>
      </w:pPr>
      <w:r w:rsidRPr="00267C29">
        <w:rPr>
          <w:rFonts w:ascii="Calibri" w:hAnsi="Calibri" w:cs="Arial"/>
        </w:rPr>
        <w:t>Dodavatel se zdrží jakýchkoli vztahů, které by mohly zpochybnit jeho nezávislost či nezávislost jeho zaměstnanců. Pokud dodavatel přestane být nezávislý, může zadavatel bez ohledu na škody smlouvu ukončit, aniž by dodavatel měl jakýkoli nárok na odškodnění.</w:t>
      </w:r>
    </w:p>
    <w:p w:rsidRPr="00267C29" w:rsidR="005232BB" w:rsidP="005232BB" w:rsidRDefault="005232BB">
      <w:pPr>
        <w:jc w:val="both"/>
        <w:rPr>
          <w:rFonts w:ascii="Calibri" w:hAnsi="Calibri" w:cs="Arial"/>
        </w:rPr>
      </w:pPr>
      <w:r w:rsidRPr="00267C29">
        <w:rPr>
          <w:rFonts w:ascii="Calibri" w:hAnsi="Calibri" w:cs="Arial"/>
        </w:rPr>
        <w:t xml:space="preserve">V případě, že vyjde najevo, že se dodavatel v procesu přidělování veřejné zakázky či plnění smlouvy dopustil protiprávního jednání, jako jsou např. korupční, podvodné či donucovací praktiky, bude jeho nabídka odmítnuta nebo smlouva anulována.  Pro účely tohoto ustanovení se korupčními, podvodnými </w:t>
      </w:r>
      <w:bookmarkStart w:name="_GoBack" w:id="0"/>
      <w:bookmarkEnd w:id="0"/>
      <w:r w:rsidRPr="00267C29">
        <w:rPr>
          <w:rFonts w:ascii="Calibri" w:hAnsi="Calibri" w:cs="Arial"/>
        </w:rPr>
        <w:t>či donucovacími praktikami rozumí např. nabídka úplatku, daru, odměny či provize jakékoli osobě za účelem ji motivovat, nebo jí naopak ohrožoval či vyhrožovat jakoukoli újmou, aby vykonala, či naopak nevykonala takový čin, který mohl ovlivnit proces přidělování veřejné zakázky nebo plnění již uzavřené smlouvy.</w:t>
      </w:r>
    </w:p>
    <w:p w:rsidRPr="0043082B" w:rsidR="004F6D51" w:rsidP="005232BB" w:rsidRDefault="005232BB">
      <w:pPr>
        <w:jc w:val="both"/>
        <w:rPr>
          <w:rFonts w:ascii="Arial" w:hAnsi="Arial" w:cs="Arial"/>
        </w:rPr>
      </w:pPr>
      <w:r w:rsidRPr="00267C29">
        <w:rPr>
          <w:rFonts w:ascii="Calibri" w:hAnsi="Calibri" w:cs="Arial"/>
        </w:rPr>
        <w:t>Smlouva může být rovněž zrušena, dojde-li k neobvyklým obchodním výdajům. Takovými neobvyklými výdaji jsou provize neuvedené v hlavní smlouvě nebo takové, které nevyplývají z řádně uzavřené smlouvy, provize převedené do daňového ráje nebo provize zaplacené příjemci, jehož totožnost není jasně zjištěna, nebo provize zaplacené společnosti, jež má všechny příznaky toho, že je společností fiktivní.</w:t>
      </w:r>
    </w:p>
    <w:sectPr w:rsidRPr="0043082B" w:rsidR="004F6D5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E67380" w:rsidP="00151B5D" w:rsidRDefault="00E67380">
      <w:pPr>
        <w:spacing w:after="0" w:line="240" w:lineRule="auto"/>
      </w:pPr>
      <w:r>
        <w:separator/>
      </w:r>
    </w:p>
  </w:endnote>
  <w:endnote w:type="continuationSeparator" w:id="0">
    <w:p w:rsidR="00E67380" w:rsidP="00151B5D" w:rsidRDefault="00E67380">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0B4503" w:rsidR="0043082B" w:rsidRDefault="0043082B">
    <w:pPr>
      <w:pStyle w:val="Zpat"/>
      <w:rPr>
        <w:rFonts w:ascii="Arial" w:hAnsi="Arial" w:cs="Arial"/>
        <w:sz w:val="20"/>
      </w:rPr>
    </w:pPr>
    <w:r w:rsidRPr="000B4503">
      <w:rPr>
        <w:rFonts w:ascii="Arial" w:hAnsi="Arial" w:cs="Arial"/>
        <w:sz w:val="20"/>
      </w:rPr>
      <w:t xml:space="preserve">Projekt Obce blíže lidem – Rozvoj terénní a komunitní sociální práce na malých obcích, č. </w:t>
    </w:r>
    <w:proofErr w:type="spellStart"/>
    <w:r w:rsidRPr="000B4503">
      <w:rPr>
        <w:rFonts w:ascii="Arial" w:hAnsi="Arial" w:cs="Arial"/>
        <w:sz w:val="20"/>
      </w:rPr>
      <w:t>proj</w:t>
    </w:r>
    <w:proofErr w:type="spellEnd"/>
    <w:r w:rsidRPr="000B4503">
      <w:rPr>
        <w:rFonts w:ascii="Arial" w:hAnsi="Arial" w:cs="Arial"/>
        <w:sz w:val="20"/>
      </w:rPr>
      <w:t>:</w:t>
    </w:r>
    <w:r w:rsidRPr="000B4503" w:rsidR="000B4503">
      <w:rPr>
        <w:rFonts w:ascii="Arial" w:hAnsi="Arial" w:cs="Arial"/>
        <w:sz w:val="20"/>
      </w:rPr>
      <w:t xml:space="preserve"> </w:t>
    </w:r>
    <w:r w:rsidRPr="000B4503" w:rsidR="000B4503">
      <w:rPr>
        <w:rStyle w:val="datalabel"/>
        <w:rFonts w:ascii="Arial" w:hAnsi="Arial" w:cs="Arial"/>
        <w:sz w:val="20"/>
      </w:rPr>
      <w:t>CZ.03.2.65/0.0/0.0/16_047/0011854</w:t>
    </w:r>
  </w:p>
  <w:p w:rsidR="00D74B9C" w:rsidRDefault="00D74B9C">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E67380" w:rsidP="00151B5D" w:rsidRDefault="00E67380">
      <w:pPr>
        <w:spacing w:after="0" w:line="240" w:lineRule="auto"/>
      </w:pPr>
      <w:r>
        <w:separator/>
      </w:r>
    </w:p>
  </w:footnote>
  <w:footnote w:type="continuationSeparator" w:id="0">
    <w:p w:rsidR="00E67380" w:rsidP="00151B5D" w:rsidRDefault="00E67380">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51B5D" w:rsidRDefault="00D74B9C">
    <w:pPr>
      <w:pStyle w:val="Zhlav"/>
    </w:pPr>
    <w:r>
      <w:rPr>
        <w:noProof/>
        <w:lang w:eastAsia="cs-CZ"/>
      </w:rPr>
      <w:drawing>
        <wp:inline distT="0" distB="0" distL="0" distR="0">
          <wp:extent cx="2628900" cy="545075"/>
          <wp:effectExtent l="0" t="0" r="0" b="7620"/>
          <wp:docPr id="2" name="Obrázek 2" descr="W:\PUBLICITA\VIZUÁLNÍ_IDENTITA\loga\OPZ\logo_OPZ_barevne.jpg"/>
          <wp:cNvGraphicFramePr>
            <a:graphicFrameLocks noChangeAspect="true"/>
          </wp:cNvGraphicFramePr>
          <a:graphic>
            <a:graphicData uri="http://schemas.openxmlformats.org/drawingml/2006/picture">
              <pic:pic>
                <pic:nvPicPr>
                  <pic:cNvPr id="0" name="Picture 1" descr="W:\PUBLICITA\VIZUÁLNÍ_IDENTITA\loga\OPZ\logo_OPZ_barevne.jpg"/>
                  <pic:cNvPicPr>
                    <a:picLocks noChangeAspect="true" noChangeArrowheads="true"/>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28900" cy="545075"/>
                  </a:xfrm>
                  <a:prstGeom prst="rect">
                    <a:avLst/>
                  </a:prstGeom>
                  <a:noFill/>
                  <a:ln>
                    <a:noFill/>
                  </a:ln>
                </pic:spPr>
              </pic:pic>
            </a:graphicData>
          </a:graphic>
        </wp:inline>
      </w:drawing>
    </w:r>
  </w:p>
  <w:p w:rsidR="00151B5D" w:rsidRDefault="00151B5D">
    <w:pPr>
      <w:pStyle w:val="Zhlav"/>
    </w:pPr>
  </w:p>
</w:hdr>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hdrShapeDefaults>
    <o:shapedefaults spidmax="614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FE9"/>
    <w:rsid w:val="000B4503"/>
    <w:rsid w:val="00151B5D"/>
    <w:rsid w:val="0043082B"/>
    <w:rsid w:val="004F6D51"/>
    <w:rsid w:val="005232BB"/>
    <w:rsid w:val="00BB5E77"/>
    <w:rsid w:val="00C06FE9"/>
    <w:rsid w:val="00D74B9C"/>
    <w:rsid w:val="00E673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6145" v:ext="edit"/>
    <o:shapelayout v:ext="edit">
      <o:idmap data="1" v:ext="edit"/>
    </o:shapelayout>
  </w:shapeDefaults>
  <w:decimalSymbol w:val=","/>
  <w:listSeparator w:val=";"/>
  <w15:docId w15:val="{927AD842-0B2D-4587-AE0C-C61D3931B8B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151B5D"/>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151B5D"/>
  </w:style>
  <w:style w:type="paragraph" w:styleId="Textbubliny">
    <w:name w:val="Balloon Text"/>
    <w:basedOn w:val="Normln"/>
    <w:link w:val="TextbublinyChar"/>
    <w:uiPriority w:val="99"/>
    <w:semiHidden/>
    <w:unhideWhenUsed/>
    <w:rsid w:val="00151B5D"/>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151B5D"/>
    <w:rPr>
      <w:rFonts w:ascii="Tahoma" w:hAnsi="Tahoma" w:cs="Tahoma"/>
      <w:sz w:val="16"/>
      <w:szCs w:val="16"/>
    </w:rPr>
  </w:style>
  <w:style w:type="character" w:styleId="datalabel" w:customStyle="true">
    <w:name w:val="datalabel"/>
    <w:basedOn w:val="Standardnpsmoodstavce"/>
    <w:rsid w:val="000B4503"/>
  </w:style>
  <w:style w:type="paragraph" w:styleId="Zkladntext">
    <w:name w:val="Body Text"/>
    <w:basedOn w:val="Normln"/>
    <w:link w:val="ZkladntextChar"/>
    <w:rsid w:val="005232BB"/>
    <w:pPr>
      <w:spacing w:after="0" w:line="240" w:lineRule="auto"/>
      <w:jc w:val="both"/>
    </w:pPr>
    <w:rPr>
      <w:rFonts w:ascii="Arial" w:hAnsi="Arial" w:eastAsia="Times New Roman" w:cs="Arial"/>
      <w:sz w:val="24"/>
      <w:szCs w:val="24"/>
      <w:lang w:eastAsia="cs-CZ"/>
    </w:rPr>
  </w:style>
  <w:style w:type="character" w:styleId="ZkladntextChar" w:customStyle="true">
    <w:name w:val="Základní text Char"/>
    <w:basedOn w:val="Standardnpsmoodstavce"/>
    <w:link w:val="Zkladntext"/>
    <w:rsid w:val="005232BB"/>
    <w:rPr>
      <w:rFonts w:ascii="Arial" w:hAnsi="Arial" w:eastAsia="Times New Roman" w:cs="Arial"/>
      <w:sz w:val="24"/>
      <w:szCs w:val="24"/>
      <w:lang w:eastAsia="cs-CZ"/>
    </w:rPr>
  </w:style>
  <w:style w:type="paragraph" w:styleId="AnnexTOC" w:customStyle="true">
    <w:name w:val="AnnexTOC"/>
    <w:basedOn w:val="Obsah1"/>
    <w:rsid w:val="005232BB"/>
    <w:pPr>
      <w:spacing w:after="0" w:line="240" w:lineRule="auto"/>
      <w:ind w:left="180"/>
    </w:pPr>
    <w:rPr>
      <w:rFonts w:ascii="Times New Roman" w:hAnsi="Times New Roman" w:eastAsia="Times New Roman" w:cs="Times New Roman"/>
      <w:b/>
      <w:bCs/>
      <w:color w:val="800080"/>
      <w:lang w:eastAsia="cs-CZ"/>
    </w:rPr>
  </w:style>
  <w:style w:type="paragraph" w:styleId="Obsah1">
    <w:name w:val="toc 1"/>
    <w:basedOn w:val="Normln"/>
    <w:next w:val="Normln"/>
    <w:autoRedefine/>
    <w:uiPriority w:val="39"/>
    <w:semiHidden/>
    <w:unhideWhenUsed/>
    <w:rsid w:val="005232BB"/>
    <w:pPr>
      <w:spacing w:after="100"/>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webSettings.xml" Type="http://schemas.openxmlformats.org/officeDocument/2006/relationships/webSettings" Id="rId3"/>
    <Relationship Target="footer1.xml" Type="http://schemas.openxmlformats.org/officeDocument/2006/relationships/footer" Id="rId7"/>
    <Relationship Target="settings.xml" Type="http://schemas.openxmlformats.org/officeDocument/2006/relationships/settings" Id="rId2"/>
    <Relationship Target="styles.xml" Type="http://schemas.openxmlformats.org/officeDocument/2006/relationships/styles" Id="rId1"/>
    <Relationship Target="header1.xml" Type="http://schemas.openxmlformats.org/officeDocument/2006/relationships/header" Id="rId6"/>
    <Relationship Target="endnotes.xml" Type="http://schemas.openxmlformats.org/officeDocument/2006/relationships/endnotes" Id="rId5"/>
    <Relationship Target="footnotes.xml" Type="http://schemas.openxmlformats.org/officeDocument/2006/relationships/footnotes" Id="rId4"/>
    <Relationship Target="theme/theme1.xml" Type="http://schemas.openxmlformats.org/officeDocument/2006/relationships/theme"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properties:Pages>
  <properties:Words>403</properties:Words>
  <properties:Characters>2380</properties:Characters>
  <properties:Lines>19</properties:Lines>
  <properties:Paragraphs>5</properties:Paragraphs>
  <properties:TotalTime>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2778</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2019-05-09T12:43:00Z</dcterms:created>
  <dc:creator/>
  <dc:description/>
  <cp:keywords/>
  <cp:lastModifiedBy/>
  <dcterms:modified xmlns:xsi="http://www.w3.org/2001/XMLSchema-instance" xsi:type="dcterms:W3CDTF">2019-05-14T06:15:00Z</dcterms:modified>
  <cp:revision>3</cp:revision>
  <dc:subject/>
  <dc:title/>
</cp:coreProperties>
</file>