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2D5F91" w:rsidR="005B0387" w:rsidP="005B0387" w:rsidRDefault="005B0387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NÁJMU AUTOMOBILŮ č: 201901</w:t>
      </w:r>
    </w:p>
    <w:p w:rsidRPr="005B0387" w:rsidR="005B0387" w:rsidP="005B0387" w:rsidRDefault="005B0387">
      <w:pPr>
        <w:spacing w:before="120" w:after="120"/>
        <w:jc w:val="center"/>
        <w:rPr>
          <w:sz w:val="20"/>
          <w:szCs w:val="20"/>
        </w:rPr>
      </w:pPr>
      <w:r w:rsidRPr="005B0387">
        <w:rPr>
          <w:sz w:val="20"/>
          <w:szCs w:val="20"/>
        </w:rPr>
        <w:t xml:space="preserve">uzavřená níže uvedeného dne, měsíce a roku dle </w:t>
      </w:r>
      <w:r w:rsidRPr="005B0387">
        <w:rPr>
          <w:rFonts w:cstheme="minorHAnsi"/>
          <w:sz w:val="20"/>
          <w:szCs w:val="20"/>
        </w:rPr>
        <w:t xml:space="preserve">ustanovení </w:t>
      </w:r>
      <w:r w:rsidRPr="005B0387">
        <w:rPr>
          <w:rFonts w:cstheme="minorHAnsi"/>
          <w:color w:val="333333"/>
          <w:sz w:val="20"/>
          <w:szCs w:val="20"/>
        </w:rPr>
        <w:t>§ 2321 a násl. zákona č. 89/2012 Sb.</w:t>
      </w:r>
      <w:r w:rsidRPr="005B0387">
        <w:rPr>
          <w:rFonts w:cstheme="minorHAnsi"/>
          <w:sz w:val="20"/>
          <w:szCs w:val="20"/>
        </w:rPr>
        <w:t xml:space="preserve"> mezi</w:t>
      </w:r>
      <w:r w:rsidRPr="005B0387">
        <w:rPr>
          <w:sz w:val="20"/>
          <w:szCs w:val="20"/>
        </w:rPr>
        <w:t xml:space="preserve"> smluvními stranami:</w:t>
      </w:r>
    </w:p>
    <w:p w:rsidRPr="00DC23F1" w:rsidR="005B0387" w:rsidP="005B0387" w:rsidRDefault="005B0387">
      <w:pPr>
        <w:spacing w:before="120" w:after="120"/>
        <w:jc w:val="both"/>
      </w:pPr>
    </w:p>
    <w:p w:rsidRPr="00064E2F" w:rsidR="005B0387" w:rsidP="005B0387" w:rsidRDefault="005B0387">
      <w:pPr>
        <w:spacing w:before="120" w:after="120"/>
        <w:jc w:val="center"/>
        <w:rPr>
          <w:b/>
        </w:rPr>
      </w:pPr>
      <w:r w:rsidRPr="00064E2F">
        <w:rPr>
          <w:b/>
        </w:rPr>
        <w:t>Článek I.</w:t>
      </w:r>
    </w:p>
    <w:p w:rsidRPr="00064E2F" w:rsidR="005B0387" w:rsidP="005B0387" w:rsidRDefault="005B0387">
      <w:pPr>
        <w:spacing w:before="120" w:after="120"/>
        <w:jc w:val="center"/>
        <w:rPr>
          <w:b/>
        </w:rPr>
      </w:pPr>
      <w:r w:rsidRPr="00064E2F">
        <w:rPr>
          <w:b/>
        </w:rPr>
        <w:t>Smluvní strany</w:t>
      </w:r>
    </w:p>
    <w:p w:rsidRPr="00064E2F" w:rsidR="005B0387" w:rsidP="005B0387" w:rsidRDefault="005B0387">
      <w:pPr>
        <w:spacing w:after="0"/>
        <w:jc w:val="both"/>
        <w:rPr>
          <w:b/>
        </w:rPr>
      </w:pPr>
      <w:r>
        <w:rPr>
          <w:b/>
        </w:rPr>
        <w:t>RUAH o.p.s.</w:t>
      </w:r>
    </w:p>
    <w:p w:rsidRPr="00DC23F1" w:rsidR="005B0387" w:rsidP="005B0387" w:rsidRDefault="005B0387">
      <w:pPr>
        <w:spacing w:after="0"/>
        <w:jc w:val="both"/>
      </w:pPr>
      <w:r w:rsidRPr="00DC23F1">
        <w:t xml:space="preserve">se sídlem </w:t>
      </w:r>
      <w:r>
        <w:t>Tyršova 2061, 256 01 Benešov</w:t>
      </w:r>
    </w:p>
    <w:p w:rsidRPr="00DC23F1" w:rsidR="005B0387" w:rsidP="005B0387" w:rsidRDefault="005B0387">
      <w:pPr>
        <w:spacing w:after="0"/>
        <w:jc w:val="both"/>
      </w:pPr>
      <w:r w:rsidRPr="00DC23F1">
        <w:t xml:space="preserve">IČ: </w:t>
      </w:r>
      <w:r>
        <w:t>243 12 355</w:t>
      </w:r>
    </w:p>
    <w:p w:rsidR="005B0387" w:rsidP="005B0387" w:rsidRDefault="005B0387">
      <w:pPr>
        <w:spacing w:after="0"/>
        <w:jc w:val="both"/>
      </w:pPr>
      <w:r w:rsidRPr="00DC23F1">
        <w:t>DIČ: CZ</w:t>
      </w:r>
      <w:r>
        <w:t>24312355</w:t>
      </w:r>
    </w:p>
    <w:p w:rsidRPr="00DC23F1" w:rsidR="005B0387" w:rsidP="005B0387" w:rsidRDefault="005B0387">
      <w:pPr>
        <w:spacing w:after="0"/>
        <w:jc w:val="both"/>
      </w:pPr>
      <w:r>
        <w:t>Zapsané u Městského soudu v Praze, oddíl O, vložka 936</w:t>
      </w:r>
    </w:p>
    <w:p w:rsidRPr="00DC23F1" w:rsidR="005B0387" w:rsidP="005B0387" w:rsidRDefault="005B0387">
      <w:pPr>
        <w:spacing w:after="0"/>
        <w:jc w:val="both"/>
      </w:pPr>
      <w:r>
        <w:t>Zastoupena</w:t>
      </w:r>
      <w:r w:rsidRPr="00DC23F1">
        <w:t xml:space="preserve"> </w:t>
      </w:r>
      <w:r>
        <w:t>Mgr. Martou Vackovou, ředitelkou společnosti</w:t>
      </w:r>
    </w:p>
    <w:p w:rsidRPr="00DC23F1" w:rsidR="005B0387" w:rsidP="005B0387" w:rsidRDefault="005B0387">
      <w:pPr>
        <w:spacing w:after="0"/>
        <w:jc w:val="both"/>
      </w:pPr>
      <w:r w:rsidRPr="00DC23F1">
        <w:t xml:space="preserve">Bankovní spojení: </w:t>
      </w:r>
      <w:r>
        <w:t>Česká spořitelna, a.s.</w:t>
      </w:r>
    </w:p>
    <w:p w:rsidRPr="00DC23F1" w:rsidR="005B0387" w:rsidP="005B0387" w:rsidRDefault="005B0387">
      <w:pPr>
        <w:spacing w:after="0"/>
        <w:jc w:val="both"/>
      </w:pPr>
      <w:r w:rsidRPr="00DC23F1">
        <w:t xml:space="preserve">Číslo účtu: </w:t>
      </w:r>
      <w:r>
        <w:t>3472527349/ 0800</w:t>
      </w:r>
    </w:p>
    <w:p w:rsidR="005B0387" w:rsidP="005B0387" w:rsidRDefault="005B0387">
      <w:pPr>
        <w:spacing w:after="0"/>
        <w:jc w:val="both"/>
      </w:pPr>
      <w:r w:rsidRPr="00DC23F1">
        <w:t xml:space="preserve">Tel.: </w:t>
      </w:r>
      <w:r>
        <w:t>773 628 142</w:t>
      </w:r>
    </w:p>
    <w:p w:rsidRPr="00DC23F1" w:rsidR="005B0387" w:rsidP="005B0387" w:rsidRDefault="005B0387">
      <w:pPr>
        <w:spacing w:after="0"/>
        <w:jc w:val="both"/>
      </w:pPr>
      <w:r w:rsidRPr="00DC23F1">
        <w:t>(dále jen „</w:t>
      </w:r>
      <w:r>
        <w:rPr>
          <w:b/>
        </w:rPr>
        <w:t>nájemce</w:t>
      </w:r>
      <w:r w:rsidRPr="00DC23F1">
        <w:t>“ na straně jedné)</w:t>
      </w:r>
    </w:p>
    <w:p w:rsidRPr="00DC23F1" w:rsidR="005B0387" w:rsidP="005B0387" w:rsidRDefault="005B0387">
      <w:pPr>
        <w:spacing w:after="0"/>
        <w:jc w:val="both"/>
      </w:pPr>
    </w:p>
    <w:p w:rsidRPr="00DC23F1" w:rsidR="005B0387" w:rsidP="005B0387" w:rsidRDefault="005B0387">
      <w:pPr>
        <w:spacing w:after="0"/>
        <w:jc w:val="both"/>
      </w:pPr>
      <w:r w:rsidRPr="00DC23F1">
        <w:t>a</w:t>
      </w:r>
    </w:p>
    <w:p w:rsidRPr="00DC23F1" w:rsidR="005B0387" w:rsidP="005B0387" w:rsidRDefault="005B0387">
      <w:pPr>
        <w:spacing w:after="0"/>
        <w:jc w:val="both"/>
      </w:pPr>
    </w:p>
    <w:p w:rsidR="005B0387" w:rsidP="005B0387" w:rsidRDefault="005B0387">
      <w:pPr>
        <w:spacing w:after="0"/>
        <w:jc w:val="both"/>
        <w:rPr>
          <w:b/>
        </w:rPr>
      </w:pPr>
      <w:r>
        <w:rPr>
          <w:b/>
        </w:rPr>
        <w:t xml:space="preserve">jméno dodavatele: </w:t>
      </w:r>
    </w:p>
    <w:p w:rsidR="005B0387" w:rsidP="005B0387" w:rsidRDefault="005B0387">
      <w:pPr>
        <w:spacing w:after="0"/>
      </w:pPr>
      <w:r>
        <w:t xml:space="preserve">IČ: </w:t>
      </w:r>
    </w:p>
    <w:p w:rsidR="005B0387" w:rsidP="005B0387" w:rsidRDefault="005B0387">
      <w:pPr>
        <w:spacing w:after="0"/>
      </w:pPr>
      <w:r>
        <w:t xml:space="preserve">DIČ: </w:t>
      </w:r>
    </w:p>
    <w:p w:rsidR="005B0387" w:rsidP="005B0387" w:rsidRDefault="005B0387">
      <w:pPr>
        <w:spacing w:after="0"/>
      </w:pPr>
      <w:r>
        <w:t>Sídlo:</w:t>
      </w:r>
    </w:p>
    <w:p w:rsidR="005B0387" w:rsidP="005B0387" w:rsidRDefault="005B0387">
      <w:pPr>
        <w:spacing w:after="0"/>
      </w:pPr>
      <w:r>
        <w:t xml:space="preserve">Zastoupena </w:t>
      </w:r>
    </w:p>
    <w:p w:rsidR="005B0387" w:rsidP="005B0387" w:rsidRDefault="005B0387">
      <w:pPr>
        <w:spacing w:after="0"/>
      </w:pPr>
      <w:r>
        <w:t xml:space="preserve">Bankovní spojení: </w:t>
      </w:r>
    </w:p>
    <w:p w:rsidR="005B0387" w:rsidP="005B0387" w:rsidRDefault="005B0387">
      <w:pPr>
        <w:spacing w:after="0"/>
      </w:pPr>
      <w:r>
        <w:t xml:space="preserve">Číslo účtu: </w:t>
      </w:r>
    </w:p>
    <w:p w:rsidRPr="00DC23F1" w:rsidR="005B0387" w:rsidP="005B0387" w:rsidRDefault="005B0387">
      <w:pPr>
        <w:spacing w:after="0"/>
        <w:jc w:val="both"/>
      </w:pPr>
      <w:r w:rsidRPr="00DC23F1">
        <w:t>(dále jen „</w:t>
      </w:r>
      <w:r>
        <w:rPr>
          <w:b/>
        </w:rPr>
        <w:t>pronajímatel</w:t>
      </w:r>
      <w:r w:rsidRPr="00DC23F1">
        <w:t>“ na straně druhé)</w:t>
      </w:r>
    </w:p>
    <w:p w:rsidRPr="00DC23F1" w:rsidR="005B0387" w:rsidP="005B0387" w:rsidRDefault="005B0387">
      <w:pPr>
        <w:spacing w:after="0"/>
        <w:jc w:val="both"/>
      </w:pPr>
    </w:p>
    <w:p w:rsidRPr="00DC23F1" w:rsidR="005B0387" w:rsidP="005B0387" w:rsidRDefault="005B0387">
      <w:pPr>
        <w:spacing w:after="0"/>
        <w:jc w:val="both"/>
      </w:pPr>
      <w:r w:rsidRPr="00DC23F1">
        <w:t>Společně také jako „</w:t>
      </w:r>
      <w:r w:rsidRPr="00064E2F">
        <w:rPr>
          <w:b/>
        </w:rPr>
        <w:t>smluvní stran</w:t>
      </w:r>
      <w:r w:rsidRPr="00F10EE1">
        <w:rPr>
          <w:b/>
        </w:rPr>
        <w:t>y</w:t>
      </w:r>
      <w:r w:rsidRPr="00DC23F1">
        <w:t>“.</w:t>
      </w:r>
    </w:p>
    <w:p w:rsidR="005B0387" w:rsidP="005B0387" w:rsidRDefault="005B0387">
      <w:pPr>
        <w:spacing w:before="120" w:after="120"/>
        <w:ind w:left="360"/>
        <w:jc w:val="center"/>
        <w:rPr>
          <w:b/>
        </w:rPr>
      </w:pPr>
      <w:r>
        <w:rPr>
          <w:b/>
        </w:rPr>
        <w:t>Článek I.</w:t>
      </w:r>
    </w:p>
    <w:p w:rsidR="005B0387" w:rsidP="005B0387" w:rsidRDefault="005B0387">
      <w:pPr>
        <w:spacing w:before="120" w:after="120"/>
        <w:ind w:left="360"/>
        <w:jc w:val="center"/>
        <w:rPr>
          <w:b/>
        </w:rPr>
      </w:pPr>
      <w:r w:rsidRPr="001D5E33">
        <w:rPr>
          <w:b/>
        </w:rPr>
        <w:t>Předmět smlouvy</w:t>
      </w:r>
    </w:p>
    <w:p w:rsidRPr="001D5E33" w:rsidR="005B0387" w:rsidP="005B0387" w:rsidRDefault="005B0387">
      <w:pPr>
        <w:spacing w:before="120" w:after="120"/>
        <w:ind w:left="360"/>
        <w:jc w:val="center"/>
        <w:rPr>
          <w:b/>
        </w:rPr>
      </w:pPr>
    </w:p>
    <w:p w:rsidRPr="009711C7" w:rsidR="005B0387" w:rsidP="009711C7" w:rsidRDefault="005B0387">
      <w:pPr>
        <w:pStyle w:val="Zpat"/>
        <w:rPr>
          <w:rFonts w:ascii="Arial" w:hAnsi="Arial" w:cs="Arial"/>
          <w:sz w:val="20"/>
        </w:rPr>
      </w:pPr>
      <w:r>
        <w:t xml:space="preserve">Předmětem této smlouvy je nájem níže popsaného automobilu v rámci projektu </w:t>
      </w:r>
      <w:r w:rsidR="009711C7">
        <w:t>„</w:t>
      </w:r>
      <w:r w:rsidR="009711C7">
        <w:rPr>
          <w:rFonts w:ascii="Arial" w:hAnsi="Arial" w:cs="Arial"/>
          <w:sz w:val="20"/>
        </w:rPr>
        <w:t xml:space="preserve">Obce blíže lidem – Rozvoj terénní a komunitní sociální práce ve venkovských lokalitách, č. </w:t>
      </w:r>
      <w:proofErr w:type="spellStart"/>
      <w:r w:rsidR="009711C7">
        <w:rPr>
          <w:rFonts w:ascii="Arial" w:hAnsi="Arial" w:cs="Arial"/>
          <w:sz w:val="20"/>
        </w:rPr>
        <w:t>proj</w:t>
      </w:r>
      <w:proofErr w:type="spellEnd"/>
      <w:r w:rsidR="009711C7">
        <w:rPr>
          <w:rFonts w:ascii="Arial" w:hAnsi="Arial" w:cs="Arial"/>
          <w:sz w:val="20"/>
        </w:rPr>
        <w:t xml:space="preserve">: </w:t>
      </w:r>
      <w:r w:rsidR="009711C7">
        <w:rPr>
          <w:rStyle w:val="datalabel"/>
          <w:rFonts w:ascii="Arial" w:hAnsi="Arial" w:cs="Arial"/>
          <w:sz w:val="20"/>
        </w:rPr>
        <w:t>CZ.</w:t>
      </w:r>
      <w:proofErr w:type="gramStart"/>
      <w:r w:rsidR="009711C7">
        <w:rPr>
          <w:rStyle w:val="datalabel"/>
          <w:rFonts w:ascii="Arial" w:hAnsi="Arial" w:cs="Arial"/>
          <w:sz w:val="20"/>
        </w:rPr>
        <w:t>03.2.65/0.0/0.0/16_047/0011854“,</w:t>
      </w:r>
      <w:r>
        <w:t>financovaného</w:t>
      </w:r>
      <w:proofErr w:type="gramEnd"/>
      <w:r>
        <w:t xml:space="preserve"> z prostředků EU a MPSV ČR.</w:t>
      </w:r>
    </w:p>
    <w:p w:rsidRPr="00080E00" w:rsidR="005B0387" w:rsidP="005B0387" w:rsidRDefault="005B0387">
      <w:pPr>
        <w:numPr>
          <w:ilvl w:val="0"/>
          <w:numId w:val="5"/>
        </w:numPr>
        <w:spacing w:before="120" w:after="120" w:line="240" w:lineRule="auto"/>
        <w:rPr>
          <w:b/>
        </w:rPr>
      </w:pPr>
      <w:r>
        <w:t xml:space="preserve">Specifikace předmětu: </w:t>
      </w:r>
      <w:r w:rsidRPr="009711C7">
        <w:rPr>
          <w:color w:val="FF0000"/>
        </w:rPr>
        <w:t>doplní uchazeč</w:t>
      </w:r>
    </w:p>
    <w:p w:rsidRPr="00DC6319" w:rsidR="005B0387" w:rsidP="005B0387" w:rsidRDefault="005B0387">
      <w:pPr>
        <w:numPr>
          <w:ilvl w:val="0"/>
          <w:numId w:val="5"/>
        </w:numPr>
        <w:spacing w:before="120" w:after="120" w:line="240" w:lineRule="auto"/>
        <w:rPr>
          <w:b/>
        </w:rPr>
      </w:pPr>
      <w:r>
        <w:t xml:space="preserve">Na základě této smlouvy se pronajímatel zavazuje poskytnout nájemci </w:t>
      </w:r>
      <w:r w:rsidR="0034638E">
        <w:t>automobily</w:t>
      </w:r>
      <w:r>
        <w:t xml:space="preserve"> v rámci podmínek výzvy k podání nabídek a za podmínek dohodnutých v dalších ustanoveních smlouvy. Nájemce se zavazuje automobily bez vad předané převzít a platit za ně </w:t>
      </w:r>
      <w:r>
        <w:lastRenderedPageBreak/>
        <w:t>pronajímateli měsíčně částku, specifikovanou v článku IV. Této smlouvy, na základě dohodnutých platebních podmínek.</w:t>
      </w:r>
    </w:p>
    <w:p w:rsidRPr="00123A5A" w:rsidR="005B0387" w:rsidP="005B0387" w:rsidRDefault="005B0387">
      <w:pPr>
        <w:numPr>
          <w:ilvl w:val="0"/>
          <w:numId w:val="5"/>
        </w:numPr>
        <w:spacing w:before="120" w:after="120" w:line="240" w:lineRule="auto"/>
        <w:rPr>
          <w:b/>
          <w:i/>
        </w:rPr>
      </w:pPr>
      <w:r>
        <w:t>Předmětem této smlouvy je nájem 4 automobilů, v souladu s potřebami a požadavky pronajímatele.  Podrobná specifikace předmětu smlouvy je obsažena v Příloze č. 1 smlouvy – Položkovém rozpočtu a technické specifikaci a odpovídá požadavkům zveřejněným ve specifikaci v rámci Výzvy k podání nabídek</w:t>
      </w:r>
      <w:r w:rsidRPr="0034638E">
        <w:rPr>
          <w:b/>
          <w:i/>
          <w:color w:val="FF0000"/>
        </w:rPr>
        <w:t>. Přílohu č. 1 doplní uchazeč.</w:t>
      </w:r>
    </w:p>
    <w:p w:rsidRPr="00DC6319" w:rsidR="005B0387" w:rsidP="005B0387" w:rsidRDefault="005B0387">
      <w:pPr>
        <w:numPr>
          <w:ilvl w:val="0"/>
          <w:numId w:val="5"/>
        </w:numPr>
        <w:spacing w:before="120" w:after="120" w:line="240" w:lineRule="auto"/>
        <w:rPr>
          <w:b/>
        </w:rPr>
      </w:pPr>
      <w:r>
        <w:t xml:space="preserve">Pronajímatel se zavazuje dodat nájemci automobily ve smluveném množství, jakosti, provedení, termínech a ceně. Dále je pronajímatel povinen předat nájemci doklady, které jsou potřebné k provozu vozidla. </w:t>
      </w:r>
    </w:p>
    <w:p w:rsidRPr="00DC6319" w:rsidR="005B0387" w:rsidP="005B0387" w:rsidRDefault="005B0387">
      <w:pPr>
        <w:numPr>
          <w:ilvl w:val="0"/>
          <w:numId w:val="5"/>
        </w:numPr>
        <w:spacing w:before="120" w:after="120" w:line="240" w:lineRule="auto"/>
        <w:rPr>
          <w:b/>
        </w:rPr>
      </w:pPr>
      <w:r>
        <w:t>Pronajímatel i nájemce se zavazují dodržovat při plnění předmětu smlouvy opatření bezpečnosti, požární ochrany a ochrany zdraví při práci.</w:t>
      </w:r>
    </w:p>
    <w:p w:rsidR="005B0387" w:rsidP="005B0387" w:rsidRDefault="005B0387">
      <w:pPr>
        <w:jc w:val="center"/>
        <w:rPr>
          <w:b/>
        </w:rPr>
      </w:pPr>
    </w:p>
    <w:p w:rsidRPr="00BF4C43" w:rsidR="005B0387" w:rsidP="005B0387" w:rsidRDefault="005B0387">
      <w:pPr>
        <w:jc w:val="center"/>
        <w:rPr>
          <w:b/>
        </w:rPr>
      </w:pPr>
      <w:r>
        <w:rPr>
          <w:b/>
        </w:rPr>
        <w:t>Článek III</w:t>
      </w:r>
      <w:r w:rsidRPr="00BF4C43">
        <w:rPr>
          <w:b/>
        </w:rPr>
        <w:t>.</w:t>
      </w:r>
    </w:p>
    <w:p w:rsidR="005B0387" w:rsidP="005B0387" w:rsidRDefault="005B0387">
      <w:pPr>
        <w:jc w:val="center"/>
        <w:rPr>
          <w:b/>
        </w:rPr>
      </w:pPr>
      <w:r w:rsidRPr="00BF4C43">
        <w:rPr>
          <w:b/>
        </w:rPr>
        <w:t>Místo a termíny plnění</w:t>
      </w:r>
    </w:p>
    <w:p w:rsidRPr="00BF4C43" w:rsidR="005B0387" w:rsidP="005B0387" w:rsidRDefault="005B0387">
      <w:pPr>
        <w:jc w:val="center"/>
        <w:rPr>
          <w:b/>
        </w:rPr>
      </w:pPr>
    </w:p>
    <w:p w:rsidR="005B0387" w:rsidP="005B0387" w:rsidRDefault="005B0387">
      <w:pPr>
        <w:numPr>
          <w:ilvl w:val="0"/>
          <w:numId w:val="6"/>
        </w:numPr>
        <w:spacing w:before="120" w:after="120" w:line="240" w:lineRule="auto"/>
        <w:ind w:left="709" w:hanging="283"/>
      </w:pPr>
      <w:r>
        <w:t xml:space="preserve">Místem realizace je sídlo společnosti RUAH o.p.s., Tyršova 2061, 256 01 Benešov. </w:t>
      </w:r>
    </w:p>
    <w:p w:rsidR="005B0387" w:rsidP="005B0387" w:rsidRDefault="00E220EB">
      <w:pPr>
        <w:numPr>
          <w:ilvl w:val="0"/>
          <w:numId w:val="6"/>
        </w:numPr>
        <w:spacing w:before="120" w:after="120" w:line="240" w:lineRule="auto"/>
        <w:ind w:left="709" w:hanging="283"/>
      </w:pPr>
      <w:r>
        <w:t xml:space="preserve">Pronajímatel je vlastníkem předmětu nájmu a nese nebezpečí škody na zboží. Nájemce se podílí na způsobených škodách v průběhu </w:t>
      </w:r>
      <w:r w:rsidRPr="00E220EB">
        <w:t xml:space="preserve">užívání </w:t>
      </w:r>
      <w:r w:rsidRPr="00E220EB">
        <w:rPr>
          <w:rFonts w:cstheme="minorHAnsi"/>
        </w:rPr>
        <w:t>pouze dle podmínek pojistné smlouvy</w:t>
      </w:r>
      <w:r>
        <w:rPr>
          <w:rFonts w:cstheme="minorHAnsi"/>
        </w:rPr>
        <w:t>, max.</w:t>
      </w:r>
      <w:r w:rsidRPr="00E220EB">
        <w:rPr>
          <w:rFonts w:cstheme="minorHAnsi"/>
        </w:rPr>
        <w:t xml:space="preserve"> ve výši 5%</w:t>
      </w:r>
      <w:r>
        <w:rPr>
          <w:rFonts w:ascii="Arial" w:hAnsi="Arial" w:cs="Arial"/>
        </w:rPr>
        <w:t xml:space="preserve"> </w:t>
      </w:r>
      <w:r w:rsidRPr="00E220EB">
        <w:rPr>
          <w:rFonts w:cstheme="minorHAnsi"/>
        </w:rPr>
        <w:t>ze způsobené škody</w:t>
      </w:r>
      <w:r>
        <w:rPr>
          <w:rFonts w:cstheme="minorHAnsi"/>
        </w:rPr>
        <w:t>.</w:t>
      </w:r>
    </w:p>
    <w:p w:rsidR="005B0387" w:rsidP="005B0387" w:rsidRDefault="00E220EB">
      <w:pPr>
        <w:numPr>
          <w:ilvl w:val="0"/>
          <w:numId w:val="6"/>
        </w:numPr>
        <w:spacing w:before="120" w:after="120" w:line="240" w:lineRule="auto"/>
        <w:ind w:left="709" w:hanging="283"/>
      </w:pPr>
      <w:r>
        <w:t>Pronajímatel</w:t>
      </w:r>
      <w:r w:rsidR="005B0387">
        <w:t xml:space="preserve"> se zavazuje dodat zboží nejpozději do </w:t>
      </w:r>
      <w:r w:rsidR="00AF15E5">
        <w:t>1. 10.</w:t>
      </w:r>
      <w:r>
        <w:t xml:space="preserve"> 2019</w:t>
      </w:r>
      <w:r w:rsidR="005B0387">
        <w:t xml:space="preserve">. Datum a čas předání zboží oznámí </w:t>
      </w:r>
      <w:r>
        <w:t>nájemci</w:t>
      </w:r>
      <w:r w:rsidR="005B0387">
        <w:t xml:space="preserve"> nejpozději 7 dní před tímto dnem. </w:t>
      </w:r>
    </w:p>
    <w:p w:rsidR="00E220EB" w:rsidP="005B0387" w:rsidRDefault="00E220EB">
      <w:pPr>
        <w:numPr>
          <w:ilvl w:val="0"/>
          <w:numId w:val="6"/>
        </w:numPr>
        <w:spacing w:before="120" w:after="120" w:line="240" w:lineRule="auto"/>
        <w:ind w:left="709" w:hanging="283"/>
      </w:pPr>
      <w:r>
        <w:t>Datum ukončení smlouvy je 30. 6. 2022.</w:t>
      </w:r>
    </w:p>
    <w:p w:rsidR="005B0387" w:rsidP="005B0387" w:rsidRDefault="005B0387">
      <w:pPr>
        <w:numPr>
          <w:ilvl w:val="0"/>
          <w:numId w:val="6"/>
        </w:numPr>
        <w:spacing w:before="120" w:after="120" w:line="240" w:lineRule="auto"/>
        <w:ind w:left="709" w:hanging="283"/>
      </w:pPr>
      <w:r>
        <w:t>Zboží bude protokolárně předáno v místě sídla společnosti.</w:t>
      </w:r>
    </w:p>
    <w:p w:rsidR="005B0387" w:rsidP="005B0387" w:rsidRDefault="00E220EB">
      <w:pPr>
        <w:numPr>
          <w:ilvl w:val="0"/>
          <w:numId w:val="6"/>
        </w:numPr>
        <w:spacing w:before="120" w:after="120" w:line="240" w:lineRule="auto"/>
        <w:ind w:left="709" w:hanging="283"/>
      </w:pPr>
      <w:r>
        <w:t>Nájemce</w:t>
      </w:r>
      <w:r w:rsidR="005B0387">
        <w:t xml:space="preserve"> je o</w:t>
      </w:r>
      <w:r>
        <w:t>právněn odmítnout převzetí automobilu</w:t>
      </w:r>
      <w:r w:rsidR="005B0387">
        <w:t>, pokud na ně</w:t>
      </w:r>
      <w:r w:rsidR="00AF15E5">
        <w:t xml:space="preserve">m budou v okamžiku předání vady, které neumožňují použití vozidla v provozu. </w:t>
      </w:r>
      <w:r w:rsidR="005B0387">
        <w:t xml:space="preserve"> </w:t>
      </w:r>
    </w:p>
    <w:p w:rsidR="005B0387" w:rsidP="005B0387" w:rsidRDefault="005B0387">
      <w:pPr>
        <w:jc w:val="center"/>
        <w:rPr>
          <w:b/>
        </w:rPr>
      </w:pPr>
    </w:p>
    <w:p w:rsidRPr="008560D4" w:rsidR="005B0387" w:rsidP="005B0387" w:rsidRDefault="005B0387">
      <w:pPr>
        <w:jc w:val="center"/>
        <w:rPr>
          <w:b/>
        </w:rPr>
      </w:pPr>
      <w:r w:rsidRPr="008560D4">
        <w:rPr>
          <w:b/>
        </w:rPr>
        <w:t xml:space="preserve">Článek </w:t>
      </w:r>
      <w:r>
        <w:rPr>
          <w:b/>
        </w:rPr>
        <w:t>I</w:t>
      </w:r>
      <w:r w:rsidRPr="008560D4">
        <w:rPr>
          <w:b/>
        </w:rPr>
        <w:t>V.</w:t>
      </w:r>
    </w:p>
    <w:p w:rsidR="005B0387" w:rsidP="005B0387" w:rsidRDefault="005B0387">
      <w:pPr>
        <w:jc w:val="center"/>
        <w:rPr>
          <w:b/>
        </w:rPr>
      </w:pPr>
      <w:r w:rsidRPr="008560D4">
        <w:rPr>
          <w:b/>
        </w:rPr>
        <w:t xml:space="preserve">Cena za </w:t>
      </w:r>
      <w:r w:rsidR="00E220EB">
        <w:rPr>
          <w:b/>
        </w:rPr>
        <w:t>služby</w:t>
      </w:r>
      <w:r w:rsidRPr="008560D4">
        <w:rPr>
          <w:b/>
        </w:rPr>
        <w:t xml:space="preserve"> a platební podmínky</w:t>
      </w:r>
    </w:p>
    <w:p w:rsidR="005B0387" w:rsidP="005B0387" w:rsidRDefault="005B038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</w:pPr>
      <w:r>
        <w:t>Celková cena za zboží</w:t>
      </w:r>
      <w:r w:rsidRPr="00DC23F1">
        <w:t xml:space="preserve"> dodávaného podle této smlouvy </w:t>
      </w:r>
      <w:r>
        <w:t>je:</w:t>
      </w:r>
    </w:p>
    <w:p w:rsidR="005B0387" w:rsidP="005B0387" w:rsidRDefault="005B0387">
      <w:pPr>
        <w:ind w:left="360"/>
        <w:jc w:val="both"/>
      </w:pPr>
    </w:p>
    <w:tbl>
      <w:tblPr>
        <w:tblW w:w="0" w:type="auto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2209"/>
        <w:gridCol w:w="2078"/>
        <w:gridCol w:w="2174"/>
        <w:gridCol w:w="2241"/>
      </w:tblGrid>
      <w:tr w:rsidR="00E220EB" w:rsidTr="00E220EB">
        <w:tc>
          <w:tcPr>
            <w:tcW w:w="2258" w:type="dxa"/>
          </w:tcPr>
          <w:p w:rsidR="00E220EB" w:rsidP="00E220EB" w:rsidRDefault="00E220EB">
            <w:r>
              <w:t>Cena za nájem 1 automobilu bez DPH/ měsíc</w:t>
            </w:r>
          </w:p>
        </w:tc>
        <w:tc>
          <w:tcPr>
            <w:tcW w:w="2121" w:type="dxa"/>
          </w:tcPr>
          <w:p w:rsidR="00E220EB" w:rsidP="00E220EB" w:rsidRDefault="00E220EB">
            <w:r>
              <w:t>Cena za nájem 1 automobilu vč. DPH/ měsíc</w:t>
            </w:r>
          </w:p>
        </w:tc>
        <w:tc>
          <w:tcPr>
            <w:tcW w:w="2239" w:type="dxa"/>
          </w:tcPr>
          <w:p w:rsidR="00E220EB" w:rsidP="00B57C3A" w:rsidRDefault="00B57C3A">
            <w:r>
              <w:t xml:space="preserve">Cena za </w:t>
            </w:r>
            <w:proofErr w:type="gramStart"/>
            <w:r>
              <w:t>zakázku  bez</w:t>
            </w:r>
            <w:proofErr w:type="gramEnd"/>
            <w:r>
              <w:t xml:space="preserve"> DPH</w:t>
            </w:r>
          </w:p>
        </w:tc>
        <w:tc>
          <w:tcPr>
            <w:tcW w:w="2310" w:type="dxa"/>
          </w:tcPr>
          <w:p w:rsidR="00E220EB" w:rsidP="0064589C" w:rsidRDefault="00E220EB">
            <w:pPr>
              <w:jc w:val="both"/>
            </w:pPr>
            <w:r>
              <w:t>Cena</w:t>
            </w:r>
            <w:r w:rsidR="00B57C3A">
              <w:t xml:space="preserve"> za zakázku</w:t>
            </w:r>
            <w:r>
              <w:t xml:space="preserve"> včetně DPH v Kč</w:t>
            </w:r>
          </w:p>
        </w:tc>
      </w:tr>
      <w:tr w:rsidRPr="0053743F" w:rsidR="00E220EB" w:rsidTr="00E220EB">
        <w:tc>
          <w:tcPr>
            <w:tcW w:w="2258" w:type="dxa"/>
            <w:vAlign w:val="center"/>
          </w:tcPr>
          <w:p w:rsidRPr="0053743F" w:rsidR="00E220EB" w:rsidP="0064589C" w:rsidRDefault="00E220EB">
            <w:pPr>
              <w:jc w:val="center"/>
            </w:pPr>
          </w:p>
        </w:tc>
        <w:tc>
          <w:tcPr>
            <w:tcW w:w="2121" w:type="dxa"/>
          </w:tcPr>
          <w:p w:rsidRPr="0053743F" w:rsidR="00E220EB" w:rsidP="0064589C" w:rsidRDefault="00E220EB">
            <w:pPr>
              <w:jc w:val="center"/>
            </w:pPr>
          </w:p>
        </w:tc>
        <w:tc>
          <w:tcPr>
            <w:tcW w:w="2239" w:type="dxa"/>
            <w:vAlign w:val="center"/>
          </w:tcPr>
          <w:p w:rsidRPr="0053743F" w:rsidR="00E220EB" w:rsidP="0064589C" w:rsidRDefault="00E220EB">
            <w:pPr>
              <w:jc w:val="center"/>
            </w:pPr>
          </w:p>
        </w:tc>
        <w:tc>
          <w:tcPr>
            <w:tcW w:w="2310" w:type="dxa"/>
            <w:vAlign w:val="center"/>
          </w:tcPr>
          <w:p w:rsidRPr="0053743F" w:rsidR="00E220EB" w:rsidP="0064589C" w:rsidRDefault="00E220EB">
            <w:pPr>
              <w:jc w:val="center"/>
            </w:pPr>
          </w:p>
        </w:tc>
      </w:tr>
    </w:tbl>
    <w:p w:rsidR="005B0387" w:rsidP="005B0387" w:rsidRDefault="005B0387">
      <w:pPr>
        <w:ind w:left="360"/>
        <w:jc w:val="both"/>
      </w:pPr>
    </w:p>
    <w:p w:rsidR="005B0387" w:rsidP="005B0387" w:rsidRDefault="005B0387">
      <w:pPr>
        <w:ind w:left="360"/>
        <w:jc w:val="both"/>
      </w:pPr>
      <w:r>
        <w:lastRenderedPageBreak/>
        <w:t xml:space="preserve">Cena za </w:t>
      </w:r>
      <w:r w:rsidR="00B57C3A">
        <w:t xml:space="preserve">služby </w:t>
      </w:r>
      <w:r>
        <w:t>zahrnuje veškeré náklady a poplatky potřebné k řád</w:t>
      </w:r>
      <w:r w:rsidR="00B57C3A">
        <w:t>nému plnění této smlouvy dle zadávací dokumentace veřejné zakázky.</w:t>
      </w:r>
    </w:p>
    <w:p w:rsidRPr="00DC23F1" w:rsidR="005B0387" w:rsidP="005B0387" w:rsidRDefault="00B57C3A">
      <w:pPr>
        <w:numPr>
          <w:ilvl w:val="0"/>
          <w:numId w:val="7"/>
        </w:numPr>
        <w:spacing w:after="0" w:line="240" w:lineRule="auto"/>
        <w:ind w:left="426" w:hanging="426"/>
        <w:jc w:val="both"/>
      </w:pPr>
      <w:r>
        <w:t xml:space="preserve">Pronajímatel je </w:t>
      </w:r>
      <w:r w:rsidRPr="00DC23F1" w:rsidR="005B0387">
        <w:t>oprávněn vystavit fakturu</w:t>
      </w:r>
      <w:r>
        <w:t xml:space="preserve"> za plnění zakázky 1x měsíčně</w:t>
      </w:r>
      <w:r w:rsidRPr="00DC23F1" w:rsidR="005B0387">
        <w:t>.</w:t>
      </w:r>
      <w:r w:rsidR="005B0387">
        <w:t xml:space="preserve"> Tento termín je zároveň pokládán</w:t>
      </w:r>
      <w:r w:rsidRPr="00DC23F1" w:rsidR="005B0387">
        <w:t xml:space="preserve"> za uskutečnění zdanitelného plnění ve smyslu zákona o dani z přidané hodnoty. Vystavená faktura vedle náležitostí daňového dokladu podle zákona o dani z přidané hodnoty bude</w:t>
      </w:r>
      <w:r w:rsidR="005B0387">
        <w:t xml:space="preserve"> obsahovat identifikaci smlouvy, na</w:t>
      </w:r>
      <w:r w:rsidRPr="00DC23F1" w:rsidR="005B0387">
        <w:t xml:space="preserve"> jejímž základě bylo plněno, dokladu osvědčujícího zdanitelné plnění, číslo faktury, datum splatnosti</w:t>
      </w:r>
      <w:r w:rsidR="005B0387">
        <w:t xml:space="preserve"> a identifikaci projektu, v rámci kterého je akce spolufinancovaná.</w:t>
      </w:r>
      <w:r w:rsidRPr="00DC23F1" w:rsidR="005B0387">
        <w:t xml:space="preserve"> Faktura musí být opatřena razítkem prodávajícího a podpisem pracovníka oprávněného ji vystavit.</w:t>
      </w:r>
    </w:p>
    <w:p w:rsidRPr="00DC23F1" w:rsidR="005B0387" w:rsidP="005B0387" w:rsidRDefault="00B57C3A">
      <w:pPr>
        <w:numPr>
          <w:ilvl w:val="0"/>
          <w:numId w:val="1"/>
        </w:numPr>
        <w:tabs>
          <w:tab w:val="clear" w:pos="644"/>
          <w:tab w:val="num" w:pos="360"/>
          <w:tab w:val="num" w:pos="426"/>
        </w:tabs>
        <w:spacing w:after="0" w:line="240" w:lineRule="auto"/>
        <w:ind w:hanging="644"/>
        <w:jc w:val="both"/>
      </w:pPr>
      <w:r>
        <w:t>Faktura je splatná do 14</w:t>
      </w:r>
      <w:r w:rsidRPr="00DC23F1" w:rsidR="005B0387">
        <w:t xml:space="preserve"> d</w:t>
      </w:r>
      <w:r>
        <w:t>nů od jejího doručení nájemci</w:t>
      </w:r>
      <w:r w:rsidRPr="00DC23F1" w:rsidR="005B0387">
        <w:t>.</w:t>
      </w:r>
    </w:p>
    <w:p w:rsidRPr="00DC23F1" w:rsidR="005B0387" w:rsidP="005B0387" w:rsidRDefault="005B0387">
      <w:pPr>
        <w:numPr>
          <w:ilvl w:val="0"/>
          <w:numId w:val="1"/>
        </w:numPr>
        <w:tabs>
          <w:tab w:val="clear" w:pos="644"/>
          <w:tab w:val="num" w:pos="360"/>
          <w:tab w:val="num" w:pos="426"/>
        </w:tabs>
        <w:spacing w:after="0" w:line="240" w:lineRule="auto"/>
        <w:ind w:left="426" w:hanging="426"/>
        <w:jc w:val="both"/>
      </w:pPr>
      <w:r w:rsidRPr="00DC23F1">
        <w:t>V případě, že faktura obsahuje nesprávné náležitosti nebo v n</w:t>
      </w:r>
      <w:r>
        <w:t xml:space="preserve">í některé náležitosti chybí, je </w:t>
      </w:r>
      <w:r w:rsidR="00B57C3A">
        <w:t>nájemce</w:t>
      </w:r>
      <w:r>
        <w:t xml:space="preserve"> oprávněn fakturu vrátit zpět </w:t>
      </w:r>
      <w:r w:rsidR="00B57C3A">
        <w:t>pronajímateli</w:t>
      </w:r>
      <w:r w:rsidRPr="00DC23F1">
        <w:t xml:space="preserve"> do data její splatnosti</w:t>
      </w:r>
      <w:r>
        <w:t xml:space="preserve"> a částku nezaplatit</w:t>
      </w:r>
      <w:r w:rsidRPr="00DC23F1">
        <w:t xml:space="preserve">. V takovém případě je </w:t>
      </w:r>
      <w:r w:rsidR="00B57C3A">
        <w:t>pronajímatel</w:t>
      </w:r>
      <w:r w:rsidR="0034638E">
        <w:t xml:space="preserve"> </w:t>
      </w:r>
      <w:r w:rsidRPr="00DC23F1">
        <w:t>povinen vystavit novou fakturu s novým datem splatnosti.</w:t>
      </w:r>
    </w:p>
    <w:p w:rsidRPr="008E4140" w:rsidR="005B0387" w:rsidP="005B0387" w:rsidRDefault="005B0387">
      <w:pPr>
        <w:numPr>
          <w:ilvl w:val="0"/>
          <w:numId w:val="1"/>
        </w:numPr>
        <w:tabs>
          <w:tab w:val="clear" w:pos="644"/>
          <w:tab w:val="num" w:pos="360"/>
          <w:tab w:val="num" w:pos="426"/>
        </w:tabs>
        <w:spacing w:after="0" w:line="240" w:lineRule="auto"/>
        <w:ind w:left="426" w:hanging="426"/>
        <w:jc w:val="both"/>
      </w:pPr>
      <w:r w:rsidRPr="00DC23F1">
        <w:t xml:space="preserve">Faktura bude hrazena bezhotovostní </w:t>
      </w:r>
      <w:r>
        <w:t xml:space="preserve">platbou </w:t>
      </w:r>
      <w:r w:rsidRPr="00DC23F1">
        <w:t xml:space="preserve">na účet </w:t>
      </w:r>
      <w:r w:rsidR="00B57C3A">
        <w:t>pronajímatele</w:t>
      </w:r>
      <w:r>
        <w:t xml:space="preserve"> uvedeného v záhlaví této smlouvy</w:t>
      </w:r>
      <w:r w:rsidRPr="008E4140">
        <w:t>.</w:t>
      </w:r>
      <w:r>
        <w:t xml:space="preserve"> Cena je uhrazena dnem odepsání příslušné částky z účtu </w:t>
      </w:r>
      <w:r w:rsidR="00B57C3A">
        <w:t>nájemce</w:t>
      </w:r>
      <w:r>
        <w:t>.</w:t>
      </w:r>
    </w:p>
    <w:p w:rsidRPr="00DC23F1" w:rsidR="005B0387" w:rsidP="005B0387" w:rsidRDefault="005B0387">
      <w:pPr>
        <w:numPr>
          <w:ilvl w:val="0"/>
          <w:numId w:val="1"/>
        </w:numPr>
        <w:tabs>
          <w:tab w:val="clear" w:pos="644"/>
          <w:tab w:val="num" w:pos="360"/>
          <w:tab w:val="num" w:pos="426"/>
        </w:tabs>
        <w:spacing w:after="0" w:line="240" w:lineRule="auto"/>
        <w:ind w:left="284" w:hanging="284"/>
        <w:jc w:val="both"/>
      </w:pPr>
      <w:r>
        <w:t>V</w:t>
      </w:r>
      <w:r w:rsidRPr="00DC23F1">
        <w:t> případě, že faktura bude uhrazena opožděně prokaza</w:t>
      </w:r>
      <w:r>
        <w:t xml:space="preserve">telně z důvodů na straně banky, není </w:t>
      </w:r>
      <w:r w:rsidR="00B57C3A">
        <w:t>nájemce</w:t>
      </w:r>
      <w:r w:rsidRPr="00DC23F1">
        <w:t xml:space="preserve"> po tuto dobu v prodlení s placením faktury.</w:t>
      </w:r>
    </w:p>
    <w:p w:rsidR="00B57C3A" w:rsidP="005B0387" w:rsidRDefault="00B57C3A">
      <w:pPr>
        <w:jc w:val="center"/>
        <w:rPr>
          <w:b/>
        </w:rPr>
      </w:pPr>
    </w:p>
    <w:p w:rsidRPr="00BC639E" w:rsidR="005B0387" w:rsidP="005B0387" w:rsidRDefault="005B0387">
      <w:pPr>
        <w:jc w:val="center"/>
        <w:rPr>
          <w:b/>
        </w:rPr>
      </w:pPr>
      <w:r w:rsidRPr="00BC639E">
        <w:rPr>
          <w:b/>
        </w:rPr>
        <w:t>Článek V.</w:t>
      </w:r>
    </w:p>
    <w:p w:rsidRPr="00BC639E" w:rsidR="005B0387" w:rsidP="005B0387" w:rsidRDefault="005B0387">
      <w:pPr>
        <w:jc w:val="center"/>
        <w:rPr>
          <w:b/>
        </w:rPr>
      </w:pPr>
      <w:r w:rsidRPr="00BC639E">
        <w:rPr>
          <w:b/>
        </w:rPr>
        <w:t>Sankční ustanovení</w:t>
      </w:r>
    </w:p>
    <w:p w:rsidR="005B0387" w:rsidP="005B0387" w:rsidRDefault="005B0387">
      <w:pPr>
        <w:numPr>
          <w:ilvl w:val="0"/>
          <w:numId w:val="9"/>
        </w:numPr>
        <w:spacing w:after="0" w:line="240" w:lineRule="auto"/>
        <w:ind w:left="426" w:hanging="426"/>
      </w:pPr>
      <w:r>
        <w:t xml:space="preserve">Pro případ porušení uvedených smluvních podmínek dohodly smluvní strany níže uvedené smluvní pokuty, jejichž sjednáním není dotčen nárok </w:t>
      </w:r>
      <w:r w:rsidR="00B57C3A">
        <w:t>nájemce</w:t>
      </w:r>
      <w:r>
        <w:t xml:space="preserve"> na náhradu škody způsobenou porušením povinnosti, zajištěnou smluvní pokutou. Pohledávka </w:t>
      </w:r>
      <w:r w:rsidR="00B57C3A">
        <w:t>pronajímatele</w:t>
      </w:r>
      <w:r>
        <w:t xml:space="preserve"> na zaplacení smluvní pokuty může být započítána s pohledávkou </w:t>
      </w:r>
      <w:r w:rsidR="00B57C3A">
        <w:t>nájemce na zaplacení ceny služby</w:t>
      </w:r>
      <w:r>
        <w:t>.</w:t>
      </w:r>
    </w:p>
    <w:p w:rsidR="005B0387" w:rsidP="005B0387" w:rsidRDefault="00B57C3A">
      <w:pPr>
        <w:numPr>
          <w:ilvl w:val="0"/>
          <w:numId w:val="9"/>
        </w:numPr>
        <w:spacing w:after="0" w:line="240" w:lineRule="auto"/>
        <w:ind w:left="426" w:hanging="426"/>
      </w:pPr>
      <w:r>
        <w:t>Nájemce</w:t>
      </w:r>
      <w:r w:rsidR="005B0387">
        <w:t xml:space="preserve"> má právo požadovat po p</w:t>
      </w:r>
      <w:r>
        <w:t>ronajímateli</w:t>
      </w:r>
      <w:r w:rsidR="005B0387">
        <w:t xml:space="preserve"> při nedodržení termínu předání zboží dle čl. III této smlouvy smluvní pokutu ve výši </w:t>
      </w:r>
      <w:r>
        <w:t>250 Kč za každý den prodlení</w:t>
      </w:r>
      <w:r w:rsidR="005B0387">
        <w:t>, s jehož dodáním je p</w:t>
      </w:r>
      <w:r>
        <w:t>ronajímatel</w:t>
      </w:r>
      <w:r w:rsidR="005B0387">
        <w:t xml:space="preserve"> v prodlení, a to za každý započatý den prodlení. Při nedodržení stanoveného termínu předání </w:t>
      </w:r>
      <w:r>
        <w:t>předmětu nájmu</w:t>
      </w:r>
      <w:r w:rsidR="005B0387">
        <w:t xml:space="preserve"> je </w:t>
      </w:r>
      <w:r>
        <w:t>nájemce</w:t>
      </w:r>
      <w:r w:rsidR="005B0387">
        <w:t xml:space="preserve"> oprávněn od smlouvy také odstoupit.</w:t>
      </w:r>
    </w:p>
    <w:p w:rsidR="005B0387" w:rsidP="005B0387" w:rsidRDefault="005B0387">
      <w:pPr>
        <w:numPr>
          <w:ilvl w:val="0"/>
          <w:numId w:val="9"/>
        </w:numPr>
        <w:spacing w:after="0" w:line="240" w:lineRule="auto"/>
        <w:ind w:left="426" w:hanging="426"/>
      </w:pPr>
      <w:r>
        <w:t xml:space="preserve">V případě prodlení </w:t>
      </w:r>
      <w:r w:rsidR="00B57C3A">
        <w:t>nájemce se zaplacením</w:t>
      </w:r>
      <w:r>
        <w:t xml:space="preserve"> ceny</w:t>
      </w:r>
      <w:r w:rsidR="00B57C3A">
        <w:t xml:space="preserve"> za pronájem </w:t>
      </w:r>
      <w:r>
        <w:t xml:space="preserve">na základě řádně vystavené faktury – daňového dokladu, se </w:t>
      </w:r>
      <w:r w:rsidR="00B57C3A">
        <w:t>nájemce</w:t>
      </w:r>
      <w:r>
        <w:t xml:space="preserve"> zavazuje zaplatit </w:t>
      </w:r>
      <w:r w:rsidR="00B57C3A">
        <w:t>pronajímateli</w:t>
      </w:r>
      <w:r>
        <w:t xml:space="preserve"> úrok z prodlení ve výši 0,05% z dlužné částky za každý den prodlení.</w:t>
      </w:r>
    </w:p>
    <w:p w:rsidR="005B0387" w:rsidP="005B0387" w:rsidRDefault="005B0387"/>
    <w:p w:rsidRPr="008560D4" w:rsidR="005B0387" w:rsidP="005B0387" w:rsidRDefault="005B0387">
      <w:pPr>
        <w:jc w:val="center"/>
        <w:rPr>
          <w:b/>
        </w:rPr>
      </w:pPr>
      <w:r>
        <w:rPr>
          <w:b/>
        </w:rPr>
        <w:t>Článek VI</w:t>
      </w:r>
      <w:r w:rsidRPr="008560D4">
        <w:rPr>
          <w:b/>
        </w:rPr>
        <w:t>.</w:t>
      </w:r>
    </w:p>
    <w:p w:rsidR="005B0387" w:rsidP="005B0387" w:rsidRDefault="005B0387">
      <w:pPr>
        <w:jc w:val="center"/>
        <w:rPr>
          <w:b/>
        </w:rPr>
      </w:pPr>
      <w:r w:rsidRPr="008560D4">
        <w:rPr>
          <w:b/>
        </w:rPr>
        <w:t>Práva a povinnosti smluvních stran</w:t>
      </w:r>
    </w:p>
    <w:p w:rsidR="00AF15E5" w:rsidP="00AF15E5" w:rsidRDefault="00B57C3A">
      <w:pPr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left="426" w:hanging="426"/>
        <w:jc w:val="both"/>
      </w:pPr>
      <w:r>
        <w:t>Nájemce</w:t>
      </w:r>
      <w:r w:rsidR="005B0387">
        <w:t xml:space="preserve"> je povinen včas a řádně spolupracovat při přípravě akce tak, aby neznemožnil </w:t>
      </w:r>
      <w:r>
        <w:t>pronajímateli</w:t>
      </w:r>
      <w:r w:rsidR="005B0387">
        <w:t xml:space="preserve"> akci připravit. Dále je povinen uhradit faktury dle sjednaných podmínek.</w:t>
      </w:r>
      <w:bookmarkStart w:name="_GoBack" w:id="0"/>
      <w:bookmarkEnd w:id="0"/>
    </w:p>
    <w:p w:rsidR="005B0387" w:rsidP="005B0387" w:rsidRDefault="00B57C3A">
      <w:pPr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left="426" w:hanging="426"/>
        <w:jc w:val="both"/>
      </w:pPr>
      <w:r>
        <w:t>Pronajímatel pověřuje</w:t>
      </w:r>
      <w:r w:rsidR="005B0387">
        <w:t xml:space="preserve"> osobu odpově</w:t>
      </w:r>
      <w:r w:rsidR="0034638E">
        <w:t xml:space="preserve">dnou za jednání s objednatelem: </w:t>
      </w:r>
      <w:r w:rsidR="0034638E">
        <w:rPr>
          <w:color w:val="FF0000"/>
        </w:rPr>
        <w:t>doplní pronajímatel vč. kontaktu</w:t>
      </w:r>
    </w:p>
    <w:p w:rsidR="005B0387" w:rsidP="005B0387" w:rsidRDefault="0034638E">
      <w:pPr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left="426" w:hanging="426"/>
        <w:jc w:val="both"/>
      </w:pPr>
      <w:r>
        <w:t>Pronajímatel</w:t>
      </w:r>
      <w:r w:rsidR="005B0387">
        <w:t xml:space="preserve"> je povinen a</w:t>
      </w:r>
      <w:r w:rsidRPr="00BF4C43" w:rsidR="005B0387">
        <w:t xml:space="preserve">rchivovat a řádně uchovávat veškeré originály účetních dokladů a originály dalších </w:t>
      </w:r>
      <w:r w:rsidR="005B0387">
        <w:t>d</w:t>
      </w:r>
      <w:r w:rsidRPr="00BF4C43" w:rsidR="005B0387">
        <w:t xml:space="preserve">okladů souvisejících s realizací projektu po dobu 10 let od proplacení závěrečné platby </w:t>
      </w:r>
      <w:r w:rsidR="005B0387">
        <w:t>příjemci</w:t>
      </w:r>
      <w:r>
        <w:t>, tedy do roku 2032</w:t>
      </w:r>
      <w:r w:rsidRPr="00BF4C43" w:rsidR="005B0387">
        <w:t xml:space="preserve">. Doklady budou uchovány způsobem uvedeným v zákoně č. 563/1991 Sb., o účetnictví, ve znění pozdějších předpisů, nebo v zákoně č. 586/1992 Sb., o dani z příjmu, ve znění pozdějších předpisů, ve smyslu ustanovení </w:t>
      </w:r>
      <w:r w:rsidRPr="00BF4C43" w:rsidR="005B0387">
        <w:rPr>
          <w:rFonts w:ascii="Agency FB" w:hAnsi="Agency FB"/>
        </w:rPr>
        <w:t>§</w:t>
      </w:r>
      <w:r w:rsidRPr="00BF4C43" w:rsidR="005B0387">
        <w:t xml:space="preserve"> 7b pro daňovou evidenci. V případě, že legislativa ČR stanovuje lhůtu delší</w:t>
      </w:r>
      <w:r w:rsidR="005B0387">
        <w:t>, platí tato stanovená lhůta.</w:t>
      </w:r>
    </w:p>
    <w:p w:rsidR="0034638E" w:rsidP="0034638E" w:rsidRDefault="0034638E">
      <w:pPr>
        <w:autoSpaceDE w:val="false"/>
        <w:autoSpaceDN w:val="false"/>
        <w:adjustRightInd w:val="false"/>
        <w:spacing w:after="0" w:line="240" w:lineRule="auto"/>
        <w:ind w:left="567"/>
        <w:jc w:val="both"/>
      </w:pPr>
      <w:r>
        <w:lastRenderedPageBreak/>
        <w:t>Pronajímatel</w:t>
      </w:r>
      <w:r w:rsidR="005B0387">
        <w:t xml:space="preserve"> je povinen </w:t>
      </w:r>
    </w:p>
    <w:p w:rsidRPr="00BF4C43" w:rsidR="005B0387" w:rsidP="009711C7" w:rsidRDefault="0034638E">
      <w:pPr>
        <w:pStyle w:val="Zpat"/>
        <w:ind w:left="567"/>
      </w:pPr>
      <w:r>
        <w:t>-</w:t>
      </w:r>
      <w:r w:rsidR="005B0387">
        <w:t>p</w:t>
      </w:r>
      <w:r w:rsidRPr="00BF4C43" w:rsidR="005B0387">
        <w:t>oskytnout všem subjektům provádějícím kontrolu nezbytné informace týkající se dodavatelských činností souvisejících s</w:t>
      </w:r>
      <w:r w:rsidR="005B0387">
        <w:t> </w:t>
      </w:r>
      <w:r w:rsidRPr="00BF4C43" w:rsidR="005B0387">
        <w:t>projektem</w:t>
      </w:r>
      <w:r w:rsidR="005B0387">
        <w:t xml:space="preserve"> </w:t>
      </w:r>
      <w:r w:rsidRPr="00517D5C" w:rsidR="005B0387">
        <w:rPr>
          <w:b/>
        </w:rPr>
        <w:t>„</w:t>
      </w:r>
      <w:r w:rsidRPr="009711C7" w:rsidR="009711C7">
        <w:rPr>
          <w:rFonts w:cstheme="minorHAnsi"/>
        </w:rPr>
        <w:t xml:space="preserve">Projekt Obce blíže lidem – Rozvoj terénní a komunitní sociální práce ve venkovských lokalitách, č. </w:t>
      </w:r>
      <w:proofErr w:type="spellStart"/>
      <w:r w:rsidRPr="009711C7" w:rsidR="009711C7">
        <w:rPr>
          <w:rFonts w:cstheme="minorHAnsi"/>
        </w:rPr>
        <w:t>proj</w:t>
      </w:r>
      <w:proofErr w:type="spellEnd"/>
      <w:r w:rsidRPr="009711C7" w:rsidR="009711C7">
        <w:rPr>
          <w:rFonts w:cstheme="minorHAnsi"/>
        </w:rPr>
        <w:t xml:space="preserve">: </w:t>
      </w:r>
      <w:r w:rsidRPr="009711C7" w:rsidR="009711C7">
        <w:rPr>
          <w:rStyle w:val="datalabel"/>
          <w:rFonts w:cstheme="minorHAnsi"/>
        </w:rPr>
        <w:t>CZ.03.2.65/0.0/0.0/16_047/0011854</w:t>
      </w:r>
      <w:r w:rsidRPr="00517D5C" w:rsidR="005B0387">
        <w:rPr>
          <w:b/>
        </w:rPr>
        <w:t>“</w:t>
      </w:r>
      <w:r w:rsidRPr="00BF4C43" w:rsidR="005B0387">
        <w:t xml:space="preserve"> poskytnout potřebnou součinnost poskytovateli nebo jím pověřeným osobám při kontrolách, auditech nebo monitorování řešení a realizace projektu, zejména jim poskytnout na vyžádání veškerou dokumentaci k projektu, účetní doklady, vysvětlující informace a umožnit prohlídku na místě a přístup ke všem movitým a nemovitých věcem souvisejících s realizací projektu. </w:t>
      </w:r>
      <w:r>
        <w:t>Dále musí u</w:t>
      </w:r>
      <w:r w:rsidRPr="00BF4C43" w:rsidR="005B0387">
        <w:t>možnit poskytovateli nebo jim pověřeným osobám provedení kontroly účetní (daňové) evidence, použití veřejných finančních prostředků a fyzické realizace projektu, zejména ve smyslu zákona č. 320/2001 Sb., o finanční kontrole, ve znění pozdějších předpisů, mj. umožnit vstup do svých objektů a na své pozemky nebo objekty a pozemky, které využívá ke své činnosti. Tímto ujednáním nejsou dotčena ani omezena práva ostatních kontrolních orgánů státní správy ČR a orgánů EU (např. NKÚ, Evropská komise, OLAF, Ministerstvo financí, Evropský účetní dvůr, Auditní orgán, územní finanční orgán, Platební a certifikační orgán, popřípadě jimi určených zmocněnců a dalších kontrolních orgánů dle předpisů ČR a EU),</w:t>
      </w:r>
    </w:p>
    <w:p w:rsidRPr="00BF4C43" w:rsidR="005B0387" w:rsidP="005B0387" w:rsidRDefault="005B0387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567" w:hanging="81"/>
        <w:jc w:val="both"/>
      </w:pPr>
      <w:r w:rsidRPr="00BF4C43">
        <w:t>umožnit přístup kontrolním orgánům ve smyslu zákona č. 320/2001 Sb., o finanční kontrole, v platném znění (poskytovateli dotace, Ministerstvu pro místní rozvoj, Ministerstvu financí, auditnímu orgánu, Evropské komisi, Evropskému účetnímu dvoru, Nejvyššímu kontrolnímu úřadu, příslušnému Finančnímu úřadu a dalším kontrolním orgánům) do objektů a na pozemky dotčené projektem a jeho realizací a provést kontrolu dokladů souvisejících s projektem,</w:t>
      </w:r>
    </w:p>
    <w:p w:rsidRPr="00BF4C43" w:rsidR="005B0387" w:rsidP="005B0387" w:rsidRDefault="005B0387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567" w:hanging="81"/>
        <w:jc w:val="both"/>
      </w:pPr>
      <w:r w:rsidRPr="00BF4C43">
        <w:t xml:space="preserve">poskytnout veškeré doklady související s realizací projektu a plněním monitorovacích ukazatelů, které si mohou vyžádat zejména následující kontrolní orgány: Evropský účetní dvůr, Evropské komise, Nejvyšší kontrolní úřad, Auditní orgán, Územní finanční orgán, Platební a certifikační orgán, popř. jimi určení zmocněnci a další kontrolní orgány dle předpisů ČR a předpisů EU. Těmto orgánům je dále povinen poskytnout součinnost při kontrolách minimálně ve stejném rozsahu jako poskytovateli nebo jim pověřeným osobám.  </w:t>
      </w:r>
    </w:p>
    <w:p w:rsidR="005B0387" w:rsidP="005B0387" w:rsidRDefault="005B0387">
      <w:pPr>
        <w:jc w:val="center"/>
        <w:rPr>
          <w:b/>
        </w:rPr>
      </w:pPr>
    </w:p>
    <w:p w:rsidRPr="008560D4" w:rsidR="005B0387" w:rsidP="005B0387" w:rsidRDefault="005B0387">
      <w:pPr>
        <w:jc w:val="center"/>
        <w:rPr>
          <w:b/>
        </w:rPr>
      </w:pPr>
      <w:r>
        <w:rPr>
          <w:b/>
        </w:rPr>
        <w:t>Článek VII</w:t>
      </w:r>
      <w:r w:rsidRPr="008560D4">
        <w:rPr>
          <w:b/>
        </w:rPr>
        <w:t>.</w:t>
      </w:r>
    </w:p>
    <w:p w:rsidR="005B0387" w:rsidP="005B0387" w:rsidRDefault="005B0387">
      <w:pPr>
        <w:jc w:val="center"/>
        <w:rPr>
          <w:b/>
        </w:rPr>
      </w:pPr>
      <w:r w:rsidRPr="008560D4">
        <w:rPr>
          <w:b/>
        </w:rPr>
        <w:t>Závěrečná ujednání</w:t>
      </w:r>
    </w:p>
    <w:p w:rsidRPr="00DC23F1" w:rsidR="005B0387" w:rsidP="005B0387" w:rsidRDefault="005B038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 w:rsidRPr="00DC23F1"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5B0387" w:rsidP="005B0387" w:rsidRDefault="005B038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 w:rsidRPr="00DC23F1">
        <w:t>Osoby podepisující tuto smlouvu svým podpisem stvrzují platnost svých jednatelských oprávnění.</w:t>
      </w:r>
    </w:p>
    <w:p w:rsidRPr="00DC23F1" w:rsidR="005B0387" w:rsidP="005B0387" w:rsidRDefault="0034638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t>Nájemce</w:t>
      </w:r>
      <w:r w:rsidRPr="00674B4C" w:rsidR="005B0387">
        <w:t xml:space="preserve"> je oprávněn uveřejnit celý obsah smlouvy, včetně identifikačních údajů </w:t>
      </w:r>
      <w:r>
        <w:t>pronajímatele</w:t>
      </w:r>
      <w:r w:rsidRPr="00674B4C" w:rsidR="005B0387">
        <w:t>.</w:t>
      </w:r>
    </w:p>
    <w:p w:rsidRPr="00DC23F1" w:rsidR="005B0387" w:rsidP="005B0387" w:rsidRDefault="005B038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 w:rsidRPr="00DC23F1">
        <w:t>Případná neplatnost některého z ustanovení této smlouvy nemá za následek neplatnost ostatních ustanovení.</w:t>
      </w:r>
    </w:p>
    <w:p w:rsidRPr="00DC23F1" w:rsidR="005B0387" w:rsidP="005B0387" w:rsidRDefault="005B038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 w:rsidRPr="00DC23F1">
        <w:t>Pro případ, že kterékoliv ustanovení této smlouvy se stane neúčinným nebo neplatným, smluvní strany se zavazují bez zbytečných odkladů nahradit takové ustanovení novým.</w:t>
      </w:r>
    </w:p>
    <w:p w:rsidRPr="00DC23F1" w:rsidR="005B0387" w:rsidP="005B0387" w:rsidRDefault="005B038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 w:rsidRPr="00DC23F1">
        <w:t>Písemnosti se považují za doručené i v případě, že kterákoliv ze stran její doručení odmítne, či jinak znemožní.</w:t>
      </w:r>
      <w:r>
        <w:t xml:space="preserve"> Pokud si některá ze smluvních stran nevyzvedne zásilku v úložní době, má se za to, že zásilka byla doručena 10 den ode dne jejího uložení.</w:t>
      </w:r>
    </w:p>
    <w:p w:rsidR="005B0387" w:rsidP="005B0387" w:rsidRDefault="005B038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 w:rsidRPr="00DC23F1"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</w:t>
      </w:r>
      <w:r>
        <w:t>,</w:t>
      </w:r>
      <w:r w:rsidRPr="00DC23F1">
        <w:t xml:space="preserve"> a že se dohodly na celém jejím obsahu, což stvrzují svými podpisy.</w:t>
      </w:r>
    </w:p>
    <w:p w:rsidRPr="00DC23F1" w:rsidR="005B0387" w:rsidP="005B0387" w:rsidRDefault="005B038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t xml:space="preserve">Nedílnou součástí smlouvy je </w:t>
      </w:r>
      <w:r w:rsidR="0034638E">
        <w:rPr>
          <w:b/>
        </w:rPr>
        <w:t>Příloha</w:t>
      </w:r>
      <w:r w:rsidRPr="00BC639E">
        <w:rPr>
          <w:b/>
        </w:rPr>
        <w:t xml:space="preserve"> </w:t>
      </w:r>
      <w:r w:rsidR="0034638E">
        <w:rPr>
          <w:b/>
        </w:rPr>
        <w:t>- Položkový rozpočet a</w:t>
      </w:r>
      <w:r w:rsidRPr="00BC639E">
        <w:rPr>
          <w:b/>
        </w:rPr>
        <w:t xml:space="preserve"> specifikace</w:t>
      </w:r>
      <w:r w:rsidR="0034638E">
        <w:rPr>
          <w:b/>
        </w:rPr>
        <w:t xml:space="preserve"> zakázky</w:t>
      </w:r>
    </w:p>
    <w:p w:rsidRPr="00BF4C43" w:rsidR="005B0387" w:rsidP="005B0387" w:rsidRDefault="005B038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t>Smlouva je vyhotovena ve 3</w:t>
      </w:r>
      <w:r w:rsidRPr="00BF4C43">
        <w:t xml:space="preserve"> stejnopisech s platností originálu, podepsaných oprávněnými zástupci smluvních stran, přičemž</w:t>
      </w:r>
      <w:r w:rsidR="0034638E">
        <w:t xml:space="preserve"> nájemce</w:t>
      </w:r>
      <w:r w:rsidRPr="00BF4C43">
        <w:t xml:space="preserve"> </w:t>
      </w:r>
      <w:r>
        <w:t xml:space="preserve">obdrží dvě </w:t>
      </w:r>
      <w:r w:rsidRPr="00BF4C43">
        <w:t>a prodávající obdrží jedno vyhotovení.</w:t>
      </w:r>
    </w:p>
    <w:p w:rsidRPr="00DC23F1" w:rsidR="005B0387" w:rsidP="005B0387" w:rsidRDefault="005B038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 w:rsidRPr="00DC23F1">
        <w:t>Smlo</w:t>
      </w:r>
      <w:r>
        <w:t>uva nabývá platnosti a účinnosti</w:t>
      </w:r>
      <w:r w:rsidRPr="00DC23F1">
        <w:t xml:space="preserve"> dnem podpisu oběma smluvními stranami.</w:t>
      </w:r>
    </w:p>
    <w:p w:rsidR="005B0387" w:rsidP="005B0387" w:rsidRDefault="005B0387">
      <w:pPr>
        <w:jc w:val="both"/>
      </w:pPr>
    </w:p>
    <w:p w:rsidR="0034638E" w:rsidP="005B0387" w:rsidRDefault="0034638E">
      <w:pPr>
        <w:jc w:val="both"/>
      </w:pPr>
    </w:p>
    <w:p w:rsidRPr="00DC23F1" w:rsidR="005B0387" w:rsidP="005B0387" w:rsidRDefault="005B0387">
      <w:pPr>
        <w:jc w:val="both"/>
      </w:pPr>
      <w:r>
        <w:t xml:space="preserve">V Benešově </w:t>
      </w:r>
      <w:proofErr w:type="gramStart"/>
      <w:r>
        <w:t>dne</w:t>
      </w:r>
      <w:r>
        <w:tab/>
      </w:r>
      <w:r>
        <w:tab/>
      </w:r>
      <w:r>
        <w:tab/>
      </w:r>
      <w:r>
        <w:tab/>
      </w:r>
      <w:r>
        <w:tab/>
      </w:r>
      <w:r w:rsidR="0034638E">
        <w:t>V                         dne</w:t>
      </w:r>
      <w:proofErr w:type="gramEnd"/>
      <w:r>
        <w:tab/>
        <w:t> </w:t>
      </w:r>
    </w:p>
    <w:p w:rsidR="005B0387" w:rsidP="005B0387" w:rsidRDefault="005B0387">
      <w:pPr>
        <w:jc w:val="both"/>
      </w:pPr>
    </w:p>
    <w:p w:rsidR="005B0387" w:rsidP="005B0387" w:rsidRDefault="005B0387">
      <w:pPr>
        <w:jc w:val="both"/>
      </w:pPr>
    </w:p>
    <w:p w:rsidR="005B0387" w:rsidP="005B0387" w:rsidRDefault="005B0387">
      <w:pPr>
        <w:jc w:val="both"/>
      </w:pPr>
    </w:p>
    <w:p w:rsidRPr="00DC23F1" w:rsidR="005B0387" w:rsidP="005B0387" w:rsidRDefault="005B0387">
      <w:pPr>
        <w:jc w:val="both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34638E" w:rsidP="0034638E" w:rsidRDefault="0034638E">
      <w:pPr>
        <w:tabs>
          <w:tab w:val="left" w:pos="5040"/>
        </w:tabs>
        <w:jc w:val="both"/>
      </w:pPr>
      <w:r>
        <w:t>Za nájemce</w:t>
      </w:r>
      <w:r>
        <w:tab/>
        <w:t>Za prona</w:t>
      </w:r>
      <w:r w:rsidR="009711C7">
        <w:t>j</w:t>
      </w:r>
      <w:r>
        <w:t>ímatele</w:t>
      </w:r>
    </w:p>
    <w:p w:rsidR="005B0387" w:rsidP="005B0387" w:rsidRDefault="005B0387">
      <w:pPr>
        <w:jc w:val="both"/>
      </w:pPr>
      <w:r>
        <w:t>Mgr. Marta Vacková</w:t>
      </w:r>
      <w:r>
        <w:tab/>
      </w:r>
    </w:p>
    <w:p w:rsidR="005B0387" w:rsidP="005B0387" w:rsidRDefault="005B0387">
      <w:pPr>
        <w:jc w:val="both"/>
      </w:pPr>
      <w:r>
        <w:t>Ředitelka RUAH o.p.s.</w:t>
      </w:r>
      <w:r>
        <w:tab/>
      </w:r>
      <w:r>
        <w:tab/>
      </w:r>
      <w:r>
        <w:tab/>
      </w:r>
      <w:r>
        <w:tab/>
      </w:r>
    </w:p>
    <w:p w:rsidR="005B0387" w:rsidP="005B0387" w:rsidRDefault="005B0387">
      <w:pPr>
        <w:jc w:val="both"/>
      </w:pPr>
    </w:p>
    <w:p w:rsidR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="0043082B" w:rsidP="0043082B" w:rsidRDefault="0043082B">
      <w:pPr>
        <w:rPr>
          <w:rFonts w:ascii="Arial" w:hAnsi="Arial" w:cs="Arial"/>
        </w:rPr>
      </w:pPr>
    </w:p>
    <w:p w:rsidRPr="0043082B" w:rsidR="004F6D51" w:rsidP="0043082B" w:rsidRDefault="004F6D51">
      <w:pPr>
        <w:ind w:firstLine="708"/>
        <w:rPr>
          <w:rFonts w:ascii="Arial" w:hAnsi="Arial" w:cs="Arial"/>
        </w:rPr>
      </w:pPr>
    </w:p>
    <w:sectPr w:rsidRPr="0043082B" w:rsidR="004F6D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67380" w:rsidP="00151B5D" w:rsidRDefault="00E67380">
      <w:pPr>
        <w:spacing w:after="0" w:line="240" w:lineRule="auto"/>
      </w:pPr>
      <w:r>
        <w:separator/>
      </w:r>
    </w:p>
  </w:endnote>
  <w:endnote w:type="continuationSeparator" w:id="0">
    <w:p w:rsidR="00E67380" w:rsidP="00151B5D" w:rsidRDefault="00E6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711C7" w:rsidP="009711C7" w:rsidRDefault="009711C7">
    <w:pPr>
      <w:pStyle w:val="Zpa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Projekt Obce blíže lidem – Rozvoj terénní a komunitní sociální práce ve venkovských lokalitách, č. </w:t>
    </w:r>
    <w:proofErr w:type="spellStart"/>
    <w:r>
      <w:rPr>
        <w:rFonts w:ascii="Arial" w:hAnsi="Arial" w:cs="Arial"/>
        <w:sz w:val="20"/>
      </w:rPr>
      <w:t>proj</w:t>
    </w:r>
    <w:proofErr w:type="spellEnd"/>
    <w:r>
      <w:rPr>
        <w:rFonts w:ascii="Arial" w:hAnsi="Arial" w:cs="Arial"/>
        <w:sz w:val="20"/>
      </w:rPr>
      <w:t xml:space="preserve">: </w:t>
    </w:r>
    <w:r>
      <w:rPr>
        <w:rStyle w:val="datalabel"/>
        <w:rFonts w:ascii="Arial" w:hAnsi="Arial" w:cs="Arial"/>
        <w:sz w:val="20"/>
      </w:rPr>
      <w:t>CZ.03.2.65/0.0/0.0/16_047/0011854</w:t>
    </w:r>
  </w:p>
  <w:p w:rsidR="00D74B9C" w:rsidRDefault="00D74B9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67380" w:rsidP="00151B5D" w:rsidRDefault="00E67380">
      <w:pPr>
        <w:spacing w:after="0" w:line="240" w:lineRule="auto"/>
      </w:pPr>
      <w:r>
        <w:separator/>
      </w:r>
    </w:p>
  </w:footnote>
  <w:footnote w:type="continuationSeparator" w:id="0">
    <w:p w:rsidR="00E67380" w:rsidP="00151B5D" w:rsidRDefault="00E6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1B5D" w:rsidRDefault="00D74B9C">
    <w:pPr>
      <w:pStyle w:val="Zhlav"/>
    </w:pPr>
    <w:r>
      <w:rPr>
        <w:noProof/>
        <w:lang w:eastAsia="cs-CZ"/>
      </w:rPr>
      <w:drawing>
        <wp:inline distT="0" distB="0" distL="0" distR="0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loga\OPZ\logo_OPZ_barev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52032BB"/>
    <w:multiLevelType w:val="hybridMultilevel"/>
    <w:tmpl w:val="487A0428"/>
    <w:lvl w:ilvl="0" w:tplc="BF8880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71ECF7A">
      <w:start w:val="1"/>
      <w:numFmt w:val="lowerLetter"/>
      <w:lvlText w:val="%2)"/>
      <w:lvlJc w:val="left"/>
      <w:pPr>
        <w:tabs>
          <w:tab w:val="num" w:pos="-425"/>
        </w:tabs>
        <w:ind w:left="1364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A322211"/>
    <w:multiLevelType w:val="hybridMultilevel"/>
    <w:tmpl w:val="07F6D4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933166"/>
    <w:multiLevelType w:val="hybridMultilevel"/>
    <w:tmpl w:val="08F04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83833"/>
    <w:multiLevelType w:val="hybridMultilevel"/>
    <w:tmpl w:val="834A1E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06E471D"/>
    <w:multiLevelType w:val="hybridMultilevel"/>
    <w:tmpl w:val="AFDE89DC"/>
    <w:lvl w:ilvl="0" w:tplc="C7F80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C4464"/>
    <w:multiLevelType w:val="hybridMultilevel"/>
    <w:tmpl w:val="04FA24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3153E10"/>
    <w:multiLevelType w:val="hybridMultilevel"/>
    <w:tmpl w:val="51E8A340"/>
    <w:lvl w:ilvl="0" w:tplc="B8B469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309AE"/>
    <w:multiLevelType w:val="hybridMultilevel"/>
    <w:tmpl w:val="D0BE9242"/>
    <w:lvl w:ilvl="0" w:tplc="37786576">
      <w:start w:val="2"/>
      <w:numFmt w:val="bullet"/>
      <w:lvlText w:val="-"/>
      <w:lvlJc w:val="left"/>
      <w:pPr>
        <w:ind w:left="846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5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06" w:hanging="360"/>
      </w:pPr>
      <w:rPr>
        <w:rFonts w:hint="default" w:ascii="Wingdings" w:hAnsi="Wingdings"/>
      </w:rPr>
    </w:lvl>
  </w:abstractNum>
  <w:abstractNum w:abstractNumId="8">
    <w:nsid w:val="784F4C83"/>
    <w:multiLevelType w:val="hybridMultilevel"/>
    <w:tmpl w:val="1228075A"/>
    <w:lvl w:ilvl="0" w:tplc="C7F80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C6CA8"/>
    <w:multiLevelType w:val="hybridMultilevel"/>
    <w:tmpl w:val="8E608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B4503"/>
    <w:rsid w:val="00151B5D"/>
    <w:rsid w:val="0034638E"/>
    <w:rsid w:val="0043082B"/>
    <w:rsid w:val="004F6D51"/>
    <w:rsid w:val="005B0387"/>
    <w:rsid w:val="009711C7"/>
    <w:rsid w:val="00AF15E5"/>
    <w:rsid w:val="00B57C3A"/>
    <w:rsid w:val="00C06FE9"/>
    <w:rsid w:val="00D74B9C"/>
    <w:rsid w:val="00E220EB"/>
    <w:rsid w:val="00E6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5:docId w15:val="{927AD842-0B2D-4587-AE0C-C61D3931B8B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Standardnpsmoodstavce"/>
    <w:rsid w:val="000B4503"/>
  </w:style>
  <w:style w:type="paragraph" w:styleId="Odstavecseseznamem">
    <w:name w:val="List Paragraph"/>
    <w:basedOn w:val="Normln"/>
    <w:link w:val="OdstavecseseznamemChar"/>
    <w:uiPriority w:val="34"/>
    <w:qFormat/>
    <w:rsid w:val="00E220EB"/>
    <w:pPr>
      <w:spacing w:after="220" w:line="240" w:lineRule="auto"/>
      <w:ind w:left="720"/>
      <w:contextualSpacing/>
      <w:jc w:val="both"/>
    </w:pPr>
    <w:rPr>
      <w:color w:val="00000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E220EB"/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964858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55750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18598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1484</properties:Words>
  <properties:Characters>8762</properties:Characters>
  <properties:Lines>73</properties:Lines>
  <properties:Paragraphs>20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10226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2019-05-09T13:37:00Z</dcterms:created>
  <dc:creator/>
  <dc:description/>
  <cp:keywords/>
  <cp:lastModifiedBy/>
  <dcterms:modified xmlns:xsi="http://www.w3.org/2001/XMLSchema-instance" xsi:type="dcterms:W3CDTF">2019-08-07T07:48:00Z</dcterms:modified>
  <cp:revision>4</cp:revision>
  <dc:subject/>
  <dc:title/>
</cp:coreProperties>
</file>