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50090" w:rsidR="005C6C32" w:rsidP="00D92737" w:rsidRDefault="005C6C32">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pPr>
              <w:pStyle w:val="Tabulkatext"/>
              <w:rPr>
                <w:b/>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F604B1">
            <w:pPr>
              <w:pStyle w:val="Tabulkatext"/>
              <w:rPr>
                <w:b/>
              </w:rPr>
            </w:pPr>
            <w:r>
              <w:rPr>
                <w:b/>
              </w:rPr>
              <w:t xml:space="preserve">Výběrové řízení na </w:t>
            </w:r>
            <w:r w:rsidR="00730DC2">
              <w:rPr>
                <w:b/>
              </w:rPr>
              <w:t xml:space="preserve">zajištění vzdělávání členů spolku SPRP – Spolek pro rozvoj podnikání </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E316E0">
            <w:pPr>
              <w:pStyle w:val="Tabulkatext"/>
              <w:rPr>
                <w:b/>
              </w:rPr>
            </w:pPr>
            <w:r w:rsidRPr="003D36D7">
              <w:rPr>
                <w:b/>
                <w:color w:val="000000" w:themeColor="text1"/>
              </w:rPr>
              <w:t>Služba</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E316E0">
            <w:pPr>
              <w:pStyle w:val="Tabulkatext"/>
              <w:rPr>
                <w:b/>
              </w:rPr>
            </w:pPr>
            <w:r w:rsidRPr="003D36D7">
              <w:rPr>
                <w:b/>
                <w:color w:val="000000" w:themeColor="text1"/>
              </w:rPr>
              <w:t>30.9.2019</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E50090" w:rsidR="000C0FA8" w:rsidP="00D92737" w:rsidRDefault="00E316E0">
            <w:pPr>
              <w:pStyle w:val="Tabulkatext"/>
            </w:pPr>
            <w:r>
              <w:rPr>
                <w:rFonts w:ascii="Arial" w:hAnsi="Arial" w:cs="Arial"/>
                <w:color w:val="000000"/>
                <w:sz w:val="22"/>
                <w:shd w:val="clear" w:color="auto" w:fill="FFFFFF"/>
              </w:rPr>
              <w:t>CZ.03.1.52/0.0/0.0/19_110/0010844</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E316E0">
            <w:pPr>
              <w:pStyle w:val="Tabulkatext"/>
              <w:rPr>
                <w:b/>
              </w:rPr>
            </w:pPr>
            <w:r>
              <w:rPr>
                <w:b/>
              </w:rPr>
              <w:t>Vzdělávání zaměstnanců – Spolek pro rozvoj podnikání</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E316E0">
            <w:pPr>
              <w:pStyle w:val="Tabulkatext"/>
            </w:pPr>
            <w:r>
              <w:t>SPRP – Spolek pro rozvoj podnikání, z.s.</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7949B5">
            <w:pPr>
              <w:pStyle w:val="Tabulkatext"/>
            </w:pPr>
            <w:r>
              <w:t>Budovatelská 872/51, Rohatec 696 01</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08647E" w:rsidR="007949B5" w:rsidP="007949B5" w:rsidRDefault="007949B5">
            <w:pPr>
              <w:pStyle w:val="Tabulkatext"/>
              <w:ind w:left="0"/>
              <w:rPr>
                <w:color w:val="auto"/>
              </w:rPr>
            </w:pPr>
            <w:r w:rsidRPr="0008647E">
              <w:rPr>
                <w:color w:val="auto"/>
              </w:rPr>
              <w:t xml:space="preserve">Ing. </w:t>
            </w:r>
            <w:r>
              <w:rPr>
                <w:color w:val="auto"/>
              </w:rPr>
              <w:t xml:space="preserve">Mgr. </w:t>
            </w:r>
            <w:r w:rsidRPr="0008647E">
              <w:rPr>
                <w:color w:val="auto"/>
              </w:rPr>
              <w:t>Marie Šedová</w:t>
            </w:r>
            <w:r>
              <w:rPr>
                <w:color w:val="auto"/>
              </w:rPr>
              <w:t>, MBA. LL.M.</w:t>
            </w:r>
          </w:p>
          <w:p w:rsidRPr="0008647E" w:rsidR="007949B5" w:rsidP="007949B5" w:rsidRDefault="007949B5">
            <w:pPr>
              <w:pStyle w:val="Tabulkatext"/>
              <w:ind w:left="0"/>
              <w:rPr>
                <w:color w:val="auto"/>
              </w:rPr>
            </w:pPr>
            <w:r w:rsidRPr="0008647E">
              <w:rPr>
                <w:color w:val="auto"/>
              </w:rPr>
              <w:t>Tel: 777553939</w:t>
            </w:r>
          </w:p>
          <w:p w:rsidRPr="00E50090" w:rsidR="005C6C32" w:rsidP="007949B5" w:rsidRDefault="007949B5">
            <w:pPr>
              <w:pStyle w:val="Tabulkatext"/>
              <w:ind w:left="0"/>
            </w:pPr>
            <w:r w:rsidRPr="0008647E">
              <w:rPr>
                <w:color w:val="auto"/>
              </w:rPr>
              <w:t>E-mail: m.sedova@sedova.cz</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E316E0">
            <w:pPr>
              <w:pStyle w:val="Tabulkatext"/>
            </w:pPr>
            <w:r>
              <w:t>07799845</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8647E" w:rsidR="007949B5" w:rsidP="007949B5" w:rsidRDefault="007949B5">
            <w:pPr>
              <w:pStyle w:val="Tabulkatext"/>
              <w:ind w:left="0"/>
              <w:rPr>
                <w:color w:val="auto"/>
              </w:rPr>
            </w:pPr>
            <w:r>
              <w:rPr>
                <w:color w:val="auto"/>
              </w:rPr>
              <w:t>Mgr. Veronika Pištěková</w:t>
            </w:r>
          </w:p>
          <w:p w:rsidRPr="0008647E" w:rsidR="007949B5" w:rsidP="007949B5" w:rsidRDefault="007949B5">
            <w:pPr>
              <w:pStyle w:val="Tabulkatext"/>
              <w:ind w:left="0"/>
              <w:rPr>
                <w:color w:val="auto"/>
              </w:rPr>
            </w:pPr>
            <w:r w:rsidRPr="0008647E">
              <w:rPr>
                <w:color w:val="auto"/>
              </w:rPr>
              <w:t>Tel: 777</w:t>
            </w:r>
            <w:r>
              <w:rPr>
                <w:color w:val="auto"/>
              </w:rPr>
              <w:t> </w:t>
            </w:r>
            <w:r w:rsidRPr="0008647E">
              <w:rPr>
                <w:color w:val="auto"/>
              </w:rPr>
              <w:t>553</w:t>
            </w:r>
            <w:r>
              <w:rPr>
                <w:color w:val="auto"/>
              </w:rPr>
              <w:t xml:space="preserve"> 883</w:t>
            </w:r>
          </w:p>
          <w:p w:rsidRPr="00E50090" w:rsidR="005C6C32" w:rsidP="007949B5" w:rsidRDefault="007949B5">
            <w:pPr>
              <w:pStyle w:val="Tabulkatext"/>
            </w:pPr>
            <w:r w:rsidRPr="0008647E">
              <w:rPr>
                <w:color w:val="auto"/>
              </w:rPr>
              <w:t xml:space="preserve">E-mail: </w:t>
            </w:r>
            <w:r>
              <w:rPr>
                <w:color w:val="auto"/>
              </w:rPr>
              <w:t>v.pistekova</w:t>
            </w:r>
            <w:r w:rsidRPr="0008647E">
              <w:rPr>
                <w:color w:val="auto"/>
              </w:rPr>
              <w:t>@sedova.cz</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D36D7" w:rsidR="005C6C32" w:rsidP="00D92737" w:rsidRDefault="007D0B77">
            <w:pPr>
              <w:pStyle w:val="Tabulkatext"/>
              <w:rPr>
                <w:b/>
                <w:bCs/>
                <w:color w:val="000000" w:themeColor="text1"/>
              </w:rPr>
            </w:pPr>
            <w:r w:rsidRPr="003D36D7">
              <w:rPr>
                <w:b/>
                <w:bCs/>
                <w:color w:val="000000" w:themeColor="text1"/>
              </w:rPr>
              <w:t xml:space="preserve">Od 30.9.2019 do </w:t>
            </w:r>
            <w:r w:rsidRPr="003D36D7" w:rsidR="00E316E0">
              <w:rPr>
                <w:b/>
                <w:bCs/>
                <w:color w:val="000000" w:themeColor="text1"/>
              </w:rPr>
              <w:t>1</w:t>
            </w:r>
            <w:r w:rsidRPr="003D36D7">
              <w:rPr>
                <w:b/>
                <w:bCs/>
                <w:color w:val="000000" w:themeColor="text1"/>
              </w:rPr>
              <w:t>7</w:t>
            </w:r>
            <w:r w:rsidRPr="003D36D7" w:rsidR="00595628">
              <w:rPr>
                <w:b/>
                <w:bCs/>
                <w:color w:val="000000" w:themeColor="text1"/>
              </w:rPr>
              <w:t>.</w:t>
            </w:r>
            <w:r w:rsidRPr="003D36D7" w:rsidR="00E316E0">
              <w:rPr>
                <w:b/>
                <w:bCs/>
                <w:color w:val="000000" w:themeColor="text1"/>
              </w:rPr>
              <w:t>10</w:t>
            </w:r>
            <w:r w:rsidRPr="003D36D7" w:rsidR="00595628">
              <w:rPr>
                <w:b/>
                <w:bCs/>
                <w:color w:val="000000" w:themeColor="text1"/>
              </w:rPr>
              <w:t>.2019</w:t>
            </w:r>
            <w:r w:rsidRPr="003D36D7">
              <w:rPr>
                <w:b/>
                <w:bCs/>
                <w:color w:val="000000" w:themeColor="text1"/>
              </w:rPr>
              <w:t xml:space="preserve"> do 1</w:t>
            </w:r>
            <w:r w:rsidR="00226617">
              <w:rPr>
                <w:b/>
                <w:bCs/>
                <w:color w:val="000000" w:themeColor="text1"/>
              </w:rPr>
              <w:t>2</w:t>
            </w:r>
            <w:r w:rsidRPr="003D36D7">
              <w:rPr>
                <w:b/>
                <w:bCs/>
                <w:color w:val="000000" w:themeColor="text1"/>
              </w:rPr>
              <w:t>:00</w:t>
            </w:r>
          </w:p>
          <w:p w:rsidRPr="003D36D7" w:rsidR="007D0B77" w:rsidP="00D92737" w:rsidRDefault="007D0B77">
            <w:pPr>
              <w:pStyle w:val="Tabulkatext"/>
              <w:rPr>
                <w:color w:val="000000" w:themeColor="text1"/>
              </w:rPr>
            </w:pPr>
            <w:r w:rsidRPr="003D36D7">
              <w:rPr>
                <w:color w:val="000000" w:themeColor="text1"/>
              </w:rPr>
              <w:t xml:space="preserve">U nabídek zasílaných poštou je rozhodující datum a čas doručení. Nabídky doručené po výše uvedeném lhůtě nebudou akceptovány. </w:t>
            </w:r>
          </w:p>
          <w:p w:rsidRPr="003D36D7" w:rsidR="007D0B77" w:rsidP="00D92737" w:rsidRDefault="007D0B77">
            <w:pPr>
              <w:pStyle w:val="Tabulkatext"/>
              <w:rPr>
                <w:color w:val="000000" w:themeColor="text1"/>
              </w:rPr>
            </w:pPr>
            <w:r w:rsidRPr="003D36D7">
              <w:rPr>
                <w:color w:val="000000" w:themeColor="text1"/>
              </w:rPr>
              <w:t xml:space="preserve">Při podání nabídky poštou nebo jiným veřejným přepravcem se za okamžik podání nabídky považuje její fyzické převzetí zadavatelem na adrese níže uvedené, nepostačí tedy, že nabídka bude ve lhůtě pro podání nabídky předána k poštovní přepravě. Odpovědnost za podání nabídky ve lhůtě pro podání nabídek nese účastník. </w:t>
            </w:r>
          </w:p>
          <w:p w:rsidRPr="002504AD" w:rsidR="007D0B77" w:rsidP="00D92737" w:rsidRDefault="007D0B77">
            <w:pPr>
              <w:pStyle w:val="Tabulkatext"/>
              <w:rPr>
                <w:b/>
                <w:bCs/>
                <w:color w:val="000000" w:themeColor="text1"/>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D36D7" w:rsidR="007949B5" w:rsidP="007949B5" w:rsidRDefault="007D0B77">
            <w:pPr>
              <w:pStyle w:val="Tabulkatext"/>
              <w:ind w:left="0"/>
              <w:rPr>
                <w:color w:val="000000" w:themeColor="text1"/>
              </w:rPr>
            </w:pPr>
            <w:r w:rsidRPr="003D36D7">
              <w:rPr>
                <w:color w:val="000000" w:themeColor="text1"/>
              </w:rPr>
              <w:t xml:space="preserve">SPRP – Spolek pro rozvoj podnikání, z.s., </w:t>
            </w:r>
            <w:r w:rsidRPr="003D36D7" w:rsidR="007949B5">
              <w:rPr>
                <w:color w:val="000000" w:themeColor="text1"/>
              </w:rPr>
              <w:t>Budovatelská 872/51</w:t>
            </w:r>
            <w:r w:rsidRPr="003D36D7">
              <w:rPr>
                <w:color w:val="000000" w:themeColor="text1"/>
              </w:rPr>
              <w:t xml:space="preserve">, </w:t>
            </w:r>
            <w:r w:rsidRPr="003D36D7" w:rsidR="007949B5">
              <w:rPr>
                <w:color w:val="000000" w:themeColor="text1"/>
              </w:rPr>
              <w:t>696 01 Rohatec</w:t>
            </w:r>
          </w:p>
          <w:p w:rsidRPr="007D0B77" w:rsidR="005C6C32" w:rsidP="007D0B77" w:rsidRDefault="007D0B77">
            <w:pPr>
              <w:pStyle w:val="Tabulkatext"/>
              <w:ind w:left="0"/>
              <w:rPr>
                <w:color w:val="FF0000"/>
              </w:rPr>
            </w:pPr>
            <w:r w:rsidRPr="003D36D7">
              <w:rPr>
                <w:color w:val="000000" w:themeColor="text1"/>
              </w:rPr>
              <w:t xml:space="preserve">V případě osobního podání budou nabídky přijímány pouze </w:t>
            </w:r>
            <w:r w:rsidRPr="003D36D7" w:rsidR="007949B5">
              <w:rPr>
                <w:color w:val="000000" w:themeColor="text1"/>
              </w:rPr>
              <w:t xml:space="preserve">v pracovní dny v době od </w:t>
            </w:r>
            <w:r w:rsidRPr="003D36D7">
              <w:rPr>
                <w:color w:val="000000" w:themeColor="text1"/>
              </w:rPr>
              <w:t>9:00</w:t>
            </w:r>
            <w:r w:rsidRPr="003D36D7" w:rsidR="007949B5">
              <w:rPr>
                <w:color w:val="000000" w:themeColor="text1"/>
              </w:rPr>
              <w:t xml:space="preserve"> hod do 15:</w:t>
            </w:r>
            <w:r w:rsidRPr="003D36D7">
              <w:rPr>
                <w:color w:val="000000" w:themeColor="text1"/>
              </w:rPr>
              <w:t>00</w:t>
            </w:r>
            <w:r w:rsidRPr="003D36D7" w:rsidR="007949B5">
              <w:rPr>
                <w:color w:val="000000" w:themeColor="text1"/>
              </w:rPr>
              <w:t xml:space="preserve"> hod</w:t>
            </w:r>
            <w:r w:rsidRPr="003D36D7">
              <w:rPr>
                <w:color w:val="000000" w:themeColor="text1"/>
              </w:rPr>
              <w:t>.</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pPr>
            <w:r w:rsidRPr="00E50090">
              <w:rPr>
                <w:b/>
                <w:bCs/>
              </w:rPr>
              <w:t>Popis (specifikace) předmětu zakázky</w:t>
            </w:r>
          </w:p>
        </w:tc>
      </w:tr>
      <w:tr w:rsidRPr="00E50090" w:rsidR="007949B5"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7949B5" w:rsidP="007949B5" w:rsidRDefault="007949B5">
            <w:pPr>
              <w:pStyle w:val="Tabulkatext"/>
              <w:spacing w:after="0"/>
              <w:ind w:left="0"/>
              <w:jc w:val="both"/>
              <w:rPr>
                <w:b/>
                <w:i/>
                <w:color w:val="000000" w:themeColor="text1"/>
              </w:rPr>
            </w:pPr>
            <w:r w:rsidRPr="00FF1C68">
              <w:rPr>
                <w:b/>
                <w:color w:val="000000" w:themeColor="text1"/>
              </w:rPr>
              <w:t>Závazné požadavky</w:t>
            </w:r>
            <w:r w:rsidRPr="00FF1C68">
              <w:rPr>
                <w:b/>
                <w:i/>
                <w:color w:val="000000" w:themeColor="text1"/>
              </w:rPr>
              <w:t xml:space="preserve"> zadavatele:</w:t>
            </w:r>
          </w:p>
          <w:p w:rsidRPr="00FF1C68" w:rsidR="00445DAA" w:rsidP="00445DAA" w:rsidRDefault="00445DAA">
            <w:pPr>
              <w:pStyle w:val="Tabulkatext"/>
              <w:spacing w:before="0" w:after="0"/>
              <w:ind w:left="0"/>
              <w:jc w:val="both"/>
              <w:rPr>
                <w:color w:val="000000" w:themeColor="text1"/>
              </w:rPr>
            </w:pPr>
            <w:r w:rsidRPr="00FF1C68">
              <w:rPr>
                <w:color w:val="000000" w:themeColor="text1"/>
              </w:rPr>
              <w:t>Informace a údaje uvedené v jednotlivých částech této výzvy a v přílohách vymezují závazné požadavky zadavatele na plnění zakázky.</w:t>
            </w:r>
          </w:p>
          <w:p w:rsidRPr="00FF1C68" w:rsidR="00445DAA" w:rsidP="00445DAA" w:rsidRDefault="00445DAA">
            <w:pPr>
              <w:pStyle w:val="Tabulkatext"/>
              <w:spacing w:before="0" w:after="0"/>
              <w:ind w:left="0"/>
              <w:jc w:val="both"/>
              <w:rPr>
                <w:color w:val="000000" w:themeColor="text1"/>
              </w:rPr>
            </w:pPr>
          </w:p>
          <w:p w:rsidRPr="00FF1C68" w:rsidR="00445DAA" w:rsidP="00445DAA" w:rsidRDefault="00445DAA">
            <w:pPr>
              <w:pStyle w:val="Tabulkatext"/>
              <w:spacing w:before="0" w:after="0"/>
              <w:ind w:left="0"/>
              <w:jc w:val="both"/>
              <w:rPr>
                <w:color w:val="000000" w:themeColor="text1"/>
              </w:rPr>
            </w:pPr>
            <w:r w:rsidRPr="00FF1C68">
              <w:rPr>
                <w:color w:val="000000" w:themeColor="text1"/>
              </w:rPr>
              <w:t xml:space="preserve">Tyto požadavky je uchazeč povinen a bezvýhradně respektovat při zpracování své nabídky a ve své nabídce je akceptovat. Neakceptování požadavků zadavatele uvedených v této výzvě a v jejich přílohách či změny obchodních podmínek budou považovány za nesplnění výzvy s následkem </w:t>
            </w:r>
            <w:r w:rsidRPr="00FF1C68">
              <w:rPr>
                <w:color w:val="000000" w:themeColor="text1"/>
              </w:rPr>
              <w:lastRenderedPageBreak/>
              <w:t>vyloučení uchazeče z další účasti na zadávacím řízení.</w:t>
            </w:r>
          </w:p>
          <w:p w:rsidRPr="00FF1C68" w:rsidR="00445DAA" w:rsidP="00445DAA" w:rsidRDefault="00445DAA">
            <w:pPr>
              <w:pStyle w:val="Tabulkatext"/>
              <w:spacing w:before="0" w:after="0"/>
              <w:ind w:left="0"/>
              <w:jc w:val="both"/>
              <w:rPr>
                <w:color w:val="000000" w:themeColor="text1"/>
              </w:rPr>
            </w:pPr>
          </w:p>
          <w:p w:rsidRPr="00445DAA" w:rsidR="00445DAA" w:rsidP="00445DAA" w:rsidRDefault="00445DAA">
            <w:pPr>
              <w:pStyle w:val="Tabulkatext"/>
              <w:spacing w:before="0" w:after="0"/>
              <w:ind w:left="0"/>
              <w:jc w:val="both"/>
              <w:rPr>
                <w:color w:val="000000" w:themeColor="text1"/>
              </w:rPr>
            </w:pPr>
            <w:r w:rsidRPr="00FF1C68">
              <w:rPr>
                <w:color w:val="000000" w:themeColor="text1"/>
              </w:rPr>
              <w:t>Předmět zakázky musí být proveden plně v souladu s platnými právními předpisy a technickými normami.</w:t>
            </w:r>
          </w:p>
          <w:p w:rsidR="007949B5" w:rsidP="007949B5" w:rsidRDefault="007949B5">
            <w:pPr>
              <w:pStyle w:val="Tabulkatext"/>
              <w:spacing w:before="0" w:after="0"/>
              <w:ind w:left="0"/>
              <w:jc w:val="both"/>
              <w:rPr>
                <w:color w:val="000000" w:themeColor="text1"/>
              </w:rPr>
            </w:pPr>
          </w:p>
          <w:p w:rsidRPr="003D36D7" w:rsidR="00445DAA" w:rsidP="007949B5" w:rsidRDefault="00445DAA">
            <w:pPr>
              <w:pStyle w:val="Tabulkatext"/>
              <w:spacing w:before="0" w:after="0"/>
              <w:ind w:left="0"/>
              <w:jc w:val="both"/>
              <w:rPr>
                <w:color w:val="000000" w:themeColor="text1"/>
              </w:rPr>
            </w:pPr>
            <w:r w:rsidRPr="003D36D7">
              <w:rPr>
                <w:color w:val="000000" w:themeColor="text1"/>
              </w:rPr>
              <w:t xml:space="preserve">Předmětem zakázky je zajištění realizace vzdělávacích kurzů pro projekt Vzdělávání zaměstnanců – Spolek pro rozvoj podnikání. Cílem je vzdělávat zaměstnance členů spolku SPRP – Spolek pro rozvoj podnikání, z.s. a rozšířit tak jejich znalosti. </w:t>
            </w:r>
          </w:p>
          <w:p w:rsidRPr="003D36D7" w:rsidR="00445DAA" w:rsidP="007949B5" w:rsidRDefault="00445DAA">
            <w:pPr>
              <w:pStyle w:val="Tabulkatext"/>
              <w:spacing w:before="0" w:after="0"/>
              <w:ind w:left="0"/>
              <w:jc w:val="both"/>
              <w:rPr>
                <w:color w:val="000000" w:themeColor="text1"/>
              </w:rPr>
            </w:pPr>
          </w:p>
          <w:p w:rsidRPr="003D36D7" w:rsidR="00445DAA" w:rsidP="007949B5" w:rsidRDefault="00445DAA">
            <w:pPr>
              <w:pStyle w:val="Tabulkatext"/>
              <w:spacing w:before="0" w:after="0"/>
              <w:ind w:left="0"/>
              <w:jc w:val="both"/>
              <w:rPr>
                <w:color w:val="000000" w:themeColor="text1"/>
              </w:rPr>
            </w:pPr>
            <w:r w:rsidRPr="003D36D7">
              <w:rPr>
                <w:color w:val="000000" w:themeColor="text1"/>
              </w:rPr>
              <w:t xml:space="preserve">Vzdělávací kurzy budou probíhat ve skupinách, přičemž v jedné skupině bude od 2 – 12 osob. Kurzy budou formou prezenčních uzavřených školení, určených pro cílovou skupinu zadavatele. </w:t>
            </w:r>
          </w:p>
          <w:p w:rsidRPr="003D36D7" w:rsidR="00445DAA" w:rsidP="007949B5" w:rsidRDefault="00445DAA">
            <w:pPr>
              <w:pStyle w:val="Tabulkatext"/>
              <w:spacing w:before="0" w:after="0"/>
              <w:ind w:left="0"/>
              <w:jc w:val="both"/>
              <w:rPr>
                <w:color w:val="000000" w:themeColor="text1"/>
              </w:rPr>
            </w:pPr>
          </w:p>
          <w:p w:rsidRPr="003D36D7" w:rsidR="00445DAA" w:rsidP="007949B5" w:rsidRDefault="00445DAA">
            <w:pPr>
              <w:pStyle w:val="Tabulkatext"/>
              <w:spacing w:before="0" w:after="0"/>
              <w:ind w:left="0"/>
              <w:jc w:val="both"/>
              <w:rPr>
                <w:color w:val="000000" w:themeColor="text1"/>
              </w:rPr>
            </w:pPr>
            <w:r w:rsidRPr="003D36D7">
              <w:rPr>
                <w:color w:val="000000" w:themeColor="text1"/>
              </w:rPr>
              <w:t xml:space="preserve">Jedná se o školení z oblastí uvedených v příloze č. </w:t>
            </w:r>
            <w:r w:rsidRPr="003D36D7" w:rsidR="003D36D7">
              <w:rPr>
                <w:color w:val="000000" w:themeColor="text1"/>
              </w:rPr>
              <w:t>4</w:t>
            </w:r>
            <w:r w:rsidRPr="003D36D7">
              <w:rPr>
                <w:color w:val="000000" w:themeColor="text1"/>
              </w:rPr>
              <w:t xml:space="preserve"> – Specifikace vzdělávacích aktivit. Maximální počet výukových hodin na 1 den je 8 hodin + </w:t>
            </w:r>
            <w:r w:rsidRPr="003D36D7" w:rsidR="003D36D7">
              <w:rPr>
                <w:color w:val="000000" w:themeColor="text1"/>
              </w:rPr>
              <w:t>případná</w:t>
            </w:r>
            <w:r w:rsidRPr="003D36D7">
              <w:rPr>
                <w:color w:val="000000" w:themeColor="text1"/>
              </w:rPr>
              <w:t xml:space="preserve"> přestávka. Výuková hodina je dlouhá 60 minut. </w:t>
            </w:r>
          </w:p>
          <w:p w:rsidRPr="003D36D7" w:rsidR="00445DAA" w:rsidP="007949B5" w:rsidRDefault="00445DAA">
            <w:pPr>
              <w:pStyle w:val="Tabulkatext"/>
              <w:spacing w:before="0" w:after="0"/>
              <w:ind w:left="0"/>
              <w:jc w:val="both"/>
              <w:rPr>
                <w:color w:val="000000" w:themeColor="text1"/>
              </w:rPr>
            </w:pPr>
          </w:p>
          <w:p w:rsidRPr="003D36D7" w:rsidR="00445DAA" w:rsidP="007949B5" w:rsidRDefault="00445DAA">
            <w:pPr>
              <w:pStyle w:val="Tabulkatext"/>
              <w:spacing w:before="0" w:after="0"/>
              <w:ind w:left="0"/>
              <w:jc w:val="both"/>
              <w:rPr>
                <w:color w:val="000000" w:themeColor="text1"/>
              </w:rPr>
            </w:pPr>
            <w:r w:rsidRPr="003D36D7">
              <w:rPr>
                <w:color w:val="000000" w:themeColor="text1"/>
              </w:rPr>
              <w:t>Dodavatel zajistí na všechna školení následující výstupy a adekvátní lektorské kapacity:</w:t>
            </w:r>
          </w:p>
          <w:p w:rsidRPr="003D36D7" w:rsidR="00445DAA" w:rsidP="007949B5" w:rsidRDefault="00445DAA">
            <w:pPr>
              <w:pStyle w:val="Tabulkatext"/>
              <w:spacing w:before="0" w:after="0"/>
              <w:ind w:left="0"/>
              <w:jc w:val="both"/>
              <w:rPr>
                <w:color w:val="000000" w:themeColor="text1"/>
              </w:rPr>
            </w:pPr>
            <w:r w:rsidRPr="003D36D7">
              <w:rPr>
                <w:color w:val="000000" w:themeColor="text1"/>
              </w:rPr>
              <w:t>- školitele/lektory</w:t>
            </w:r>
          </w:p>
          <w:p w:rsidRPr="003D36D7" w:rsidR="00445DAA" w:rsidP="007949B5" w:rsidRDefault="00445DAA">
            <w:pPr>
              <w:pStyle w:val="Tabulkatext"/>
              <w:spacing w:before="0" w:after="0"/>
              <w:ind w:left="0"/>
              <w:jc w:val="both"/>
              <w:rPr>
                <w:color w:val="000000" w:themeColor="text1"/>
              </w:rPr>
            </w:pPr>
            <w:r w:rsidRPr="003D36D7">
              <w:rPr>
                <w:color w:val="000000" w:themeColor="text1"/>
              </w:rPr>
              <w:t>- prezenční listiny (dle vzoru OP Z)</w:t>
            </w:r>
          </w:p>
          <w:p w:rsidRPr="003D36D7" w:rsidR="00445DAA" w:rsidP="007949B5" w:rsidRDefault="00445DAA">
            <w:pPr>
              <w:pStyle w:val="Tabulkatext"/>
              <w:spacing w:before="0" w:after="0"/>
              <w:ind w:left="0"/>
              <w:jc w:val="both"/>
              <w:rPr>
                <w:color w:val="000000" w:themeColor="text1"/>
              </w:rPr>
            </w:pPr>
            <w:r w:rsidRPr="003D36D7">
              <w:rPr>
                <w:color w:val="000000" w:themeColor="text1"/>
              </w:rPr>
              <w:t>- potvrzení o absolvování (dle vzoru OP Z)</w:t>
            </w:r>
          </w:p>
          <w:p w:rsidRPr="003D36D7" w:rsidR="00445DAA" w:rsidP="007949B5" w:rsidRDefault="00445DAA">
            <w:pPr>
              <w:pStyle w:val="Tabulkatext"/>
              <w:spacing w:before="0" w:after="0"/>
              <w:ind w:left="0"/>
              <w:jc w:val="both"/>
              <w:rPr>
                <w:color w:val="000000" w:themeColor="text1"/>
              </w:rPr>
            </w:pPr>
            <w:r w:rsidRPr="003D36D7">
              <w:rPr>
                <w:color w:val="000000" w:themeColor="text1"/>
              </w:rPr>
              <w:t>- dokumentaci k obsahu vzdělávacího kurzu (dle vzoru OP Z)</w:t>
            </w:r>
          </w:p>
          <w:p w:rsidRPr="003D36D7" w:rsidR="00445DAA" w:rsidP="007949B5" w:rsidRDefault="00445DAA">
            <w:pPr>
              <w:pStyle w:val="Tabulkatext"/>
              <w:spacing w:before="0" w:after="0"/>
              <w:ind w:left="0"/>
              <w:jc w:val="both"/>
              <w:rPr>
                <w:color w:val="000000" w:themeColor="text1"/>
              </w:rPr>
            </w:pPr>
            <w:r w:rsidRPr="003D36D7">
              <w:rPr>
                <w:color w:val="000000" w:themeColor="text1"/>
              </w:rPr>
              <w:t>- výukové materiály / skripta (označené publicitou dle OP Z)</w:t>
            </w:r>
          </w:p>
          <w:p w:rsidRPr="00FF1C68" w:rsidR="00445DAA" w:rsidP="007949B5" w:rsidRDefault="00445DAA">
            <w:pPr>
              <w:pStyle w:val="Tabulkatext"/>
              <w:spacing w:before="0" w:after="0"/>
              <w:ind w:left="0"/>
              <w:jc w:val="both"/>
              <w:rPr>
                <w:color w:val="000000" w:themeColor="text1"/>
              </w:rPr>
            </w:pPr>
          </w:p>
          <w:p w:rsidRPr="00FF1C68" w:rsidR="007949B5" w:rsidP="007949B5" w:rsidRDefault="007949B5">
            <w:pPr>
              <w:pStyle w:val="Tabulkatext"/>
              <w:spacing w:before="0" w:after="0"/>
              <w:ind w:left="0"/>
              <w:jc w:val="both"/>
              <w:rPr>
                <w:b/>
                <w:color w:val="000000" w:themeColor="text1"/>
              </w:rPr>
            </w:pPr>
          </w:p>
          <w:p w:rsidRPr="007949B5" w:rsidR="007949B5" w:rsidP="00445DAA" w:rsidRDefault="007949B5">
            <w:pPr>
              <w:pStyle w:val="Tabulkatext"/>
              <w:spacing w:before="0" w:after="0"/>
              <w:ind w:left="0"/>
              <w:jc w:val="both"/>
              <w:rPr>
                <w:color w:val="FF0000"/>
              </w:rPr>
            </w:pP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7949B5" w:rsidP="007949B5" w:rsidRDefault="007949B5">
            <w:pPr>
              <w:pStyle w:val="Tabulkatext"/>
              <w:rPr>
                <w:b/>
                <w:bCs/>
              </w:rPr>
            </w:pPr>
            <w:r w:rsidRPr="00E50090">
              <w:rPr>
                <w:b/>
                <w:bCs/>
              </w:rPr>
              <w:lastRenderedPageBreak/>
              <w:t xml:space="preserve">Předpokládaná hodnota zakázky v Kč </w:t>
            </w:r>
            <w:r w:rsidRPr="00E50090">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3D4F87" w:rsidR="007949B5" w:rsidP="007949B5" w:rsidRDefault="003D4F87">
            <w:pPr>
              <w:pStyle w:val="Tabulkatext"/>
              <w:spacing w:after="0"/>
              <w:ind w:left="0"/>
              <w:rPr>
                <w:b/>
                <w:color w:val="000000" w:themeColor="text1"/>
              </w:rPr>
            </w:pPr>
            <w:r w:rsidRPr="003D4F87">
              <w:rPr>
                <w:b/>
                <w:color w:val="000000" w:themeColor="text1"/>
              </w:rPr>
              <w:t xml:space="preserve">Dílčí plnění č. 1 UCE </w:t>
            </w:r>
            <w:r w:rsidR="003D36D7">
              <w:rPr>
                <w:b/>
                <w:color w:val="000000" w:themeColor="text1"/>
              </w:rPr>
              <w:t>- 86 400</w:t>
            </w:r>
            <w:r w:rsidRPr="003D4F87" w:rsidR="002910F9">
              <w:rPr>
                <w:b/>
                <w:color w:val="000000" w:themeColor="text1"/>
              </w:rPr>
              <w:t>,-</w:t>
            </w:r>
            <w:r w:rsidRPr="003D4F87" w:rsidR="007949B5">
              <w:rPr>
                <w:b/>
                <w:color w:val="000000" w:themeColor="text1"/>
              </w:rPr>
              <w:t xml:space="preserve"> </w:t>
            </w:r>
            <w:r w:rsidRPr="003D4F87" w:rsidR="002910F9">
              <w:rPr>
                <w:b/>
                <w:color w:val="000000" w:themeColor="text1"/>
              </w:rPr>
              <w:t>bez DPH</w:t>
            </w:r>
          </w:p>
          <w:p w:rsidRPr="003D4F87" w:rsidR="003D4F87" w:rsidP="007949B5" w:rsidRDefault="003D4F87">
            <w:pPr>
              <w:pStyle w:val="Tabulkatext"/>
              <w:spacing w:after="0"/>
              <w:ind w:left="0"/>
              <w:rPr>
                <w:b/>
                <w:color w:val="000000" w:themeColor="text1"/>
              </w:rPr>
            </w:pPr>
            <w:r w:rsidRPr="003D4F87">
              <w:rPr>
                <w:b/>
                <w:color w:val="000000" w:themeColor="text1"/>
              </w:rPr>
              <w:t>Dílčí plnění č. 2 MMD</w:t>
            </w:r>
            <w:r w:rsidR="003D36D7">
              <w:rPr>
                <w:b/>
                <w:color w:val="000000" w:themeColor="text1"/>
              </w:rPr>
              <w:t xml:space="preserve"> – 712 800,- bez DPH</w:t>
            </w:r>
          </w:p>
          <w:p w:rsidRPr="003D4F87" w:rsidR="003D4F87" w:rsidP="007949B5" w:rsidRDefault="003D4F87">
            <w:pPr>
              <w:pStyle w:val="Tabulkatext"/>
              <w:spacing w:after="0"/>
              <w:ind w:left="0"/>
              <w:rPr>
                <w:b/>
                <w:color w:val="000000" w:themeColor="text1"/>
              </w:rPr>
            </w:pPr>
            <w:r w:rsidRPr="003D4F87">
              <w:rPr>
                <w:b/>
                <w:color w:val="000000" w:themeColor="text1"/>
              </w:rPr>
              <w:t>Dílčí plnění č. 3 TECH</w:t>
            </w:r>
            <w:r w:rsidR="003D36D7">
              <w:rPr>
                <w:b/>
                <w:color w:val="000000" w:themeColor="text1"/>
              </w:rPr>
              <w:t xml:space="preserve"> – 5 101 000,- bez DPH</w:t>
            </w:r>
          </w:p>
          <w:p w:rsidRPr="00F604B1" w:rsidR="007949B5" w:rsidP="007949B5" w:rsidRDefault="007949B5">
            <w:pPr>
              <w:pStyle w:val="Tabulkatext"/>
              <w:spacing w:before="0" w:after="0"/>
              <w:ind w:left="0"/>
              <w:rPr>
                <w:color w:val="000000" w:themeColor="text1"/>
              </w:rPr>
            </w:pPr>
            <w:r w:rsidRPr="00F604B1">
              <w:rPr>
                <w:color w:val="000000" w:themeColor="text1"/>
              </w:rPr>
              <w:t>Zadavatel stanoví cenu jako maximální s nepřekročitelnou.</w:t>
            </w:r>
          </w:p>
          <w:p w:rsidRPr="00F604B1" w:rsidR="007949B5" w:rsidP="00F604B1" w:rsidRDefault="00445DAA">
            <w:pPr>
              <w:pStyle w:val="Tabulkatext"/>
              <w:ind w:left="0"/>
              <w:rPr>
                <w:i/>
                <w:color w:val="000000" w:themeColor="text1"/>
              </w:rPr>
            </w:pPr>
            <w:r>
              <w:rPr>
                <w:color w:val="000000" w:themeColor="text1"/>
              </w:rPr>
              <w:t>Nedodržení stanovené limitní ceny znamená nesplnění podmínek stanovených zadavatelem, jehož dů</w:t>
            </w:r>
            <w:r w:rsidR="003D4F87">
              <w:rPr>
                <w:color w:val="000000" w:themeColor="text1"/>
              </w:rPr>
              <w:t xml:space="preserve">sledek bude vyloučení účastníka z účasti ve výběrovém řízení. </w:t>
            </w: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7949B5" w:rsidP="007949B5" w:rsidRDefault="007949B5">
            <w:pPr>
              <w:pStyle w:val="Tabulkatext"/>
              <w:rPr>
                <w:b/>
                <w:bCs/>
              </w:rPr>
            </w:pPr>
            <w:r w:rsidRPr="00E50090">
              <w:rPr>
                <w:b/>
                <w:bCs/>
              </w:rPr>
              <w:t>Lhůta dodání / časový harmonogram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F604B1" w:rsidR="007949B5" w:rsidP="003D4F87" w:rsidRDefault="003D4F87">
            <w:pPr>
              <w:pStyle w:val="Tabulkatext"/>
              <w:spacing w:after="0"/>
              <w:ind w:left="0"/>
              <w:jc w:val="both"/>
              <w:rPr>
                <w:color w:val="000000" w:themeColor="text1"/>
              </w:rPr>
            </w:pPr>
            <w:r>
              <w:rPr>
                <w:color w:val="000000" w:themeColor="text1"/>
              </w:rPr>
              <w:t xml:space="preserve">Vzdělávací aktivity budou probíhat v předpokládaném termínu od října 2019 – března 2022. Přesný harmonogram bude upřesněn na základě dohody mezi zadavatelem a dodavatelem po podpisu smlouvy. </w:t>
            </w: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7949B5" w:rsidP="007949B5" w:rsidRDefault="007949B5">
            <w:pPr>
              <w:pStyle w:val="Tabulkatext"/>
              <w:rPr>
                <w:b/>
                <w:bCs/>
              </w:rPr>
            </w:pPr>
            <w:r w:rsidRPr="00E50090">
              <w:rPr>
                <w:b/>
                <w:bCs/>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D36D7" w:rsidR="007949B5" w:rsidP="007949B5" w:rsidRDefault="00E00A6B">
            <w:pPr>
              <w:pStyle w:val="Tabulkatext"/>
              <w:rPr>
                <w:b/>
                <w:bCs/>
                <w:color w:val="000000" w:themeColor="text1"/>
              </w:rPr>
            </w:pPr>
            <w:r>
              <w:rPr>
                <w:b/>
                <w:bCs/>
                <w:color w:val="000000" w:themeColor="text1"/>
              </w:rPr>
              <w:t xml:space="preserve">Kraj </w:t>
            </w:r>
            <w:bookmarkStart w:name="_GoBack" w:id="0"/>
            <w:bookmarkEnd w:id="0"/>
            <w:r w:rsidRPr="003D36D7" w:rsidR="003D36D7">
              <w:rPr>
                <w:b/>
                <w:bCs/>
                <w:color w:val="000000" w:themeColor="text1"/>
              </w:rPr>
              <w:t>Vysočina, Jihomoravský kraj, Zlínský kraj, Olomoucký kraj</w:t>
            </w:r>
          </w:p>
        </w:tc>
      </w:tr>
      <w:tr w:rsidRPr="00E50090" w:rsidR="007949B5"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7949B5" w:rsidP="007949B5" w:rsidRDefault="007949B5">
            <w:pPr>
              <w:pStyle w:val="Tabulkatext"/>
            </w:pPr>
            <w:r>
              <w:rPr>
                <w:b/>
              </w:rPr>
              <w:t>P</w:t>
            </w:r>
            <w:r w:rsidRPr="001A2981">
              <w:rPr>
                <w:b/>
              </w:rPr>
              <w:t>ravidla pro hodnocení nabídek</w:t>
            </w:r>
            <w:r w:rsidRPr="001A2981">
              <w:t>, která zahrnují i) kritéria hodnocení, ii) metodu vyhodnocení nabídek v jednotlivých kritériích a iii) váhu nebo jiný matematický vztah mezi kritérii</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b/>
                <w:color w:val="auto"/>
              </w:rPr>
            </w:pPr>
            <w:r w:rsidRPr="0008647E">
              <w:rPr>
                <w:b/>
                <w:color w:val="auto"/>
              </w:rPr>
              <w:t>Nabídky budou hodnoceny podle následujícího hodnotícího kritéria:</w:t>
            </w:r>
          </w:p>
          <w:p w:rsidRPr="0008647E" w:rsidR="00F53EE6" w:rsidP="00F53EE6" w:rsidRDefault="00F53EE6">
            <w:pPr>
              <w:pStyle w:val="Tabulkatext"/>
              <w:spacing w:before="0" w:after="0"/>
              <w:ind w:left="0"/>
              <w:jc w:val="both"/>
              <w:rPr>
                <w:b/>
                <w:color w:val="auto"/>
              </w:rPr>
            </w:pPr>
          </w:p>
          <w:p w:rsidRPr="0008647E" w:rsidR="00F53EE6" w:rsidP="00F53EE6" w:rsidRDefault="00F53EE6">
            <w:pPr>
              <w:pStyle w:val="Tabulkatext"/>
              <w:numPr>
                <w:ilvl w:val="0"/>
                <w:numId w:val="28"/>
              </w:numPr>
              <w:spacing w:before="0"/>
              <w:jc w:val="both"/>
              <w:rPr>
                <w:b/>
                <w:color w:val="auto"/>
              </w:rPr>
            </w:pPr>
            <w:r w:rsidRPr="0008647E">
              <w:rPr>
                <w:b/>
                <w:color w:val="auto"/>
              </w:rPr>
              <w:t>Celková nabídková cena bez DPH (váha 100%)</w:t>
            </w:r>
          </w:p>
          <w:p w:rsidRPr="0008647E" w:rsidR="00F53EE6" w:rsidP="00F53EE6" w:rsidRDefault="00F53EE6">
            <w:pPr>
              <w:pStyle w:val="Tabulkatext"/>
              <w:spacing w:after="0"/>
              <w:ind w:left="0"/>
              <w:jc w:val="both"/>
              <w:rPr>
                <w:iCs/>
                <w:color w:val="auto"/>
              </w:rPr>
            </w:pPr>
            <w:r w:rsidRPr="0008647E">
              <w:rPr>
                <w:iCs/>
                <w:color w:val="auto"/>
              </w:rPr>
              <w:t xml:space="preserve">Nabídky budou hodnoceny podle </w:t>
            </w:r>
            <w:r w:rsidR="003D36D7">
              <w:rPr>
                <w:iCs/>
                <w:color w:val="auto"/>
              </w:rPr>
              <w:t>osobohodin jednotlivých dílčích plnění</w:t>
            </w:r>
            <w:r w:rsidRPr="0008647E">
              <w:rPr>
                <w:iCs/>
                <w:color w:val="auto"/>
              </w:rPr>
              <w:t>. Nejvýhodnější nabídkou je nabídka s nejnižší nabíd</w:t>
            </w:r>
            <w:r w:rsidR="003D36D7">
              <w:rPr>
                <w:iCs/>
                <w:color w:val="auto"/>
              </w:rPr>
              <w:t xml:space="preserve">kovou </w:t>
            </w:r>
            <w:r w:rsidR="00941E61">
              <w:rPr>
                <w:iCs/>
                <w:color w:val="auto"/>
              </w:rPr>
              <w:t xml:space="preserve">cenou za </w:t>
            </w:r>
            <w:r w:rsidR="003D36D7">
              <w:rPr>
                <w:iCs/>
                <w:color w:val="auto"/>
              </w:rPr>
              <w:t xml:space="preserve">osobohodinou za jednotlivé dílčí plnění. </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after="0"/>
              <w:ind w:left="0"/>
              <w:jc w:val="both"/>
              <w:rPr>
                <w:iCs/>
                <w:color w:val="auto"/>
              </w:rPr>
            </w:pPr>
            <w:r w:rsidRPr="0008647E">
              <w:rPr>
                <w:iCs/>
                <w:color w:val="auto"/>
              </w:rPr>
              <w:t>Nabídka obsahující nejnižší nabídkovou cenu obdrží 100 bodů. Každá další hodnocená nabídka obdrží počet bodů odpovídající poměru nejnižší nabídkové ceny a hodnocené nabídkové ceny vynásobeného 100.</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after="0"/>
              <w:ind w:left="0"/>
              <w:jc w:val="both"/>
              <w:rPr>
                <w:iCs/>
                <w:color w:val="auto"/>
              </w:rPr>
            </w:pPr>
            <w:r w:rsidRPr="0008647E">
              <w:rPr>
                <w:iCs/>
                <w:color w:val="auto"/>
              </w:rPr>
              <w:t>100 x (nejnižší cena / cena posuzované nabídky) x váha vyjádřená v procentech.</w:t>
            </w:r>
          </w:p>
          <w:p w:rsidRPr="0008647E" w:rsidR="00F53EE6" w:rsidP="00F53EE6" w:rsidRDefault="00F53EE6">
            <w:pPr>
              <w:pStyle w:val="Tabulkatext"/>
              <w:spacing w:before="0" w:after="0"/>
              <w:jc w:val="both"/>
              <w:rPr>
                <w:iCs/>
                <w:color w:val="auto"/>
              </w:rPr>
            </w:pPr>
          </w:p>
          <w:p w:rsidRPr="0008647E" w:rsidR="00F53EE6" w:rsidP="00F53EE6" w:rsidRDefault="00F53EE6">
            <w:pPr>
              <w:pStyle w:val="Tabulkatext"/>
              <w:spacing w:before="0" w:after="0"/>
              <w:ind w:left="0"/>
              <w:jc w:val="both"/>
              <w:rPr>
                <w:b/>
                <w:iCs/>
                <w:color w:val="auto"/>
              </w:rPr>
            </w:pPr>
            <w:r w:rsidRPr="0008647E">
              <w:rPr>
                <w:b/>
                <w:iCs/>
                <w:color w:val="auto"/>
              </w:rPr>
              <w:t>Sestavení celkového pořadí</w:t>
            </w:r>
          </w:p>
          <w:p w:rsidRPr="0008647E" w:rsidR="00F53EE6" w:rsidP="00F53EE6" w:rsidRDefault="00F53EE6">
            <w:pPr>
              <w:pStyle w:val="Tabulkatext"/>
              <w:spacing w:before="0" w:after="0"/>
              <w:ind w:left="0"/>
              <w:jc w:val="both"/>
              <w:rPr>
                <w:iCs/>
                <w:color w:val="auto"/>
              </w:rPr>
            </w:pPr>
            <w:r w:rsidRPr="0008647E">
              <w:rPr>
                <w:iCs/>
                <w:color w:val="auto"/>
              </w:rPr>
              <w:t>Na základě výsledných hodnot u jednotlivých nabídek hodnotící komise stanoví výsledné pořadí. Vítěznou se stane ta nabídka, která dostane nejvyšší počet bodů.</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ind w:left="0"/>
              <w:jc w:val="both"/>
              <w:rPr>
                <w:iCs/>
                <w:color w:val="auto"/>
              </w:rPr>
            </w:pPr>
            <w:r w:rsidRPr="0008647E">
              <w:rPr>
                <w:iCs/>
                <w:color w:val="auto"/>
              </w:rPr>
              <w:t>Hodnocení nabídek v rámci daného kritéria proběhne v souladu s pravidly uvedenými v Obecné části pravidel pro žadatele a příjemce v rámci Operačního programu zaměstnanost v kapitole Pravidla pro zadávání zakázek.</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b/>
                <w:bCs/>
              </w:rPr>
            </w:pPr>
            <w:r>
              <w:rPr>
                <w:b/>
                <w:bCs/>
              </w:rPr>
              <w:lastRenderedPageBreak/>
              <w:t>P</w:t>
            </w:r>
            <w:r w:rsidRPr="00E50090">
              <w:rPr>
                <w:b/>
                <w:bCs/>
              </w:rPr>
              <w:t>ožadavky na prokázání kvalifikace dodavatele</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604B1" w:rsidR="00F53EE6" w:rsidP="00F53EE6" w:rsidRDefault="00F53EE6">
            <w:pPr>
              <w:pStyle w:val="Tabulkatext"/>
              <w:spacing w:after="0"/>
              <w:ind w:left="0"/>
              <w:jc w:val="both"/>
              <w:rPr>
                <w:color w:val="000000" w:themeColor="text1"/>
              </w:rPr>
            </w:pPr>
            <w:r w:rsidRPr="00F604B1">
              <w:rPr>
                <w:color w:val="000000" w:themeColor="text1"/>
              </w:rPr>
              <w:t>Zadavatel požaduje, aby uchazeč prokázal splnění kvalifikace v tomto rozsahu:</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numPr>
                <w:ilvl w:val="0"/>
                <w:numId w:val="28"/>
              </w:numPr>
              <w:spacing w:before="0" w:after="0"/>
              <w:jc w:val="both"/>
              <w:rPr>
                <w:color w:val="000000" w:themeColor="text1"/>
              </w:rPr>
            </w:pPr>
            <w:r w:rsidRPr="00F604B1">
              <w:rPr>
                <w:color w:val="000000" w:themeColor="text1"/>
              </w:rPr>
              <w:t>základní způsobilost;</w:t>
            </w:r>
          </w:p>
          <w:p w:rsidRPr="00F604B1" w:rsidR="00F53EE6" w:rsidP="00F53EE6" w:rsidRDefault="00F53EE6">
            <w:pPr>
              <w:pStyle w:val="Tabulkatext"/>
              <w:numPr>
                <w:ilvl w:val="0"/>
                <w:numId w:val="28"/>
              </w:numPr>
              <w:spacing w:before="0" w:after="0"/>
              <w:jc w:val="both"/>
              <w:rPr>
                <w:color w:val="000000" w:themeColor="text1"/>
              </w:rPr>
            </w:pPr>
            <w:r w:rsidRPr="00F604B1">
              <w:rPr>
                <w:color w:val="000000" w:themeColor="text1"/>
              </w:rPr>
              <w:t>profesní způsobilost;</w:t>
            </w:r>
          </w:p>
          <w:p w:rsidRPr="00F604B1" w:rsidR="00F53EE6" w:rsidP="00F53EE6" w:rsidRDefault="00F53EE6">
            <w:pPr>
              <w:pStyle w:val="Tabulkatext"/>
              <w:spacing w:before="0" w:after="0"/>
              <w:jc w:val="both"/>
              <w:rPr>
                <w:color w:val="000000" w:themeColor="text1"/>
              </w:rPr>
            </w:pPr>
          </w:p>
          <w:p w:rsidRPr="00F604B1" w:rsidR="00F53EE6" w:rsidP="00F53EE6" w:rsidRDefault="00F53EE6">
            <w:pPr>
              <w:pStyle w:val="Tabulkatext"/>
              <w:spacing w:before="0" w:after="0"/>
              <w:ind w:left="0"/>
              <w:jc w:val="both"/>
              <w:rPr>
                <w:b/>
                <w:color w:val="000000" w:themeColor="text1"/>
              </w:rPr>
            </w:pPr>
            <w:r w:rsidRPr="00F604B1">
              <w:rPr>
                <w:b/>
                <w:color w:val="000000" w:themeColor="text1"/>
              </w:rPr>
              <w:t>Nabídka uchazeče nesplňujícího způsobilost bude vyloučena.</w:t>
            </w:r>
          </w:p>
          <w:p w:rsidRPr="00F604B1" w:rsidR="00F53EE6" w:rsidP="00F53EE6" w:rsidRDefault="00F53EE6">
            <w:pPr>
              <w:pStyle w:val="Tabulkatext"/>
              <w:spacing w:before="0" w:after="0"/>
              <w:ind w:left="0"/>
              <w:jc w:val="both"/>
              <w:rPr>
                <w:b/>
                <w:color w:val="000000" w:themeColor="text1"/>
              </w:rPr>
            </w:pPr>
          </w:p>
          <w:p w:rsidRPr="00F604B1" w:rsidR="00F53EE6" w:rsidP="00F53EE6" w:rsidRDefault="00F53EE6">
            <w:pPr>
              <w:pStyle w:val="Tabulkatext"/>
              <w:numPr>
                <w:ilvl w:val="0"/>
                <w:numId w:val="30"/>
              </w:numPr>
              <w:spacing w:before="0" w:after="0"/>
              <w:jc w:val="both"/>
              <w:rPr>
                <w:b/>
                <w:color w:val="000000" w:themeColor="text1"/>
              </w:rPr>
            </w:pPr>
            <w:r w:rsidRPr="00F604B1">
              <w:rPr>
                <w:b/>
                <w:color w:val="000000" w:themeColor="text1"/>
              </w:rPr>
              <w:t xml:space="preserve"> Základní způsobilost</w:t>
            </w:r>
          </w:p>
          <w:p w:rsidRPr="00F604B1" w:rsidR="00F53EE6" w:rsidP="00F53EE6" w:rsidRDefault="00F53EE6">
            <w:pPr>
              <w:pStyle w:val="Tabulkatext"/>
              <w:spacing w:before="0" w:after="0"/>
              <w:ind w:left="0"/>
              <w:jc w:val="both"/>
              <w:rPr>
                <w:b/>
                <w:color w:val="000000" w:themeColor="text1"/>
              </w:rPr>
            </w:pPr>
          </w:p>
          <w:p w:rsidR="000D381B" w:rsidP="000D381B" w:rsidRDefault="000D381B">
            <w:pPr>
              <w:pStyle w:val="l6"/>
              <w:spacing w:before="0" w:beforeAutospacing="false" w:after="0" w:afterAutospacing="false"/>
              <w:jc w:val="both"/>
              <w:rPr>
                <w:rFonts w:ascii="Arial" w:hAnsi="Arial" w:cs="Arial"/>
                <w:color w:val="000000"/>
                <w:sz w:val="20"/>
                <w:szCs w:val="20"/>
              </w:rPr>
            </w:pPr>
            <w:r>
              <w:rPr>
                <w:rFonts w:ascii="Arial" w:hAnsi="Arial" w:cs="Arial"/>
                <w:color w:val="000000"/>
                <w:sz w:val="20"/>
                <w:szCs w:val="20"/>
              </w:rPr>
              <w:t xml:space="preserve">Způsobilým </w:t>
            </w:r>
            <w:r w:rsidR="00315070">
              <w:rPr>
                <w:rFonts w:ascii="Arial" w:hAnsi="Arial" w:cs="Arial"/>
                <w:color w:val="000000"/>
                <w:sz w:val="20"/>
                <w:szCs w:val="20"/>
              </w:rPr>
              <w:t>je</w:t>
            </w:r>
            <w:r>
              <w:rPr>
                <w:rFonts w:ascii="Arial" w:hAnsi="Arial" w:cs="Arial"/>
                <w:color w:val="000000"/>
                <w:sz w:val="20"/>
                <w:szCs w:val="20"/>
              </w:rPr>
              <w:t xml:space="preserve"> dodavatel, který</w:t>
            </w:r>
          </w:p>
          <w:p w:rsidR="00F52B6D" w:rsidP="000D381B" w:rsidRDefault="00F52B6D">
            <w:pPr>
              <w:pStyle w:val="l6"/>
              <w:spacing w:before="0" w:beforeAutospacing="false" w:after="0" w:afterAutospacing="false"/>
              <w:jc w:val="both"/>
              <w:rPr>
                <w:rFonts w:ascii="Arial" w:hAnsi="Arial" w:cs="Arial"/>
                <w:color w:val="000000"/>
                <w:sz w:val="20"/>
                <w:szCs w:val="20"/>
              </w:rPr>
            </w:pP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a)</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b)</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v evidenci daní zachycen splatný daňový nedoplatek,</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c)</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splatný nedoplatek na pojistném nebo na penále na veřejné zdravotní pojištění,</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d)</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splatný nedoplatek na pojistném nebo na penále na sociální zabezpečení a příspěvku na státní politiku zaměstnanosti,</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e)</w:t>
            </w:r>
            <w:r>
              <w:rPr>
                <w:rFonts w:ascii="Arial" w:hAnsi="Arial" w:cs="Arial"/>
                <w:color w:val="000000"/>
                <w:sz w:val="20"/>
                <w:szCs w:val="20"/>
              </w:rPr>
              <w:t> </w:t>
            </w:r>
            <w:r w:rsidR="00315070">
              <w:rPr>
                <w:rFonts w:ascii="Arial" w:hAnsi="Arial" w:cs="Arial"/>
                <w:color w:val="000000"/>
                <w:sz w:val="20"/>
                <w:szCs w:val="20"/>
              </w:rPr>
              <w:t>není</w:t>
            </w:r>
            <w:r>
              <w:rPr>
                <w:rFonts w:ascii="Arial" w:hAnsi="Arial" w:cs="Arial"/>
                <w:color w:val="000000"/>
                <w:sz w:val="20"/>
                <w:szCs w:val="20"/>
              </w:rPr>
              <w:t xml:space="preserve"> v likvidaci, proti němuž </w:t>
            </w:r>
            <w:r w:rsidR="00612E53">
              <w:rPr>
                <w:rFonts w:ascii="Arial" w:hAnsi="Arial" w:cs="Arial"/>
                <w:color w:val="000000"/>
                <w:sz w:val="20"/>
                <w:szCs w:val="20"/>
              </w:rPr>
              <w:t>ne</w:t>
            </w:r>
            <w:r>
              <w:rPr>
                <w:rFonts w:ascii="Arial" w:hAnsi="Arial" w:cs="Arial"/>
                <w:color w:val="000000"/>
                <w:sz w:val="20"/>
                <w:szCs w:val="20"/>
              </w:rPr>
              <w:t xml:space="preserve">bylo vydáno rozhodnutí o úpadku, vůči němuž </w:t>
            </w:r>
            <w:r w:rsidR="00612E53">
              <w:rPr>
                <w:rFonts w:ascii="Arial" w:hAnsi="Arial" w:cs="Arial"/>
                <w:color w:val="000000"/>
                <w:sz w:val="20"/>
                <w:szCs w:val="20"/>
              </w:rPr>
              <w:t>ne</w:t>
            </w:r>
            <w:r>
              <w:rPr>
                <w:rFonts w:ascii="Arial" w:hAnsi="Arial" w:cs="Arial"/>
                <w:color w:val="000000"/>
                <w:sz w:val="20"/>
                <w:szCs w:val="20"/>
              </w:rPr>
              <w:t>byla nařízena nucená správa podle jiného právního předpisu</w:t>
            </w:r>
            <w:r w:rsidR="00F52B6D">
              <w:rPr>
                <w:rFonts w:ascii="Arial" w:hAnsi="Arial" w:cs="Arial"/>
                <w:color w:val="000000"/>
                <w:sz w:val="20"/>
                <w:szCs w:val="20"/>
              </w:rPr>
              <w:t xml:space="preserve"> </w:t>
            </w:r>
            <w:r>
              <w:rPr>
                <w:rFonts w:ascii="Arial" w:hAnsi="Arial" w:cs="Arial"/>
                <w:color w:val="000000"/>
                <w:sz w:val="20"/>
                <w:szCs w:val="20"/>
              </w:rPr>
              <w:t>nebo v obdobné situaci podle právního řádu země sídla dodavatele.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 xml:space="preserve">Uchazeč prokáže splnění základní způsobilosti čestným prohlášením uchazeče, ve kterém bude uvedeno, že uchazeč všechny výše uvedené základní způsobilosti požadované zadavatelem splňuje. Uchazeč může použít vzor čestného prohlášení, který je Přílohou č. </w:t>
            </w:r>
            <w:r w:rsidRPr="00F604B1" w:rsidR="00F604B1">
              <w:rPr>
                <w:color w:val="000000" w:themeColor="text1"/>
              </w:rPr>
              <w:t>2</w:t>
            </w:r>
            <w:r w:rsidRPr="00F604B1">
              <w:rPr>
                <w:color w:val="000000" w:themeColor="text1"/>
              </w:rPr>
              <w:t xml:space="preserve"> této zadávací dokumentace. Toto čestné prohlášení musí být opatřeno podpisem uchazeče nebo osoby oprávněné jednat za uchazeče.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numPr>
                <w:ilvl w:val="0"/>
                <w:numId w:val="30"/>
              </w:numPr>
              <w:spacing w:before="0" w:after="0"/>
              <w:jc w:val="both"/>
              <w:rPr>
                <w:b/>
                <w:color w:val="000000" w:themeColor="text1"/>
              </w:rPr>
            </w:pPr>
            <w:r w:rsidRPr="00F604B1">
              <w:rPr>
                <w:b/>
                <w:color w:val="000000" w:themeColor="text1"/>
              </w:rPr>
              <w:t>Profesní způsobilost</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Profesní způsobilost splňuje uchazeč:</w:t>
            </w:r>
          </w:p>
          <w:p w:rsidRPr="00F604B1" w:rsidR="00F53EE6" w:rsidP="00F53EE6" w:rsidRDefault="00F53EE6">
            <w:pPr>
              <w:pStyle w:val="Tabulkatext"/>
              <w:numPr>
                <w:ilvl w:val="1"/>
                <w:numId w:val="31"/>
              </w:numPr>
              <w:spacing w:before="0" w:after="0"/>
              <w:jc w:val="both"/>
              <w:rPr>
                <w:color w:val="000000" w:themeColor="text1"/>
              </w:rPr>
            </w:pPr>
            <w:r w:rsidRPr="00F604B1">
              <w:rPr>
                <w:color w:val="000000" w:themeColor="text1"/>
              </w:rPr>
              <w:t>který předloží výpis z obchodního rejstříku nebo jiné obdobné evidence, pokud je v ní zapsán;</w:t>
            </w:r>
          </w:p>
          <w:p w:rsidRPr="00F604B1" w:rsidR="00F53EE6" w:rsidP="00F53EE6" w:rsidRDefault="00F53EE6">
            <w:pPr>
              <w:pStyle w:val="Tabulkatext"/>
              <w:numPr>
                <w:ilvl w:val="1"/>
                <w:numId w:val="31"/>
              </w:numPr>
              <w:spacing w:after="0"/>
              <w:jc w:val="both"/>
              <w:rPr>
                <w:color w:val="000000" w:themeColor="text1"/>
              </w:rPr>
            </w:pPr>
            <w:r w:rsidRPr="00F604B1">
              <w:rPr>
                <w:color w:val="000000" w:themeColor="text1"/>
              </w:rPr>
              <w:t>který je oprávněn k podnikání podle zvláštních právních předpisů v rozsahu odpovídajícím předmětu zakázky. Tuto profesní způsobilost uchazeč prokáže předložením kopie výpisu ze živnostenského rejstříku nebo kopii živnostenského listu či koncese.</w:t>
            </w:r>
          </w:p>
          <w:p w:rsidR="00F53EE6" w:rsidP="00F53EE6" w:rsidRDefault="00F53EE6">
            <w:pPr>
              <w:pStyle w:val="Tabulkatext"/>
              <w:spacing w:before="0" w:after="0"/>
              <w:ind w:left="0"/>
              <w:jc w:val="both"/>
              <w:rPr>
                <w:color w:val="000000" w:themeColor="text1"/>
              </w:rPr>
            </w:pPr>
          </w:p>
          <w:p w:rsidRPr="00C40559" w:rsidR="003D4F87" w:rsidP="003D4F87" w:rsidRDefault="003D4F87">
            <w:pPr>
              <w:pStyle w:val="Tabulkatext"/>
              <w:numPr>
                <w:ilvl w:val="0"/>
                <w:numId w:val="30"/>
              </w:numPr>
              <w:spacing w:before="0" w:after="0"/>
              <w:jc w:val="both"/>
              <w:rPr>
                <w:b/>
                <w:bCs/>
                <w:color w:val="000000" w:themeColor="text1"/>
              </w:rPr>
            </w:pPr>
            <w:r w:rsidRPr="00C40559">
              <w:rPr>
                <w:b/>
                <w:bCs/>
                <w:color w:val="000000" w:themeColor="text1"/>
              </w:rPr>
              <w:t>Technické kvalifikační předpoklady</w:t>
            </w:r>
          </w:p>
          <w:p w:rsidR="003D36D7" w:rsidP="003D36D7" w:rsidRDefault="003D36D7">
            <w:pPr>
              <w:pStyle w:val="Tabulkatext"/>
              <w:spacing w:before="0" w:after="0"/>
              <w:jc w:val="both"/>
              <w:rPr>
                <w:color w:val="000000" w:themeColor="text1"/>
              </w:rPr>
            </w:pPr>
            <w:r w:rsidRPr="00C40559">
              <w:rPr>
                <w:color w:val="000000" w:themeColor="text1"/>
              </w:rPr>
              <w:t>Seznam významných služeb poskytnutých za poslední 3 roky před zahájením výběrového řízení včetně uvedení ceny a doby jejich poskytnutí a identifikace objednatele. Minimální úroveň pro splnění kvalifikace je stanoven</w:t>
            </w:r>
            <w:r w:rsidR="00C40559">
              <w:rPr>
                <w:color w:val="000000" w:themeColor="text1"/>
              </w:rPr>
              <w:t>a</w:t>
            </w:r>
            <w:r w:rsidRPr="00C40559">
              <w:rPr>
                <w:color w:val="000000" w:themeColor="text1"/>
              </w:rPr>
              <w:t xml:space="preserve"> na předložení alespoň 2 služeb</w:t>
            </w:r>
            <w:r w:rsidRPr="00C40559" w:rsidR="00C40559">
              <w:rPr>
                <w:color w:val="000000" w:themeColor="text1"/>
              </w:rPr>
              <w:t xml:space="preserve"> (souboru služeb) obdobného charakteru jako předmět zakázk</w:t>
            </w:r>
            <w:r w:rsidR="00C40559">
              <w:rPr>
                <w:color w:val="000000" w:themeColor="text1"/>
              </w:rPr>
              <w:t>y v minimální hodnotě:</w:t>
            </w:r>
          </w:p>
          <w:p w:rsidR="00C40559" w:rsidP="00C40559" w:rsidRDefault="00C40559">
            <w:pPr>
              <w:pStyle w:val="Tabulkatext"/>
              <w:spacing w:before="0" w:after="0"/>
              <w:jc w:val="both"/>
              <w:rPr>
                <w:color w:val="000000" w:themeColor="text1"/>
              </w:rPr>
            </w:pPr>
            <w:r>
              <w:rPr>
                <w:color w:val="000000" w:themeColor="text1"/>
              </w:rPr>
              <w:t>Dílčí plnění č. 1 - 20 000,- bez DPH</w:t>
            </w:r>
          </w:p>
          <w:p w:rsidR="00C40559" w:rsidP="003D36D7" w:rsidRDefault="00C40559">
            <w:pPr>
              <w:pStyle w:val="Tabulkatext"/>
              <w:spacing w:before="0" w:after="0"/>
              <w:jc w:val="both"/>
              <w:rPr>
                <w:color w:val="000000" w:themeColor="text1"/>
              </w:rPr>
            </w:pPr>
            <w:r>
              <w:rPr>
                <w:color w:val="000000" w:themeColor="text1"/>
              </w:rPr>
              <w:t>Dílčí plnění č. 2 – 200 000,- bez DPH</w:t>
            </w:r>
          </w:p>
          <w:p w:rsidR="00C40559" w:rsidP="003D36D7" w:rsidRDefault="00C40559">
            <w:pPr>
              <w:pStyle w:val="Tabulkatext"/>
              <w:spacing w:before="0" w:after="0"/>
              <w:jc w:val="both"/>
              <w:rPr>
                <w:color w:val="000000" w:themeColor="text1"/>
              </w:rPr>
            </w:pPr>
            <w:r>
              <w:rPr>
                <w:color w:val="000000" w:themeColor="text1"/>
              </w:rPr>
              <w:t xml:space="preserve">Dílčí plnění č. 3 – </w:t>
            </w:r>
            <w:r w:rsidR="00941E61">
              <w:rPr>
                <w:color w:val="000000" w:themeColor="text1"/>
              </w:rPr>
              <w:t>2</w:t>
            </w:r>
            <w:r>
              <w:rPr>
                <w:color w:val="000000" w:themeColor="text1"/>
              </w:rPr>
              <w:t>00 000,- bez DPH</w:t>
            </w:r>
          </w:p>
          <w:p w:rsidRPr="00C40559" w:rsidR="00C40559" w:rsidP="003D36D7" w:rsidRDefault="00C40559">
            <w:pPr>
              <w:pStyle w:val="Tabulkatext"/>
              <w:spacing w:before="0" w:after="0"/>
              <w:jc w:val="both"/>
              <w:rPr>
                <w:color w:val="000000" w:themeColor="text1"/>
              </w:rPr>
            </w:pPr>
            <w:r>
              <w:rPr>
                <w:color w:val="000000" w:themeColor="text1"/>
              </w:rPr>
              <w:t xml:space="preserve">Přehled realizovaných zakázek dle výše uvedeného dodavatel doplní do nabídky. </w:t>
            </w:r>
          </w:p>
          <w:p w:rsidR="003D4F87" w:rsidP="003D4F87" w:rsidRDefault="003D4F87">
            <w:pPr>
              <w:pStyle w:val="Tabulkatext"/>
              <w:spacing w:before="0" w:after="0"/>
              <w:jc w:val="both"/>
              <w:rPr>
                <w:b/>
                <w:bCs/>
                <w:color w:val="000000" w:themeColor="text1"/>
              </w:rPr>
            </w:pPr>
          </w:p>
          <w:p w:rsidRPr="003D4F87" w:rsidR="003D4F87" w:rsidP="003D4F87" w:rsidRDefault="003D4F87">
            <w:pPr>
              <w:pStyle w:val="Tabulkatext"/>
              <w:spacing w:before="0" w:after="0"/>
              <w:jc w:val="both"/>
              <w:rPr>
                <w:color w:val="000000" w:themeColor="text1"/>
              </w:rPr>
            </w:pPr>
          </w:p>
          <w:p w:rsidRPr="00F604B1" w:rsidR="00F53EE6" w:rsidP="00F53EE6" w:rsidRDefault="00F53EE6">
            <w:pPr>
              <w:pStyle w:val="Tabulkatext"/>
              <w:spacing w:before="0" w:after="0"/>
              <w:ind w:left="0"/>
              <w:jc w:val="both"/>
              <w:rPr>
                <w:b/>
                <w:color w:val="000000" w:themeColor="text1"/>
              </w:rPr>
            </w:pPr>
            <w:r w:rsidRPr="00F604B1">
              <w:rPr>
                <w:b/>
                <w:color w:val="000000" w:themeColor="text1"/>
              </w:rPr>
              <w:t>Společná ustanovení ke způsobilosti</w:t>
            </w:r>
          </w:p>
          <w:p w:rsidRPr="00F604B1" w:rsidR="00F53EE6" w:rsidP="00F53EE6" w:rsidRDefault="00F53EE6">
            <w:pPr>
              <w:pStyle w:val="Tabulkatext"/>
              <w:spacing w:before="0" w:after="0"/>
              <w:ind w:left="0"/>
              <w:jc w:val="both"/>
              <w:rPr>
                <w:b/>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lastRenderedPageBreak/>
              <w:t>Předpokladem pro posouzení a hodnocení nabídky uchazeče je splnění způsobilosti. V případě nesplnění kteréhokoliv kritéria nebo nesplnění povinnosti oznámení změn v kvalifikaci (viz níže) bude uchazeč vyloučen ze zadávacího řízení. Zadavatel má právo vyžádat si písemné objasnění předložených informací či dokladů nebo předložení dalších dodatečných informací či dokladů a písemného vysvětlení nabídky.</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Uchazeč prokáže splnění způsobilosti ve všech případech příslušnými doklady předloženými v prostých kopiích.</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Zadavatel může před uzavřením smlouvy požadovat od vybraného uchazeče předložení originálů nebo ověřených kopií dokladů prokazujících splnění způsobilosti.</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Zadavatel si vyhrazuje právo ověřit údaje a informace uvedené v nabídce uchazeče u třetích osob, uchazeč je povinen zadavatel v tomto poskytnout potřebnou součinnost.</w:t>
            </w:r>
          </w:p>
          <w:p w:rsidRPr="00F604B1" w:rsidR="00F53EE6" w:rsidP="00F53EE6" w:rsidRDefault="00F53EE6">
            <w:pPr>
              <w:pStyle w:val="Tabulkatext"/>
              <w:spacing w:before="0" w:after="0"/>
              <w:ind w:left="0"/>
              <w:jc w:val="both"/>
              <w:rPr>
                <w:color w:val="000000" w:themeColor="text1"/>
              </w:rPr>
            </w:pPr>
          </w:p>
          <w:p w:rsidR="00F53EE6" w:rsidP="00F53EE6" w:rsidRDefault="004863ED">
            <w:pPr>
              <w:pStyle w:val="Tabulkatext"/>
              <w:spacing w:before="0" w:after="0"/>
              <w:ind w:left="0"/>
              <w:jc w:val="both"/>
              <w:rPr>
                <w:rFonts w:ascii="Arial" w:hAnsi="Arial" w:cs="Arial"/>
                <w:color w:val="000000"/>
                <w:szCs w:val="20"/>
              </w:rPr>
            </w:pPr>
            <w:r>
              <w:rPr>
                <w:rFonts w:ascii="Arial" w:hAnsi="Arial" w:cs="Arial"/>
                <w:color w:val="000000"/>
                <w:szCs w:val="20"/>
              </w:rPr>
              <w:t>Doklady prokazující základní způsobilost podle § 74 ZZVZ a profesní způsobilost podle § 77 odst. 1 ZZVZ musí prokazovat splnění požadovaného kritéria způsobilosti nejpozději v době 3 měsíců přede dnem zahájení zadávacího řízení.</w:t>
            </w:r>
          </w:p>
          <w:p w:rsidRPr="00F604B1" w:rsidR="004863ED" w:rsidP="00F53EE6" w:rsidRDefault="004863ED">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Pokud do doby rozhodnutí o výběru nejvhodnější nabídky přestane uchazeč splňovat způsobilost, je uchazeč povinen nejpozději do 7 pracovních dnů tuto skutečnost zadavateli písemně oznámit. Uchazeč je povinen předložit potřebné dokumenty prokazující splnění způsobilosti v plném rozsahu do 10 pracovních dnů od oznámení této skutečnosti zadavateli.</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ind w:left="0"/>
              <w:jc w:val="both"/>
              <w:rPr>
                <w:color w:val="000000" w:themeColor="text1"/>
              </w:rPr>
            </w:pPr>
            <w:r w:rsidRPr="00F604B1">
              <w:rPr>
                <w:color w:val="000000" w:themeColor="text1"/>
              </w:rPr>
              <w:t>Povinnost připojit k dokladům úředně ověřený překlad do českého jazyka se nevztahuje na doklady ve slovenském jazyce.</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i/>
              </w:rPr>
            </w:pPr>
            <w:r w:rsidRPr="00E50090">
              <w:rPr>
                <w:b/>
                <w:bCs/>
              </w:rPr>
              <w:lastRenderedPageBreak/>
              <w:t>Podmínky a požadavky na zpracování nabídky</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color w:val="auto"/>
              </w:rPr>
            </w:pPr>
            <w:r w:rsidRPr="0008647E">
              <w:rPr>
                <w:color w:val="auto"/>
              </w:rPr>
              <w:t>Nabídka bude zpracována v českém jazyce.</w:t>
            </w:r>
          </w:p>
          <w:p w:rsidRPr="0008647E" w:rsidR="00F53EE6" w:rsidP="00F53EE6" w:rsidRDefault="00F53EE6">
            <w:pPr>
              <w:pStyle w:val="Tabulkatext"/>
              <w:spacing w:before="0" w:after="0"/>
              <w:ind w:left="0"/>
              <w:jc w:val="both"/>
              <w:rPr>
                <w:color w:val="auto"/>
              </w:rPr>
            </w:pPr>
          </w:p>
          <w:p w:rsidR="00F53EE6" w:rsidP="00F53EE6" w:rsidRDefault="00F53EE6">
            <w:pPr>
              <w:pStyle w:val="Tabulkatext"/>
              <w:spacing w:before="0" w:after="0"/>
              <w:ind w:left="0"/>
              <w:jc w:val="both"/>
              <w:rPr>
                <w:color w:val="auto"/>
              </w:rPr>
            </w:pPr>
            <w:r w:rsidRPr="0008647E">
              <w:rPr>
                <w:color w:val="auto"/>
              </w:rPr>
              <w:t>Nabídka bude řádně čitelná, bez škrtů a přepisů.</w:t>
            </w:r>
          </w:p>
          <w:p w:rsidR="00BE0256" w:rsidP="00F53EE6" w:rsidRDefault="00BE0256">
            <w:pPr>
              <w:pStyle w:val="Tabulkatext"/>
              <w:spacing w:before="0" w:after="0"/>
              <w:ind w:left="0"/>
              <w:jc w:val="both"/>
              <w:rPr>
                <w:color w:val="auto"/>
              </w:rPr>
            </w:pPr>
          </w:p>
          <w:p w:rsidRPr="0008647E" w:rsidR="00BE0256" w:rsidP="00F53EE6" w:rsidRDefault="00BE0256">
            <w:pPr>
              <w:pStyle w:val="Tabulkatext"/>
              <w:spacing w:before="0" w:after="0"/>
              <w:ind w:left="0"/>
              <w:jc w:val="both"/>
              <w:rPr>
                <w:color w:val="auto"/>
              </w:rPr>
            </w:pPr>
            <w:r>
              <w:rPr>
                <w:color w:val="auto"/>
              </w:rPr>
              <w:t xml:space="preserve">Z nabídky bude jasně patrné, kterého dílčího plnění se nabídka týká – dodavatel dílčí plnění do nabídky označí. </w:t>
            </w:r>
          </w:p>
          <w:p w:rsidRPr="0008647E" w:rsidR="00F53EE6" w:rsidP="00F53EE6" w:rsidRDefault="00F53EE6">
            <w:pPr>
              <w:pStyle w:val="Tabulkatext"/>
              <w:spacing w:before="0" w:after="0"/>
              <w:ind w:left="0"/>
              <w:jc w:val="both"/>
              <w:rPr>
                <w:color w:val="auto"/>
              </w:rPr>
            </w:pPr>
          </w:p>
          <w:p w:rsidRPr="00C40559" w:rsidR="00F53EE6" w:rsidP="00F53EE6" w:rsidRDefault="00F53EE6">
            <w:pPr>
              <w:pStyle w:val="Tabulkatext"/>
              <w:spacing w:before="0"/>
              <w:ind w:left="0"/>
              <w:jc w:val="both"/>
              <w:rPr>
                <w:color w:val="000000" w:themeColor="text1"/>
              </w:rPr>
            </w:pPr>
            <w:r w:rsidRPr="00C40559">
              <w:rPr>
                <w:color w:val="000000" w:themeColor="text1"/>
              </w:rPr>
              <w:t>Nabídka uchazeče musí plně respektovat podmínky stanovené ve výzvě k podání nabídek.</w:t>
            </w:r>
          </w:p>
          <w:p w:rsidRPr="00C40559" w:rsidR="00F53EE6" w:rsidP="00F53EE6" w:rsidRDefault="00F53EE6">
            <w:pPr>
              <w:pStyle w:val="Tabulkatext"/>
              <w:spacing w:after="0"/>
              <w:ind w:left="0"/>
              <w:jc w:val="both"/>
              <w:rPr>
                <w:color w:val="000000" w:themeColor="text1"/>
              </w:rPr>
            </w:pPr>
            <w:r w:rsidRPr="00C40559">
              <w:rPr>
                <w:color w:val="000000" w:themeColor="text1"/>
              </w:rPr>
              <w:t xml:space="preserve">Nabídka uchazeče musí obsahovat všechny požadavky uvedené v této výzvě k podání nabídek, není přípustné nabídnout pouze </w:t>
            </w:r>
            <w:r w:rsidRPr="00C40559" w:rsidR="003D4F87">
              <w:rPr>
                <w:color w:val="000000" w:themeColor="text1"/>
              </w:rPr>
              <w:t xml:space="preserve">část z dílčího plnění. Je třeba zpracovat nabídku na </w:t>
            </w:r>
            <w:r w:rsidRPr="00C40559" w:rsidR="00C40559">
              <w:rPr>
                <w:color w:val="000000" w:themeColor="text1"/>
              </w:rPr>
              <w:t>požadované dílčí plnění.</w:t>
            </w:r>
          </w:p>
          <w:p w:rsidRPr="00C40559" w:rsidR="003D4F87" w:rsidP="00F53EE6" w:rsidRDefault="003D4F87">
            <w:pPr>
              <w:pStyle w:val="Tabulkatext"/>
              <w:spacing w:after="0"/>
              <w:ind w:left="0"/>
              <w:jc w:val="both"/>
              <w:rPr>
                <w:color w:val="000000" w:themeColor="text1"/>
              </w:rPr>
            </w:pPr>
          </w:p>
          <w:p w:rsidRPr="00C40559" w:rsidR="003D4F87" w:rsidP="00F53EE6" w:rsidRDefault="003D4F87">
            <w:pPr>
              <w:pStyle w:val="Tabulkatext"/>
              <w:spacing w:after="0"/>
              <w:ind w:left="0"/>
              <w:jc w:val="both"/>
              <w:rPr>
                <w:color w:val="000000" w:themeColor="text1"/>
              </w:rPr>
            </w:pPr>
            <w:r w:rsidRPr="00C40559">
              <w:rPr>
                <w:color w:val="000000" w:themeColor="text1"/>
              </w:rPr>
              <w:t>Každé dílčí plnění bude mít samostatnou nabídku. V rámci dílčího plnění je umožněna subdodávka.</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Uchazeč, který podal nabídku v zadávacím řízení, nesmí být současně subdodavatelem, jehož prostřednictvím jiný uchazeč v tomtéž zadávacím řízení prokazuje způsobilost.</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Zadavatel požaduje, aby nabídka uchazeče byla předložena v následující struktuře: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numPr>
                <w:ilvl w:val="0"/>
                <w:numId w:val="33"/>
              </w:numPr>
              <w:spacing w:before="0" w:after="0"/>
              <w:jc w:val="both"/>
              <w:rPr>
                <w:color w:val="auto"/>
              </w:rPr>
            </w:pPr>
            <w:r w:rsidRPr="0008647E">
              <w:rPr>
                <w:color w:val="auto"/>
              </w:rPr>
              <w:t xml:space="preserve">krycí list nabídky </w:t>
            </w:r>
            <w:r w:rsidR="00226617">
              <w:rPr>
                <w:color w:val="auto"/>
              </w:rPr>
              <w:t>(příloha č.1 ZD)</w:t>
            </w:r>
            <w:r w:rsidRPr="0008647E">
              <w:rPr>
                <w:color w:val="auto"/>
              </w:rPr>
              <w:t xml:space="preserve"> s identifikačními údaji uchazeče a uvedením nabídkové ceny za zakázku</w:t>
            </w:r>
            <w:r w:rsidR="009B01D1">
              <w:rPr>
                <w:color w:val="auto"/>
              </w:rPr>
              <w:t>, který bude podepsán dodavatelem, případně osobou oprávněnou jednat za dodavatele;</w:t>
            </w:r>
          </w:p>
          <w:p w:rsidR="00F53EE6" w:rsidP="00F53EE6" w:rsidRDefault="00F53EE6">
            <w:pPr>
              <w:pStyle w:val="Tabulkatext"/>
              <w:numPr>
                <w:ilvl w:val="0"/>
                <w:numId w:val="33"/>
              </w:numPr>
              <w:spacing w:before="0" w:after="0"/>
              <w:jc w:val="both"/>
              <w:rPr>
                <w:color w:val="auto"/>
              </w:rPr>
            </w:pPr>
            <w:r w:rsidRPr="0008647E">
              <w:rPr>
                <w:color w:val="auto"/>
              </w:rPr>
              <w:t xml:space="preserve">dokumenty prokazující splnění základní </w:t>
            </w:r>
            <w:r w:rsidR="00F604B1">
              <w:rPr>
                <w:color w:val="auto"/>
              </w:rPr>
              <w:t>(</w:t>
            </w:r>
            <w:r w:rsidR="00226617">
              <w:rPr>
                <w:color w:val="auto"/>
              </w:rPr>
              <w:t>p</w:t>
            </w:r>
            <w:r w:rsidR="00F604B1">
              <w:rPr>
                <w:color w:val="auto"/>
              </w:rPr>
              <w:t>říloha č. 2</w:t>
            </w:r>
            <w:r w:rsidR="00226617">
              <w:rPr>
                <w:color w:val="auto"/>
              </w:rPr>
              <w:t xml:space="preserve"> ZD</w:t>
            </w:r>
            <w:r w:rsidR="00F604B1">
              <w:rPr>
                <w:color w:val="auto"/>
              </w:rPr>
              <w:t xml:space="preserve">) </w:t>
            </w:r>
            <w:r w:rsidRPr="0008647E">
              <w:rPr>
                <w:color w:val="auto"/>
              </w:rPr>
              <w:t>a profesní způsobilosti;</w:t>
            </w:r>
          </w:p>
          <w:p w:rsidR="009B01D1" w:rsidP="00F53EE6" w:rsidRDefault="009B01D1">
            <w:pPr>
              <w:pStyle w:val="Tabulkatext"/>
              <w:numPr>
                <w:ilvl w:val="0"/>
                <w:numId w:val="33"/>
              </w:numPr>
              <w:spacing w:before="0" w:after="0"/>
              <w:jc w:val="both"/>
              <w:rPr>
                <w:color w:val="auto"/>
              </w:rPr>
            </w:pPr>
            <w:r>
              <w:rPr>
                <w:color w:val="auto"/>
              </w:rPr>
              <w:t xml:space="preserve">seznam významných služeb </w:t>
            </w:r>
          </w:p>
          <w:p w:rsidR="009B01D1" w:rsidP="00F53EE6" w:rsidRDefault="009B01D1">
            <w:pPr>
              <w:pStyle w:val="Tabulkatext"/>
              <w:numPr>
                <w:ilvl w:val="0"/>
                <w:numId w:val="33"/>
              </w:numPr>
              <w:spacing w:before="0" w:after="0"/>
              <w:jc w:val="both"/>
              <w:rPr>
                <w:color w:val="auto"/>
              </w:rPr>
            </w:pPr>
            <w:r>
              <w:rPr>
                <w:color w:val="auto"/>
              </w:rPr>
              <w:t>Popis předmětu zakázky</w:t>
            </w:r>
            <w:r w:rsidR="00226617">
              <w:rPr>
                <w:color w:val="auto"/>
              </w:rPr>
              <w:t>, kalkulace předmětu zakázky (příloha č. 3 ZD)</w:t>
            </w:r>
          </w:p>
          <w:p w:rsidRPr="0008647E" w:rsidR="00226617" w:rsidP="00F53EE6" w:rsidRDefault="00226617">
            <w:pPr>
              <w:pStyle w:val="Tabulkatext"/>
              <w:numPr>
                <w:ilvl w:val="0"/>
                <w:numId w:val="33"/>
              </w:numPr>
              <w:spacing w:before="0" w:after="0"/>
              <w:jc w:val="both"/>
              <w:rPr>
                <w:color w:val="auto"/>
              </w:rPr>
            </w:pPr>
            <w:r>
              <w:rPr>
                <w:color w:val="auto"/>
              </w:rPr>
              <w:t>Specifikace vzdělávacích aktivit (příloha č. 4 ZD)</w:t>
            </w:r>
          </w:p>
          <w:p w:rsidRPr="0008647E" w:rsidR="00F53EE6" w:rsidP="00F53EE6" w:rsidRDefault="00F53EE6">
            <w:pPr>
              <w:pStyle w:val="Tabulkatext"/>
              <w:numPr>
                <w:ilvl w:val="0"/>
                <w:numId w:val="33"/>
              </w:numPr>
              <w:spacing w:before="0" w:after="0"/>
              <w:jc w:val="both"/>
              <w:rPr>
                <w:color w:val="auto"/>
              </w:rPr>
            </w:pPr>
            <w:r w:rsidRPr="0008647E">
              <w:rPr>
                <w:color w:val="auto"/>
              </w:rPr>
              <w:t>vyplněný návrh smlouvy</w:t>
            </w:r>
            <w:r w:rsidR="00707B85">
              <w:rPr>
                <w:color w:val="auto"/>
              </w:rPr>
              <w:t xml:space="preserve"> </w:t>
            </w:r>
            <w:r w:rsidR="004863ED">
              <w:rPr>
                <w:color w:val="auto"/>
              </w:rPr>
              <w:t>zadavatele</w:t>
            </w:r>
            <w:r w:rsidR="00226617">
              <w:rPr>
                <w:color w:val="auto"/>
              </w:rPr>
              <w:t xml:space="preserve"> (příloha č. 5 ZD)</w:t>
            </w:r>
            <w:r w:rsidRPr="0008647E">
              <w:rPr>
                <w:color w:val="auto"/>
              </w:rPr>
              <w:t>,</w:t>
            </w:r>
            <w:r w:rsidR="004863ED">
              <w:rPr>
                <w:color w:val="auto"/>
              </w:rPr>
              <w:t xml:space="preserve"> kdy uchazeč vyplní pouze žlutě označená pole</w:t>
            </w:r>
            <w:r w:rsidRPr="0008647E">
              <w:rPr>
                <w:color w:val="auto"/>
              </w:rPr>
              <w:t>. Zadavatel stanovuje, že návrh smlouvy musí být podepsán osobou oprávněnou jednat za uchazeče</w:t>
            </w:r>
            <w:r w:rsidR="00CB3AEF">
              <w:rPr>
                <w:color w:val="auto"/>
              </w:rPr>
              <w:t>, uchazeč doloží k návrhu smlouvy vlastní přílohu ke KS – Specifikaci předmětu koupě</w:t>
            </w:r>
          </w:p>
          <w:p w:rsidRPr="0008647E" w:rsidR="00F53EE6" w:rsidP="00F53EE6" w:rsidRDefault="00F53EE6">
            <w:pPr>
              <w:pStyle w:val="Tabulkatext"/>
              <w:numPr>
                <w:ilvl w:val="0"/>
                <w:numId w:val="33"/>
              </w:numPr>
              <w:spacing w:before="0" w:after="0"/>
              <w:jc w:val="both"/>
              <w:rPr>
                <w:color w:val="auto"/>
              </w:rPr>
            </w:pPr>
            <w:r w:rsidRPr="0008647E">
              <w:rPr>
                <w:color w:val="auto"/>
              </w:rPr>
              <w:lastRenderedPageBreak/>
              <w:t>ostatní údaje a dokumenty (řazení dle uvážení uchazeče).</w:t>
            </w:r>
          </w:p>
          <w:p w:rsidRPr="0008647E" w:rsidR="00F53EE6" w:rsidP="00F53EE6" w:rsidRDefault="00F53EE6">
            <w:pPr>
              <w:pStyle w:val="Tabulkatext"/>
              <w:spacing w:before="0" w:after="0"/>
              <w:ind w:left="0"/>
              <w:jc w:val="both"/>
              <w:rPr>
                <w:color w:val="auto"/>
              </w:rPr>
            </w:pPr>
          </w:p>
        </w:tc>
      </w:tr>
      <w:tr w:rsidRPr="00E50090" w:rsidR="00F53EE6" w:rsidTr="009A6B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keepNext/>
              <w:rPr>
                <w:i/>
              </w:rPr>
            </w:pPr>
            <w:r w:rsidRPr="00E50090">
              <w:rPr>
                <w:b/>
                <w:bCs/>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08647E" w:rsidR="00F53EE6" w:rsidP="00F53EE6" w:rsidRDefault="00F53EE6">
            <w:pPr>
              <w:pStyle w:val="Tabulkatext"/>
              <w:keepNext/>
              <w:spacing w:before="0" w:after="0"/>
              <w:ind w:left="0"/>
              <w:jc w:val="both"/>
              <w:rPr>
                <w:color w:val="auto"/>
              </w:rPr>
            </w:pPr>
            <w:r w:rsidRPr="0008647E">
              <w:rPr>
                <w:color w:val="auto"/>
              </w:rPr>
              <w:t xml:space="preserve">Uchazeč stanoví nabídkovou cenu </w:t>
            </w:r>
            <w:r w:rsidR="00C40559">
              <w:rPr>
                <w:color w:val="auto"/>
              </w:rPr>
              <w:t xml:space="preserve">za jednu proškolenou osobohodinu </w:t>
            </w:r>
            <w:r w:rsidRPr="00C40559">
              <w:rPr>
                <w:color w:val="000000" w:themeColor="text1"/>
              </w:rPr>
              <w:t xml:space="preserve">v souladu </w:t>
            </w:r>
            <w:r w:rsidRPr="0008647E">
              <w:rPr>
                <w:color w:val="auto"/>
              </w:rPr>
              <w:t>s výzvou k podání nabídek. Nabídková cena bude uvedena částkou v českých korunách bez DPH, výše DPH a celkovou cenou včetně DPH.</w:t>
            </w:r>
          </w:p>
          <w:p w:rsidRPr="0008647E" w:rsidR="00F53EE6" w:rsidP="00F53EE6" w:rsidRDefault="00F53EE6">
            <w:pPr>
              <w:pStyle w:val="Tabulkatext"/>
              <w:keepNext/>
              <w:spacing w:before="0" w:after="0"/>
              <w:jc w:val="both"/>
              <w:rPr>
                <w:color w:val="auto"/>
              </w:rPr>
            </w:pPr>
          </w:p>
          <w:p w:rsidR="00F53EE6" w:rsidP="00F53EE6" w:rsidRDefault="00F53EE6">
            <w:pPr>
              <w:pStyle w:val="Tabulkatext"/>
              <w:keepNext/>
              <w:spacing w:before="0" w:after="0"/>
              <w:ind w:left="0"/>
              <w:jc w:val="both"/>
              <w:rPr>
                <w:color w:val="auto"/>
              </w:rPr>
            </w:pPr>
            <w:r w:rsidRPr="0008647E">
              <w:rPr>
                <w:color w:val="auto"/>
              </w:rPr>
              <w:t>Nabídková cena bude zahrnovat veškeré náklady nezbytné k řádnému, úplnému a kvalitnímu plnění předmětu zakázky včetně všech rizik a vlivů souvisejících s plněním předmětu zakázky. Nabídková cena je konečná a není přípustné ji v průběhu realizace zakázky navyšovat.</w:t>
            </w:r>
          </w:p>
          <w:p w:rsidR="009B01D1" w:rsidP="00F53EE6" w:rsidRDefault="009B01D1">
            <w:pPr>
              <w:pStyle w:val="Tabulkatext"/>
              <w:keepNext/>
              <w:spacing w:before="0" w:after="0"/>
              <w:ind w:left="0"/>
              <w:jc w:val="both"/>
              <w:rPr>
                <w:color w:val="auto"/>
              </w:rPr>
            </w:pPr>
          </w:p>
          <w:p w:rsidRPr="0008647E" w:rsidR="009B01D1" w:rsidP="00F53EE6" w:rsidRDefault="009B01D1">
            <w:pPr>
              <w:pStyle w:val="Tabulkatext"/>
              <w:keepNext/>
              <w:spacing w:before="0" w:after="0"/>
              <w:ind w:left="0"/>
              <w:jc w:val="both"/>
              <w:rPr>
                <w:color w:val="auto"/>
              </w:rPr>
            </w:pPr>
            <w:r>
              <w:rPr>
                <w:color w:val="auto"/>
              </w:rPr>
              <w:t>Nabídková cena v krycím listu nabídky, popisu předmětu plnění, návrhu smlouvy se bude shodovat, v případě nesouladu je rozhodující nabídková cena určena v návrhu smlouvy.</w:t>
            </w:r>
          </w:p>
          <w:p w:rsidRPr="0008647E" w:rsidR="00F53EE6" w:rsidP="00F53EE6" w:rsidRDefault="00F53EE6">
            <w:pPr>
              <w:pStyle w:val="Tabulkatext"/>
              <w:keepNext/>
              <w:spacing w:before="0" w:after="0"/>
              <w:jc w:val="both"/>
              <w:rPr>
                <w:color w:val="auto"/>
              </w:rPr>
            </w:pPr>
          </w:p>
          <w:p w:rsidRPr="00C40559" w:rsidR="00F53EE6" w:rsidP="00F53EE6" w:rsidRDefault="00F53EE6">
            <w:pPr>
              <w:pStyle w:val="Tabulkatext"/>
              <w:keepNext/>
              <w:spacing w:before="0" w:after="0"/>
              <w:ind w:left="0"/>
              <w:jc w:val="both"/>
              <w:rPr>
                <w:color w:val="000000" w:themeColor="text1"/>
              </w:rPr>
            </w:pPr>
            <w:r w:rsidRPr="00C40559">
              <w:rPr>
                <w:color w:val="000000" w:themeColor="text1"/>
              </w:rPr>
              <w:t>Nabídková cena může být dále měněna pouze v souvislosti se změnou sazby DPH. V tomto případě bude nabídková cena upravenou podle výše sazeb DPH platných v době vzniku zdanitelného plnění.</w:t>
            </w:r>
          </w:p>
          <w:p w:rsidRPr="00C40559" w:rsidR="009B01D1" w:rsidP="00F53EE6" w:rsidRDefault="009B01D1">
            <w:pPr>
              <w:pStyle w:val="Tabulkatext"/>
              <w:keepNext/>
              <w:spacing w:before="0" w:after="0"/>
              <w:ind w:left="0"/>
              <w:jc w:val="both"/>
              <w:rPr>
                <w:color w:val="000000" w:themeColor="text1"/>
              </w:rPr>
            </w:pPr>
          </w:p>
          <w:p w:rsidRPr="00C40559" w:rsidR="009B01D1" w:rsidP="00F53EE6" w:rsidRDefault="009B01D1">
            <w:pPr>
              <w:pStyle w:val="Tabulkatext"/>
              <w:keepNext/>
              <w:spacing w:before="0" w:after="0"/>
              <w:ind w:left="0"/>
              <w:jc w:val="both"/>
              <w:rPr>
                <w:color w:val="000000" w:themeColor="text1"/>
              </w:rPr>
            </w:pPr>
            <w:r w:rsidRPr="00C40559">
              <w:rPr>
                <w:color w:val="000000" w:themeColor="text1"/>
              </w:rPr>
              <w:t>V nabídkové ceně budou zahrnuty veškeré náklady nutné k realizaci této zakázky</w:t>
            </w:r>
            <w:r w:rsidRPr="00C40559" w:rsidR="00C40559">
              <w:rPr>
                <w:color w:val="000000" w:themeColor="text1"/>
              </w:rPr>
              <w:t>.</w:t>
            </w:r>
          </w:p>
          <w:p w:rsidRPr="0008647E" w:rsidR="00F53EE6" w:rsidP="00F53EE6" w:rsidRDefault="00F53EE6">
            <w:pPr>
              <w:pStyle w:val="Tabulkatext"/>
              <w:keepNext/>
              <w:spacing w:before="0" w:after="0"/>
              <w:jc w:val="both"/>
              <w:rPr>
                <w:color w:val="auto"/>
              </w:rPr>
            </w:pPr>
          </w:p>
          <w:p w:rsidRPr="0008647E" w:rsidR="00F53EE6" w:rsidP="00F53EE6" w:rsidRDefault="00F53EE6">
            <w:pPr>
              <w:pStyle w:val="Tabulkatext"/>
              <w:keepNext/>
              <w:spacing w:before="0"/>
              <w:ind w:left="0"/>
              <w:jc w:val="both"/>
              <w:rPr>
                <w:color w:val="auto"/>
              </w:rPr>
            </w:pPr>
            <w:r w:rsidRPr="0008647E">
              <w:rPr>
                <w:color w:val="auto"/>
              </w:rPr>
              <w:t xml:space="preserve">Uchazeč je povinen zpracovat svou nabídkovou cenu do návrhu smlouvy. </w:t>
            </w:r>
          </w:p>
        </w:tc>
      </w:tr>
      <w:tr w:rsidRPr="00E50090" w:rsidR="00F53EE6" w:rsidTr="000F7479">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t>Požadavek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08647E" w:rsidR="00F53EE6" w:rsidP="00F53EE6" w:rsidRDefault="00F53EE6">
            <w:pPr>
              <w:pStyle w:val="Tabulkatext"/>
              <w:spacing w:after="0"/>
              <w:ind w:left="0"/>
              <w:jc w:val="both"/>
              <w:rPr>
                <w:color w:val="auto"/>
              </w:rPr>
            </w:pPr>
            <w:r w:rsidRPr="0008647E">
              <w:rPr>
                <w:color w:val="auto"/>
              </w:rPr>
              <w:t>Nabídka musí být zadavateli podána v listinné podobě v řádně uzavřené obálce označené názvem zakázky a nápisem „Neotevírat“, na níž je uvedena kontaktní adresa uchazeče.</w:t>
            </w:r>
          </w:p>
          <w:p w:rsidRPr="0008647E" w:rsidR="00F53EE6" w:rsidP="00F53EE6" w:rsidRDefault="00F53EE6">
            <w:pPr>
              <w:pStyle w:val="Tabulkatext"/>
              <w:spacing w:before="0" w:after="0"/>
              <w:jc w:val="both"/>
              <w:rPr>
                <w:color w:val="auto"/>
              </w:rPr>
            </w:pPr>
          </w:p>
          <w:p w:rsidRPr="00C40559" w:rsidR="00F53EE6" w:rsidP="00F53EE6" w:rsidRDefault="00F53EE6">
            <w:pPr>
              <w:pStyle w:val="Tabulkatext"/>
              <w:spacing w:before="0" w:after="0"/>
              <w:ind w:left="0"/>
              <w:jc w:val="both"/>
              <w:rPr>
                <w:color w:val="000000" w:themeColor="text1"/>
              </w:rPr>
            </w:pPr>
            <w:r w:rsidRPr="0008647E">
              <w:rPr>
                <w:color w:val="auto"/>
              </w:rPr>
              <w:t xml:space="preserve">Veškeré součásti nabídky musí být poskytnuty v jedné obálce. Všechny listy nabídky budou navzájem pevně spojeny či sešity tak, </w:t>
            </w:r>
            <w:r w:rsidRPr="00C40559">
              <w:rPr>
                <w:color w:val="000000" w:themeColor="text1"/>
              </w:rPr>
              <w:t>aby byly dostatečně zabezpečeny před jejich vyjmutím z</w:t>
            </w:r>
            <w:r w:rsidRPr="00C40559" w:rsidR="0020573C">
              <w:rPr>
                <w:color w:val="000000" w:themeColor="text1"/>
              </w:rPr>
              <w:t> </w:t>
            </w:r>
            <w:r w:rsidRPr="00C40559">
              <w:rPr>
                <w:color w:val="000000" w:themeColor="text1"/>
              </w:rPr>
              <w:t>nabídky</w:t>
            </w:r>
            <w:r w:rsidRPr="00C40559" w:rsidR="0020573C">
              <w:rPr>
                <w:color w:val="000000" w:themeColor="text1"/>
              </w:rPr>
              <w:t>. Nabídka bude v jednom originálním vyhotovení.</w:t>
            </w:r>
            <w:r w:rsidRPr="00C40559">
              <w:rPr>
                <w:color w:val="000000" w:themeColor="text1"/>
              </w:rPr>
              <w:t xml:space="preserve"> Uchazečem podepsané návrhy smlouvy</w:t>
            </w:r>
            <w:r w:rsidRPr="00C40559" w:rsidR="0020573C">
              <w:rPr>
                <w:color w:val="000000" w:themeColor="text1"/>
              </w:rPr>
              <w:t xml:space="preserve"> (ve dvou vyhotovení)</w:t>
            </w:r>
            <w:r w:rsidRPr="00C40559">
              <w:rPr>
                <w:color w:val="000000" w:themeColor="text1"/>
              </w:rPr>
              <w:t xml:space="preserve"> budou přiloženy zvlášť (nebudou sešity s nabídkou).</w:t>
            </w:r>
          </w:p>
          <w:p w:rsidRPr="00C40559" w:rsidR="00C40559" w:rsidP="00F53EE6" w:rsidRDefault="00C40559">
            <w:pPr>
              <w:pStyle w:val="Tabulkatext"/>
              <w:spacing w:before="0" w:after="0"/>
              <w:ind w:left="0"/>
              <w:jc w:val="both"/>
              <w:rPr>
                <w:color w:val="000000" w:themeColor="text1"/>
              </w:rPr>
            </w:pPr>
          </w:p>
          <w:p w:rsidRPr="00C40559" w:rsidR="00C40559" w:rsidP="00F53EE6" w:rsidRDefault="00C40559">
            <w:pPr>
              <w:pStyle w:val="Tabulkatext"/>
              <w:spacing w:before="0" w:after="0"/>
              <w:ind w:left="0"/>
              <w:jc w:val="both"/>
              <w:rPr>
                <w:color w:val="000000" w:themeColor="text1"/>
              </w:rPr>
            </w:pPr>
            <w:r w:rsidRPr="00C40559">
              <w:rPr>
                <w:color w:val="000000" w:themeColor="text1"/>
              </w:rPr>
              <w:t>V případě podání více nabídek do více dílčích plnění, bude smlouva ve dvou vyhotovení doložena pro každé dílčí plnění zvlášť.</w:t>
            </w:r>
          </w:p>
          <w:p w:rsidRPr="00C40559" w:rsidR="0020573C" w:rsidP="00F53EE6" w:rsidRDefault="0020573C">
            <w:pPr>
              <w:pStyle w:val="Tabulkatext"/>
              <w:spacing w:before="0" w:after="0"/>
              <w:ind w:left="0"/>
              <w:jc w:val="both"/>
              <w:rPr>
                <w:color w:val="000000" w:themeColor="text1"/>
              </w:rPr>
            </w:pPr>
          </w:p>
          <w:p w:rsidRPr="00C40559" w:rsidR="0020573C" w:rsidP="00F53EE6" w:rsidRDefault="0020573C">
            <w:pPr>
              <w:pStyle w:val="Tabulkatext"/>
              <w:spacing w:before="0" w:after="0"/>
              <w:ind w:left="0"/>
              <w:jc w:val="both"/>
              <w:rPr>
                <w:color w:val="000000" w:themeColor="text1"/>
              </w:rPr>
            </w:pPr>
            <w:r w:rsidRPr="00C40559">
              <w:rPr>
                <w:color w:val="000000" w:themeColor="text1"/>
              </w:rPr>
              <w:t>Do nabídky je zakázáno vpisovat jakékoliv dodatečné informace.</w:t>
            </w:r>
          </w:p>
          <w:p w:rsidRPr="00C40559" w:rsidR="00F53EE6" w:rsidP="00F604B1" w:rsidRDefault="00F53EE6">
            <w:pPr>
              <w:pStyle w:val="Tabulkatext"/>
              <w:spacing w:before="0" w:after="0"/>
              <w:ind w:left="0"/>
              <w:jc w:val="both"/>
              <w:rPr>
                <w:color w:val="000000" w:themeColor="text1"/>
              </w:rPr>
            </w:pPr>
          </w:p>
          <w:p w:rsidR="00F53EE6" w:rsidP="00F53EE6" w:rsidRDefault="00F53EE6">
            <w:pPr>
              <w:pStyle w:val="Tabulkatext"/>
              <w:spacing w:before="0"/>
              <w:ind w:left="0"/>
              <w:jc w:val="both"/>
              <w:rPr>
                <w:color w:val="auto"/>
              </w:rPr>
            </w:pPr>
            <w:r w:rsidRPr="00C40559">
              <w:rPr>
                <w:color w:val="000000" w:themeColor="text1"/>
              </w:rPr>
              <w:t xml:space="preserve">Veškeré doklady či prohlášení, u nichž je vyžadován podpis uchazeče, musí být podepsány statutárním zástupcem uchazeče oprávněným </w:t>
            </w:r>
            <w:r w:rsidRPr="0008647E">
              <w:rPr>
                <w:color w:val="auto"/>
              </w:rPr>
              <w:t>jednat za uchazeče dle obchodního rejstříku či obdobné evidence nebo osobou oprávněnou jednat za uchazeče. Pokud bude uchazeče zastupovat zmocněnec na základě plné moci, musí být v nabídce předložená plná moc v originále, nebo v úředně ověřené kopii.</w:t>
            </w:r>
          </w:p>
          <w:p w:rsidR="0020573C" w:rsidP="00F53EE6" w:rsidRDefault="0020573C">
            <w:pPr>
              <w:pStyle w:val="Tabulkatext"/>
              <w:spacing w:before="0"/>
              <w:ind w:left="0"/>
              <w:jc w:val="both"/>
              <w:rPr>
                <w:color w:val="auto"/>
              </w:rPr>
            </w:pPr>
          </w:p>
          <w:p w:rsidR="0020573C" w:rsidP="00F53EE6" w:rsidRDefault="0020573C">
            <w:pPr>
              <w:pStyle w:val="Tabulkatext"/>
              <w:spacing w:before="0"/>
              <w:ind w:left="0"/>
              <w:jc w:val="both"/>
              <w:rPr>
                <w:color w:val="auto"/>
              </w:rPr>
            </w:pPr>
            <w:r>
              <w:rPr>
                <w:color w:val="auto"/>
              </w:rPr>
              <w:t xml:space="preserve">Nabídky se nepodávají prostřednictvím datových schránek , nebo zasíláním do elektronické pošty zadavatele. </w:t>
            </w:r>
          </w:p>
          <w:p w:rsidR="0020573C" w:rsidP="00F53EE6" w:rsidRDefault="0020573C">
            <w:pPr>
              <w:pStyle w:val="Tabulkatext"/>
              <w:spacing w:before="0"/>
              <w:ind w:left="0"/>
              <w:jc w:val="both"/>
              <w:rPr>
                <w:color w:val="auto"/>
              </w:rPr>
            </w:pPr>
          </w:p>
          <w:p w:rsidRPr="0008647E" w:rsidR="0020573C" w:rsidP="00F53EE6" w:rsidRDefault="0020573C">
            <w:pPr>
              <w:pStyle w:val="Tabulkatext"/>
              <w:spacing w:before="0"/>
              <w:ind w:left="0"/>
              <w:jc w:val="both"/>
              <w:rPr>
                <w:color w:val="auto"/>
              </w:rPr>
            </w:pPr>
            <w:r w:rsidRPr="00C40559">
              <w:rPr>
                <w:color w:val="000000" w:themeColor="text1"/>
              </w:rPr>
              <w:lastRenderedPageBreak/>
              <w:t>Účastník podá nabídku k jednotlivému dílčímu plnění, nabídky podané jen na</w:t>
            </w:r>
            <w:r w:rsidR="00BE0256">
              <w:rPr>
                <w:color w:val="000000" w:themeColor="text1"/>
              </w:rPr>
              <w:t xml:space="preserve"> část kurzů z</w:t>
            </w:r>
            <w:r w:rsidRPr="00C40559">
              <w:rPr>
                <w:color w:val="000000" w:themeColor="text1"/>
              </w:rPr>
              <w:t xml:space="preserve"> dílčího plnění nebudou akceptovány.</w:t>
            </w:r>
            <w:r w:rsidR="00BE0256">
              <w:rPr>
                <w:color w:val="000000" w:themeColor="text1"/>
              </w:rPr>
              <w:t xml:space="preserve"> Tzn. dodavatel podá nabídku na celou část dílčího plnění.</w:t>
            </w:r>
          </w:p>
        </w:tc>
      </w:tr>
      <w:tr w:rsidRPr="00E50090" w:rsidR="00F53EE6" w:rsidTr="0040206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lastRenderedPageBreak/>
              <w:t>Požadavek na uvedení kontaktní osoby 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P="00F53EE6" w:rsidRDefault="00F53EE6">
            <w:pPr>
              <w:pStyle w:val="Tabulkatext"/>
              <w:rPr>
                <w:i/>
              </w:rPr>
            </w:pPr>
            <w:r w:rsidRPr="0008647E">
              <w:rPr>
                <w:color w:val="auto"/>
              </w:rPr>
              <w:t>Dodavatel ve své nabídce uvede kontaktní osobu ve věci zakázky, její telefon a e-mailovou adresu.</w:t>
            </w:r>
          </w:p>
        </w:tc>
      </w:tr>
      <w:tr w:rsidRPr="00E50090" w:rsidR="00F53EE6"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Del="002D0D04" w:rsidP="00F53EE6" w:rsidRDefault="00F53EE6">
            <w:pPr>
              <w:pStyle w:val="Tabulkatext"/>
              <w:rPr>
                <w:i/>
              </w:rPr>
            </w:pPr>
            <w:r w:rsidRPr="00C40559">
              <w:rPr>
                <w:color w:val="000000" w:themeColor="text1"/>
              </w:rPr>
              <w:t>Každý dodavatel může podat pouze jednu nabídku</w:t>
            </w:r>
            <w:r w:rsidRPr="00C40559" w:rsidR="0020573C">
              <w:rPr>
                <w:color w:val="000000" w:themeColor="text1"/>
              </w:rPr>
              <w:t xml:space="preserve"> na jedno dílčí plnění, tzn. pokud bude podávat nabídku na každé dílčí plnění, podá max. 3 nabídky. </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keepNext/>
              <w:rPr>
                <w:b/>
              </w:rPr>
            </w:pPr>
            <w:r>
              <w:rPr>
                <w:b/>
              </w:rPr>
              <w:t>Vysvětlení zadávacích podmínek</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F53EE6" w:rsidP="00F53EE6" w:rsidRDefault="00F53EE6">
            <w:pPr>
              <w:pStyle w:val="Tabulkatext"/>
              <w:spacing w:after="0"/>
              <w:ind w:left="0"/>
              <w:jc w:val="both"/>
              <w:rPr>
                <w:color w:val="auto"/>
              </w:rPr>
            </w:pPr>
            <w:r w:rsidRPr="0008647E">
              <w:rPr>
                <w:color w:val="auto"/>
              </w:rPr>
              <w:t xml:space="preserve">Dodavatel je oprávněn po zadavateli požadovat vysvětlení zadávacích podmínek (odpovědi na dotaz) </w:t>
            </w:r>
            <w:r w:rsidR="00D414DE">
              <w:rPr>
                <w:color w:val="auto"/>
              </w:rPr>
              <w:t xml:space="preserve">ohledně zadávané </w:t>
            </w:r>
            <w:r w:rsidRPr="0008647E">
              <w:rPr>
                <w:color w:val="auto"/>
              </w:rPr>
              <w:t xml:space="preserve">zakázky. Písemná žádost musí být zadavateli doručena nejpozději 4 pracovní dny před uplynutím lhůty pro podání nabídek. </w:t>
            </w:r>
            <w:r w:rsidR="00D414DE">
              <w:rPr>
                <w:color w:val="auto"/>
              </w:rPr>
              <w:t>Vysvět</w:t>
            </w:r>
            <w:r w:rsidR="005957B4">
              <w:rPr>
                <w:color w:val="auto"/>
              </w:rPr>
              <w:t xml:space="preserve">lení zadávacích podmínek může zadavatel poskytnout i bez předchozí žádosti. </w:t>
            </w:r>
          </w:p>
          <w:p w:rsidR="0020573C" w:rsidP="00F53EE6" w:rsidRDefault="0020573C">
            <w:pPr>
              <w:pStyle w:val="Tabulkatext"/>
              <w:spacing w:after="0"/>
              <w:ind w:left="0"/>
              <w:jc w:val="both"/>
              <w:rPr>
                <w:color w:val="auto"/>
              </w:rPr>
            </w:pPr>
          </w:p>
          <w:p w:rsidR="0020573C" w:rsidP="0020573C" w:rsidRDefault="0020573C">
            <w:pPr>
              <w:pStyle w:val="Tabulkatext"/>
              <w:spacing w:after="0"/>
              <w:ind w:left="0"/>
              <w:jc w:val="both"/>
              <w:rPr>
                <w:color w:val="auto"/>
              </w:rPr>
            </w:pPr>
            <w:r>
              <w:rPr>
                <w:color w:val="auto"/>
              </w:rPr>
              <w:t>Vysvětlení zadávacích podmínek může být doručeno poštou na adresu zadavatele k rukám paní Mgr. Veronice Pištěkové, nebo elektronicky e-mailem na adresu v.pistekova@sedova.cz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v předchozí větě.</w:t>
            </w:r>
          </w:p>
          <w:p w:rsidR="005957B4" w:rsidP="00F53EE6" w:rsidRDefault="005957B4">
            <w:pPr>
              <w:pStyle w:val="Tabulkatext"/>
              <w:spacing w:after="0"/>
              <w:ind w:left="0"/>
              <w:jc w:val="both"/>
              <w:rPr>
                <w:color w:val="auto"/>
              </w:rPr>
            </w:pPr>
          </w:p>
          <w:p w:rsidRPr="0008647E" w:rsidR="005957B4" w:rsidP="00F53EE6" w:rsidRDefault="00386EFB">
            <w:pPr>
              <w:pStyle w:val="Tabulkatext"/>
              <w:spacing w:after="0"/>
              <w:ind w:left="0"/>
              <w:jc w:val="both"/>
              <w:rPr>
                <w:color w:val="auto"/>
              </w:rPr>
            </w:pPr>
            <w:r>
              <w:rPr>
                <w:color w:val="auto"/>
              </w:rPr>
              <w:t xml:space="preserve">Vysvětlení zadávacích podmínek (včetně přesného anonymizovaného znění dotazu, na který zadavatel reaguje) anebo dodatečné informace zadavatel zveřejní na portálu </w:t>
            </w:r>
            <w:hyperlink w:history="true" r:id="rId8">
              <w:r w:rsidRPr="00FE18F2">
                <w:rPr>
                  <w:rStyle w:val="Hypertextovodkaz"/>
                </w:rPr>
                <w:t>www.esfcr.cz</w:t>
              </w:r>
            </w:hyperlink>
            <w:r>
              <w:rPr>
                <w:color w:val="auto"/>
              </w:rPr>
              <w:t xml:space="preserve">. </w:t>
            </w:r>
          </w:p>
          <w:p w:rsidRPr="0008647E" w:rsidR="00F53EE6" w:rsidP="00F53EE6" w:rsidRDefault="00F53EE6">
            <w:pPr>
              <w:pStyle w:val="Tabulkatext"/>
              <w:spacing w:before="0" w:after="0"/>
              <w:ind w:left="0"/>
              <w:jc w:val="both"/>
              <w:rPr>
                <w:color w:val="auto"/>
              </w:rPr>
            </w:pPr>
          </w:p>
          <w:p w:rsidRPr="00E50090" w:rsidR="00F53EE6" w:rsidP="00386EFB" w:rsidRDefault="00F53EE6">
            <w:pPr>
              <w:pStyle w:val="Tabulkatext"/>
              <w:keepNext/>
              <w:ind w:left="0"/>
              <w:rPr>
                <w:i/>
              </w:rPr>
            </w:pPr>
            <w:r w:rsidRPr="0008647E">
              <w:rPr>
                <w:color w:val="auto"/>
              </w:rPr>
              <w:t>Zadavatel může poskytnout uchazečům dodatečné informace k zadávacím podmínkám i bez předchozí žádosti.</w:t>
            </w:r>
          </w:p>
        </w:tc>
      </w:tr>
      <w:tr w:rsidRPr="00E50090" w:rsidR="00F53EE6" w:rsidTr="00DB5DB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t>Další požadavky na zpracování nabídky</w:t>
            </w:r>
          </w:p>
        </w:tc>
      </w:tr>
      <w:tr w:rsidRPr="00E50090" w:rsidR="00F53EE6" w:rsidTr="00B3216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color w:val="auto"/>
              </w:rPr>
            </w:pPr>
            <w:r w:rsidRPr="0008647E">
              <w:rPr>
                <w:color w:val="auto"/>
              </w:rPr>
              <w:t>Zadavatel nepřipouští variantní řešení nabídek a nabídky obsahující plnění nad rámec požadovaného ve výzvě.</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Zadavatel prohlašuje, že toto výběrové řízení není veřejnou soutěží o nejhodnější nabídku ani veřejným příslibem.</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Vybraný uchazeč si musí být vědom, že dle § 2 písm. e) zákona č. 320/2001 sb., o finanční kontrole ve veřejné správě, ve znění pozdějších předpisů,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Veškerá komunikace mezi zadavatelem a uchazeči bude probíhat pouze a jedině písemnou formou (vč. komunikace e-mailem) prostřednictvím kontaktní osoby pro výběrové řízení, a to pouze v českém jazyce.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Předložení nabídky v tomto výběrovém řízení berou uchazeči bez výhrad na vědomí, že v případě zrušení výběrového řízení, či neuzavření smlouvy s vybraným uchazečem, nevzniká žádnému z uchazečů nárok na náhradu škody ani úhradu jakýchkoliv nákladů souvisejících s účastí uchazečů v tomto výběrovém řízení a ustanovení § 1729 občanského zákoníku se tak, v souladu s ustanovením § 1 odst. 2 občanského zákoníku, na toto výběrové řízení neaplikuje.</w:t>
            </w:r>
          </w:p>
          <w:p w:rsidRPr="0008647E" w:rsidR="00F53EE6" w:rsidP="00F53EE6" w:rsidRDefault="00F53EE6">
            <w:pPr>
              <w:pStyle w:val="Tabulkatext"/>
              <w:spacing w:before="0" w:after="0"/>
              <w:ind w:left="0"/>
              <w:jc w:val="both"/>
              <w:rPr>
                <w:color w:val="auto"/>
              </w:rPr>
            </w:pPr>
          </w:p>
          <w:p w:rsidR="00F53EE6" w:rsidP="00CB3AEF" w:rsidRDefault="00F53EE6">
            <w:pPr>
              <w:pStyle w:val="Tabulkatext"/>
              <w:ind w:left="0"/>
              <w:rPr>
                <w:color w:val="auto"/>
              </w:rPr>
            </w:pPr>
            <w:r w:rsidRPr="0008647E">
              <w:rPr>
                <w:color w:val="auto"/>
              </w:rPr>
              <w:t>Náklady účasti ve výběrovém řízení nese uchazeč.</w:t>
            </w:r>
          </w:p>
          <w:p w:rsidR="00756DD7" w:rsidP="00CB3AEF" w:rsidRDefault="00756DD7">
            <w:pPr>
              <w:pStyle w:val="Tabulkatext"/>
              <w:ind w:left="0"/>
              <w:rPr>
                <w:i/>
              </w:rPr>
            </w:pPr>
          </w:p>
          <w:p w:rsidRPr="00756DD7" w:rsidR="00756DD7" w:rsidP="00CB3AEF" w:rsidRDefault="00756DD7">
            <w:pPr>
              <w:pStyle w:val="Tabulkatext"/>
              <w:ind w:left="0"/>
              <w:rPr>
                <w:iCs/>
              </w:rPr>
            </w:pPr>
            <w:r w:rsidRPr="00C40559">
              <w:rPr>
                <w:iCs/>
                <w:color w:val="000000" w:themeColor="text1"/>
              </w:rPr>
              <w:t>Odevzdáním nabídky souhlasí dodavatelem s podmínkami této výzvy.</w:t>
            </w:r>
          </w:p>
        </w:tc>
      </w:tr>
      <w:tr w:rsidRPr="00E50090" w:rsidR="00F53EE6"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F53EE6" w:rsidP="00F53EE6" w:rsidRDefault="00F53EE6">
            <w:pPr>
              <w:pStyle w:val="Tabulkatext"/>
              <w:rPr>
                <w:b/>
                <w:bCs/>
              </w:rPr>
            </w:pPr>
            <w:r w:rsidRPr="00E50090">
              <w:rPr>
                <w:b/>
                <w:bCs/>
              </w:rPr>
              <w:lastRenderedPageBreak/>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P="00F53EE6" w:rsidRDefault="00F53EE6">
            <w:pPr>
              <w:pStyle w:val="Tabulkatext"/>
              <w:rPr>
                <w:u w:val="single"/>
              </w:rPr>
            </w:pPr>
            <w:r w:rsidRPr="0008647E">
              <w:rPr>
                <w:color w:val="auto"/>
              </w:rPr>
              <w:t xml:space="preserve">Obecnou částí pravidel pro žadatele a příjemce v rámci Operačního programu </w:t>
            </w:r>
            <w:r w:rsidRPr="00F604B1">
              <w:rPr>
                <w:color w:val="000000" w:themeColor="text1"/>
              </w:rPr>
              <w:t>Zaměstnanost (</w:t>
            </w:r>
            <w:r w:rsidRPr="00D67150">
              <w:rPr>
                <w:color w:val="000000" w:themeColor="text1"/>
              </w:rPr>
              <w:t xml:space="preserve">vydání č. </w:t>
            </w:r>
            <w:r w:rsidRPr="00D67150" w:rsidR="00612E53">
              <w:rPr>
                <w:color w:val="000000" w:themeColor="text1"/>
              </w:rPr>
              <w:t>10</w:t>
            </w:r>
            <w:r w:rsidR="0020573C">
              <w:rPr>
                <w:color w:val="000000" w:themeColor="text1"/>
              </w:rPr>
              <w:t xml:space="preserve"> s účinností od 17. 6. 2019</w:t>
            </w:r>
            <w:r w:rsidRPr="00D67150">
              <w:rPr>
                <w:color w:val="000000" w:themeColor="text1"/>
              </w:rPr>
              <w:t xml:space="preserve">), </w:t>
            </w:r>
            <w:r w:rsidRPr="0008647E">
              <w:rPr>
                <w:color w:val="auto"/>
              </w:rPr>
              <w:t>na toto zadávací řízení se neaplikují ustanovení zákona č. 134/2016 Sb., o zadávání veřejných zakázek.</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i/>
              </w:rPr>
            </w:pPr>
            <w:r w:rsidRPr="00E50090">
              <w:rPr>
                <w:b/>
                <w:bCs/>
              </w:rPr>
              <w:t xml:space="preserve">Dodavatelé budou vyrozumívání o výsledku, resp. zrušení zadávacího řízení a o příp. vyloučení nabídky prostřednictvím uveřejnění informace na portálu </w:t>
            </w:r>
            <w:hyperlink w:history="true" r:id="rId9">
              <w:r w:rsidRPr="00E50090">
                <w:rPr>
                  <w:rStyle w:val="Hypertextovodkaz"/>
                  <w:b/>
                  <w:bCs/>
                </w:rPr>
                <w:t>www.esfcr.cz</w:t>
              </w:r>
            </w:hyperlink>
            <w:r w:rsidRPr="00E50090">
              <w:rPr>
                <w:b/>
                <w:bCs/>
              </w:rPr>
              <w:t xml:space="preserve"> pod výše uvedeným názvem veřejné zakázky.</w:t>
            </w:r>
          </w:p>
        </w:tc>
      </w:tr>
    </w:tbl>
    <w:p w:rsidR="005C6C32" w:rsidP="00D92737" w:rsidRDefault="005C6C32">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872B1B">
        <w:trPr>
          <w:cantSplit/>
          <w:trHeight w:val="255"/>
        </w:trPr>
        <w:tc>
          <w:tcPr>
            <w:tcW w:w="3828" w:type="dxa"/>
            <w:shd w:val="clear" w:color="auto" w:fill="auto"/>
          </w:tcPr>
          <w:p w:rsidRPr="00AB2EFF" w:rsidR="006445B9" w:rsidP="00D92737" w:rsidRDefault="006445B9">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3323BA">
            <w:pPr>
              <w:pStyle w:val="A-ZprvaCSP-ods1dek"/>
              <w:keepNext/>
              <w:spacing w:after="240"/>
              <w:ind w:firstLine="0"/>
              <w:rPr>
                <w:rFonts w:ascii="Arial" w:hAnsi="Arial" w:cs="Arial"/>
                <w:sz w:val="20"/>
                <w:szCs w:val="20"/>
              </w:rPr>
            </w:pPr>
            <w:r>
              <w:rPr>
                <w:rFonts w:ascii="Arial" w:hAnsi="Arial" w:cs="Arial"/>
                <w:sz w:val="20"/>
                <w:szCs w:val="20"/>
              </w:rPr>
              <w:t xml:space="preserve">V Rohatci dne: </w:t>
            </w:r>
            <w:r w:rsidR="00C40559">
              <w:rPr>
                <w:rFonts w:ascii="Arial" w:hAnsi="Arial" w:cs="Arial"/>
                <w:color w:val="000000" w:themeColor="text1"/>
                <w:sz w:val="20"/>
                <w:szCs w:val="20"/>
              </w:rPr>
              <w:t>30</w:t>
            </w:r>
            <w:r w:rsidRPr="00D67150" w:rsidR="00595628">
              <w:rPr>
                <w:rFonts w:ascii="Arial" w:hAnsi="Arial" w:cs="Arial"/>
                <w:color w:val="000000" w:themeColor="text1"/>
                <w:sz w:val="20"/>
                <w:szCs w:val="20"/>
              </w:rPr>
              <w:t>.</w:t>
            </w:r>
            <w:r w:rsidR="00756DD7">
              <w:rPr>
                <w:rFonts w:ascii="Arial" w:hAnsi="Arial" w:cs="Arial"/>
                <w:color w:val="000000" w:themeColor="text1"/>
                <w:sz w:val="20"/>
                <w:szCs w:val="20"/>
              </w:rPr>
              <w:t xml:space="preserve"> 9</w:t>
            </w:r>
            <w:r w:rsidRPr="00D67150" w:rsidR="00595628">
              <w:rPr>
                <w:rFonts w:ascii="Arial" w:hAnsi="Arial" w:cs="Arial"/>
                <w:color w:val="000000" w:themeColor="text1"/>
                <w:sz w:val="20"/>
                <w:szCs w:val="20"/>
              </w:rPr>
              <w:t>.</w:t>
            </w:r>
            <w:r w:rsidR="00756DD7">
              <w:rPr>
                <w:rFonts w:ascii="Arial" w:hAnsi="Arial" w:cs="Arial"/>
                <w:color w:val="000000" w:themeColor="text1"/>
                <w:sz w:val="20"/>
                <w:szCs w:val="20"/>
              </w:rPr>
              <w:t xml:space="preserve"> </w:t>
            </w:r>
            <w:r w:rsidRPr="00D67150" w:rsidR="00595628">
              <w:rPr>
                <w:rFonts w:ascii="Arial" w:hAnsi="Arial" w:cs="Arial"/>
                <w:color w:val="000000" w:themeColor="text1"/>
                <w:sz w:val="20"/>
                <w:szCs w:val="20"/>
              </w:rPr>
              <w:t>2019</w:t>
            </w:r>
          </w:p>
          <w:p w:rsidRPr="00AB2EFF" w:rsidR="006445B9" w:rsidP="00D92737" w:rsidRDefault="006445B9">
            <w:pPr>
              <w:pStyle w:val="Tabulkatext"/>
              <w:rPr>
                <w:rFonts w:ascii="Arial" w:hAnsi="Arial" w:cs="Arial"/>
                <w:szCs w:val="20"/>
              </w:rPr>
            </w:pPr>
          </w:p>
          <w:p w:rsidRPr="00AB2EFF" w:rsidR="006445B9" w:rsidP="00D92737" w:rsidRDefault="006445B9">
            <w:pPr>
              <w:pStyle w:val="Tabulkatext"/>
              <w:rPr>
                <w:rFonts w:ascii="Arial" w:hAnsi="Arial" w:cs="Arial"/>
                <w:szCs w:val="20"/>
              </w:rPr>
            </w:pPr>
          </w:p>
        </w:tc>
      </w:tr>
    </w:tbl>
    <w:p w:rsidR="006445B9" w:rsidP="00D92737" w:rsidRDefault="006445B9">
      <w:pPr>
        <w:rPr>
          <w:rFonts w:ascii="Arial" w:hAnsi="Arial" w:cs="Arial"/>
          <w:sz w:val="16"/>
          <w:szCs w:val="16"/>
        </w:rPr>
      </w:pPr>
    </w:p>
    <w:p w:rsidR="003323BA" w:rsidP="003323BA" w:rsidRDefault="003323BA">
      <w:pPr>
        <w:spacing w:after="0"/>
        <w:rPr>
          <w:rFonts w:ascii="Arial" w:hAnsi="Arial" w:eastAsia="Times New Roman" w:cs="Arial"/>
          <w:b/>
          <w:color w:val="auto"/>
          <w:sz w:val="20"/>
          <w:szCs w:val="20"/>
          <w:lang w:eastAsia="cs-CZ"/>
        </w:rPr>
      </w:pPr>
      <w:r w:rsidRPr="007D3728">
        <w:rPr>
          <w:rFonts w:ascii="Arial" w:hAnsi="Arial" w:eastAsia="Times New Roman" w:cs="Arial"/>
          <w:b/>
          <w:color w:val="auto"/>
          <w:sz w:val="20"/>
          <w:szCs w:val="20"/>
          <w:lang w:eastAsia="cs-CZ"/>
        </w:rPr>
        <w:t>Přílohy:</w:t>
      </w:r>
    </w:p>
    <w:p w:rsidR="003323BA" w:rsidP="003323BA" w:rsidRDefault="003323BA">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w:t>
      </w:r>
      <w:r w:rsidR="00F604B1">
        <w:rPr>
          <w:rFonts w:ascii="Arial" w:hAnsi="Arial" w:eastAsia="Times New Roman" w:cs="Arial"/>
          <w:color w:val="auto"/>
          <w:sz w:val="20"/>
          <w:szCs w:val="20"/>
          <w:lang w:eastAsia="cs-CZ"/>
        </w:rPr>
        <w:t>1</w:t>
      </w:r>
      <w:r>
        <w:rPr>
          <w:rFonts w:ascii="Arial" w:hAnsi="Arial" w:eastAsia="Times New Roman" w:cs="Arial"/>
          <w:color w:val="auto"/>
          <w:sz w:val="20"/>
          <w:szCs w:val="20"/>
          <w:lang w:eastAsia="cs-CZ"/>
        </w:rPr>
        <w:t>: Krycí list</w:t>
      </w:r>
    </w:p>
    <w:p w:rsidR="003323BA" w:rsidP="003323BA" w:rsidRDefault="003323BA">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w:t>
      </w:r>
      <w:r w:rsidR="00F604B1">
        <w:rPr>
          <w:rFonts w:ascii="Arial" w:hAnsi="Arial" w:eastAsia="Times New Roman" w:cs="Arial"/>
          <w:color w:val="auto"/>
          <w:sz w:val="20"/>
          <w:szCs w:val="20"/>
          <w:lang w:eastAsia="cs-CZ"/>
        </w:rPr>
        <w:t>2</w:t>
      </w:r>
      <w:r>
        <w:rPr>
          <w:rFonts w:ascii="Arial" w:hAnsi="Arial" w:eastAsia="Times New Roman" w:cs="Arial"/>
          <w:color w:val="auto"/>
          <w:sz w:val="20"/>
          <w:szCs w:val="20"/>
          <w:lang w:eastAsia="cs-CZ"/>
        </w:rPr>
        <w:t xml:space="preserve">: </w:t>
      </w:r>
      <w:r w:rsidR="007A2206">
        <w:rPr>
          <w:rFonts w:ascii="Arial" w:hAnsi="Arial" w:eastAsia="Times New Roman" w:cs="Arial"/>
          <w:color w:val="auto"/>
          <w:sz w:val="20"/>
          <w:szCs w:val="20"/>
          <w:lang w:eastAsia="cs-CZ"/>
        </w:rPr>
        <w:t xml:space="preserve">Čestné prohlášení – prokazující základní způsobilos podle § 74 odst. </w:t>
      </w:r>
      <w:r w:rsidR="00CB6BF0">
        <w:rPr>
          <w:rFonts w:ascii="Arial" w:hAnsi="Arial" w:eastAsia="Times New Roman" w:cs="Arial"/>
          <w:color w:val="auto"/>
          <w:sz w:val="20"/>
          <w:szCs w:val="20"/>
          <w:lang w:eastAsia="cs-CZ"/>
        </w:rPr>
        <w:t>č. 134/2016 Sb., o zadávání veřejných zakázek</w:t>
      </w:r>
    </w:p>
    <w:p w:rsidR="00756DD7" w:rsidP="003323BA" w:rsidRDefault="00756DD7">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3: </w:t>
      </w:r>
      <w:r w:rsidR="00226617">
        <w:rPr>
          <w:rFonts w:ascii="Arial" w:hAnsi="Arial" w:eastAsia="Times New Roman" w:cs="Arial"/>
          <w:color w:val="auto"/>
          <w:sz w:val="20"/>
          <w:szCs w:val="20"/>
          <w:lang w:eastAsia="cs-CZ"/>
        </w:rPr>
        <w:t>Kalkulace předmětu zakázky</w:t>
      </w:r>
    </w:p>
    <w:p w:rsidR="00226617" w:rsidP="003323BA" w:rsidRDefault="00226617">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Příloha č. 4: Specifikace předmětu zakázky</w:t>
      </w:r>
    </w:p>
    <w:p w:rsidRPr="00595628" w:rsidR="005C6C32" w:rsidP="00D92737" w:rsidRDefault="00226617">
      <w:pPr>
        <w:rPr>
          <w:sz w:val="20"/>
          <w:szCs w:val="20"/>
        </w:rPr>
      </w:pPr>
      <w:r>
        <w:rPr>
          <w:sz w:val="20"/>
          <w:szCs w:val="20"/>
        </w:rPr>
        <w:t xml:space="preserve">Příloha č. 5: </w:t>
      </w:r>
      <w:r w:rsidRPr="00595628" w:rsidR="00595628">
        <w:rPr>
          <w:sz w:val="20"/>
          <w:szCs w:val="20"/>
        </w:rPr>
        <w:t>Návrh smlouvy</w:t>
      </w:r>
    </w:p>
    <w:sectPr w:rsidRPr="00595628" w:rsidR="005C6C32" w:rsidSect="00830A79">
      <w:headerReference w:type="default" r:id="rId10"/>
      <w:footerReference w:type="default" r:id="rId11"/>
      <w:headerReference w:type="first" r:id="rId12"/>
      <w:footerReference w:type="first" r:id="rId13"/>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53654" w:rsidP="00744469" w:rsidRDefault="00153654">
      <w:pPr>
        <w:spacing w:after="0"/>
      </w:pPr>
      <w:r>
        <w:separator/>
      </w:r>
    </w:p>
  </w:endnote>
  <w:endnote w:type="continuationSeparator" w:id="0">
    <w:p w:rsidR="00153654" w:rsidP="00744469" w:rsidRDefault="00153654">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tc>
        <w:tcPr>
          <w:tcW w:w="5000" w:type="pct"/>
          <w:gridSpan w:val="3"/>
          <w:shd w:val="clear" w:color="auto" w:fill="auto"/>
          <w:vAlign w:val="center"/>
        </w:tcPr>
        <w:p w:rsidR="00A47B09" w:rsidP="00F543E8" w:rsidRDefault="00A47B09">
          <w:pPr>
            <w:pStyle w:val="Tabulkazhlav"/>
          </w:pPr>
        </w:p>
      </w:tc>
    </w:tr>
    <w:tr w:rsidR="00A47B09" w:rsidTr="00830A79">
      <w:tc>
        <w:tcPr>
          <w:tcW w:w="1667" w:type="pct"/>
          <w:shd w:val="clear" w:color="auto" w:fill="auto"/>
          <w:vAlign w:val="center"/>
        </w:tcPr>
        <w:p w:rsidR="00A47B09" w:rsidP="00E073EC" w:rsidRDefault="00A47B09">
          <w:pPr>
            <w:pStyle w:val="Tabulkatext"/>
          </w:pPr>
        </w:p>
      </w:tc>
      <w:tc>
        <w:tcPr>
          <w:tcW w:w="1667" w:type="pct"/>
          <w:shd w:val="clear" w:color="auto" w:fill="auto"/>
          <w:vAlign w:val="center"/>
        </w:tcPr>
        <w:p w:rsidR="00A47B09" w:rsidP="00015461" w:rsidRDefault="00A47B09">
          <w:pPr>
            <w:pStyle w:val="Tabulkatext"/>
            <w:jc w:val="center"/>
          </w:pPr>
        </w:p>
      </w:tc>
      <w:tc>
        <w:tcPr>
          <w:tcW w:w="1667" w:type="pct"/>
          <w:shd w:val="clear" w:color="auto" w:fill="auto"/>
          <w:vAlign w:val="center"/>
        </w:tcPr>
        <w:p w:rsidR="00A47B09" w:rsidP="00E073EC" w:rsidRDefault="00A47B09">
          <w:pPr>
            <w:pStyle w:val="Tabulkatext"/>
            <w:jc w:val="right"/>
          </w:pPr>
          <w:r>
            <w:t xml:space="preserve">Strana: </w:t>
          </w:r>
          <w:r>
            <w:fldChar w:fldCharType="begin"/>
          </w:r>
          <w:r>
            <w:instrText xml:space="preserve"> PAGE   \* MERGEFORMAT </w:instrText>
          </w:r>
          <w:r>
            <w:fldChar w:fldCharType="separate"/>
          </w:r>
          <w:r w:rsidR="00FA16C8">
            <w:rPr>
              <w:noProof/>
            </w:rPr>
            <w:t>1</w:t>
          </w:r>
          <w:r>
            <w:fldChar w:fldCharType="end"/>
          </w:r>
          <w:r>
            <w:t xml:space="preserve"> z </w:t>
          </w:r>
          <w:r w:rsidR="0034684B">
            <w:rPr>
              <w:noProof/>
            </w:rPr>
            <w:fldChar w:fldCharType="begin"/>
          </w:r>
          <w:r w:rsidR="0034684B">
            <w:rPr>
              <w:noProof/>
            </w:rPr>
            <w:instrText xml:space="preserve"> NUMPAGES   \* MERGEFORMAT </w:instrText>
          </w:r>
          <w:r w:rsidR="0034684B">
            <w:rPr>
              <w:noProof/>
            </w:rPr>
            <w:fldChar w:fldCharType="separate"/>
          </w:r>
          <w:r w:rsidR="00FA16C8">
            <w:rPr>
              <w:noProof/>
            </w:rPr>
            <w:t>3</w:t>
          </w:r>
          <w:r w:rsidR="0034684B">
            <w:rPr>
              <w:noProof/>
            </w:rPr>
            <w:fldChar w:fldCharType="end"/>
          </w:r>
        </w:p>
      </w:tc>
    </w:tr>
  </w:tbl>
  <w:p w:rsidR="00830A79" w:rsidRDefault="00830A7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tc>
        <w:tcPr>
          <w:tcW w:w="5000" w:type="pct"/>
          <w:gridSpan w:val="3"/>
          <w:shd w:val="clear" w:color="auto" w:fill="auto"/>
          <w:vAlign w:val="center"/>
        </w:tcPr>
        <w:p w:rsidRPr="00A34F9E" w:rsidR="00A34F9E" w:rsidP="00A34F9E" w:rsidRDefault="00A34F9E">
          <w:pPr>
            <w:pStyle w:val="Tabulkazhlav"/>
            <w:rPr>
              <w:b w:val="false"/>
            </w:rPr>
          </w:pPr>
        </w:p>
      </w:tc>
    </w:tr>
    <w:tr w:rsidR="00A34F9E" w:rsidTr="00A34F9E">
      <w:tc>
        <w:tcPr>
          <w:tcW w:w="1667" w:type="pct"/>
          <w:shd w:val="clear" w:color="auto" w:fill="auto"/>
          <w:vAlign w:val="center"/>
        </w:tcPr>
        <w:p w:rsidR="00A34F9E" w:rsidP="002E290A" w:rsidRDefault="00A34F9E">
          <w:pPr>
            <w:pStyle w:val="Tabulkatext"/>
          </w:pPr>
        </w:p>
      </w:tc>
      <w:tc>
        <w:tcPr>
          <w:tcW w:w="1667" w:type="pct"/>
          <w:shd w:val="clear" w:color="auto" w:fill="auto"/>
          <w:vAlign w:val="center"/>
        </w:tcPr>
        <w:p w:rsidR="00A34F9E" w:rsidP="002E290A" w:rsidRDefault="00A34F9E">
          <w:pPr>
            <w:pStyle w:val="Tabulkatext"/>
            <w:jc w:val="center"/>
          </w:pPr>
        </w:p>
      </w:tc>
      <w:tc>
        <w:tcPr>
          <w:tcW w:w="1666" w:type="pct"/>
          <w:shd w:val="clear" w:color="auto" w:fill="auto"/>
          <w:vAlign w:val="center"/>
        </w:tcPr>
        <w:p w:rsidR="00A34F9E" w:rsidP="002E290A" w:rsidRDefault="00A34F9E">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r w:rsidR="0034684B">
            <w:rPr>
              <w:noProof/>
            </w:rPr>
            <w:fldChar w:fldCharType="begin"/>
          </w:r>
          <w:r w:rsidR="0034684B">
            <w:rPr>
              <w:noProof/>
            </w:rPr>
            <w:instrText xml:space="preserve"> NUMPAGES   \* MERGEFORMAT </w:instrText>
          </w:r>
          <w:r w:rsidR="0034684B">
            <w:rPr>
              <w:noProof/>
            </w:rPr>
            <w:fldChar w:fldCharType="separate"/>
          </w:r>
          <w:r w:rsidR="00830A79">
            <w:rPr>
              <w:noProof/>
            </w:rPr>
            <w:t>1</w:t>
          </w:r>
          <w:r w:rsidR="0034684B">
            <w:rPr>
              <w:noProof/>
            </w:rPr>
            <w:fldChar w:fldCharType="end"/>
          </w:r>
        </w:p>
      </w:tc>
    </w:tr>
  </w:tbl>
  <w:p w:rsidR="00A34F9E" w:rsidRDefault="00A34F9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53654" w:rsidP="00744469" w:rsidRDefault="00153654">
      <w:pPr>
        <w:spacing w:after="0"/>
      </w:pPr>
      <w:r>
        <w:separator/>
      </w:r>
    </w:p>
  </w:footnote>
  <w:footnote w:type="continuationSeparator" w:id="0">
    <w:p w:rsidR="00153654" w:rsidP="00744469" w:rsidRDefault="00153654">
      <w:pPr>
        <w:spacing w:after="0"/>
      </w:pPr>
      <w:r>
        <w:continuationSeparator/>
      </w:r>
    </w:p>
  </w:footnote>
  <w:footnote w:id="1">
    <w:p w:rsidR="005C6C32" w:rsidP="005C6C32" w:rsidRDefault="005C6C32">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30A79" w:rsidRDefault="00830A79">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4F9E" w:rsidRDefault="00A34F9E">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30"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FD343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9411160"/>
    <w:multiLevelType w:val="hybridMultilevel"/>
    <w:tmpl w:val="DDD61D5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6">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2BE4D6F"/>
    <w:multiLevelType w:val="hybridMultilevel"/>
    <w:tmpl w:val="E0F0D13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9">
    <w:nsid w:val="33B1485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E056137"/>
    <w:multiLevelType w:val="hybridMultilevel"/>
    <w:tmpl w:val="5262E432"/>
    <w:lvl w:ilvl="0" w:tplc="E1F030BE">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5">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6">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8">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9">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0">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1">
    <w:nsid w:val="791D2481"/>
    <w:multiLevelType w:val="hybridMultilevel"/>
    <w:tmpl w:val="18E69C3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7AAF6E47"/>
    <w:multiLevelType w:val="hybridMultilevel"/>
    <w:tmpl w:val="D3F84BA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3">
    <w:nsid w:val="7EA43DFE"/>
    <w:multiLevelType w:val="hybridMultilevel"/>
    <w:tmpl w:val="92A8DC2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num w:numId="1">
    <w:abstractNumId w:val="0"/>
  </w:num>
  <w:num w:numId="2">
    <w:abstractNumId w:val="2"/>
  </w:num>
  <w:num w:numId="3">
    <w:abstractNumId w:val="10"/>
  </w:num>
  <w:num w:numId="4">
    <w:abstractNumId w:val="1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1"/>
  </w:num>
  <w:num w:numId="10">
    <w:abstractNumId w:val="6"/>
  </w:num>
  <w:num w:numId="11">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
  </w:num>
  <w:num w:numId="14">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5"/>
  </w:num>
  <w:num w:numId="23">
    <w:abstractNumId w:val="17"/>
  </w:num>
  <w:num w:numId="24">
    <w:abstractNumId w:val="18"/>
  </w:num>
  <w:num w:numId="25">
    <w:abstractNumId w:val="14"/>
  </w:num>
  <w:num w:numId="26">
    <w:abstractNumId w:val="19"/>
  </w:num>
  <w:num w:numId="27">
    <w:abstractNumId w:val="22"/>
  </w:num>
  <w:num w:numId="28">
    <w:abstractNumId w:val="21"/>
  </w:num>
  <w:num w:numId="29">
    <w:abstractNumId w:val="9"/>
  </w:num>
  <w:num w:numId="30">
    <w:abstractNumId w:val="4"/>
  </w:num>
  <w:num w:numId="31">
    <w:abstractNumId w:val="1"/>
  </w:num>
  <w:num w:numId="32">
    <w:abstractNumId w:val="23"/>
  </w:num>
  <w:num w:numId="33">
    <w:abstractNumId w:val="8"/>
  </w:num>
  <w:num w:numId="34">
    <w:abstractNumId w:val="13"/>
  </w:num>
  <w:num w:numId="35">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61"/>
    <w:rsid w:val="00002C80"/>
    <w:rsid w:val="00015461"/>
    <w:rsid w:val="000217DF"/>
    <w:rsid w:val="000532DA"/>
    <w:rsid w:val="00055362"/>
    <w:rsid w:val="00057C9B"/>
    <w:rsid w:val="00065731"/>
    <w:rsid w:val="00067B65"/>
    <w:rsid w:val="00067F8E"/>
    <w:rsid w:val="00071A81"/>
    <w:rsid w:val="00073CC8"/>
    <w:rsid w:val="00077D88"/>
    <w:rsid w:val="00084CE4"/>
    <w:rsid w:val="000A1FE3"/>
    <w:rsid w:val="000B25D8"/>
    <w:rsid w:val="000C0FA8"/>
    <w:rsid w:val="000D381B"/>
    <w:rsid w:val="000E11BF"/>
    <w:rsid w:val="000F0056"/>
    <w:rsid w:val="000F1B0B"/>
    <w:rsid w:val="000F5592"/>
    <w:rsid w:val="0011753D"/>
    <w:rsid w:val="00121E84"/>
    <w:rsid w:val="00153654"/>
    <w:rsid w:val="00156F95"/>
    <w:rsid w:val="001641A3"/>
    <w:rsid w:val="001673AF"/>
    <w:rsid w:val="001776A7"/>
    <w:rsid w:val="0018121F"/>
    <w:rsid w:val="001819EE"/>
    <w:rsid w:val="00184F3F"/>
    <w:rsid w:val="00185596"/>
    <w:rsid w:val="00194656"/>
    <w:rsid w:val="0019708B"/>
    <w:rsid w:val="001A735A"/>
    <w:rsid w:val="001B1706"/>
    <w:rsid w:val="001B4C24"/>
    <w:rsid w:val="001B55D7"/>
    <w:rsid w:val="001C08A2"/>
    <w:rsid w:val="001D1395"/>
    <w:rsid w:val="001D3B11"/>
    <w:rsid w:val="001D3DFE"/>
    <w:rsid w:val="001D5560"/>
    <w:rsid w:val="00201111"/>
    <w:rsid w:val="00202271"/>
    <w:rsid w:val="0020570D"/>
    <w:rsid w:val="0020573C"/>
    <w:rsid w:val="00226617"/>
    <w:rsid w:val="002316F4"/>
    <w:rsid w:val="002319F2"/>
    <w:rsid w:val="002504AD"/>
    <w:rsid w:val="002623AB"/>
    <w:rsid w:val="00265BDF"/>
    <w:rsid w:val="002671A0"/>
    <w:rsid w:val="00282E14"/>
    <w:rsid w:val="00283A91"/>
    <w:rsid w:val="0028620C"/>
    <w:rsid w:val="002866E8"/>
    <w:rsid w:val="00287DE2"/>
    <w:rsid w:val="002910F9"/>
    <w:rsid w:val="002921D1"/>
    <w:rsid w:val="002961D4"/>
    <w:rsid w:val="002B3FC2"/>
    <w:rsid w:val="002B6E2F"/>
    <w:rsid w:val="002C4D5F"/>
    <w:rsid w:val="002D06FD"/>
    <w:rsid w:val="002D4DD2"/>
    <w:rsid w:val="002D7766"/>
    <w:rsid w:val="00301913"/>
    <w:rsid w:val="00302400"/>
    <w:rsid w:val="00306C59"/>
    <w:rsid w:val="00315070"/>
    <w:rsid w:val="00330790"/>
    <w:rsid w:val="003323BA"/>
    <w:rsid w:val="00334D40"/>
    <w:rsid w:val="00342EB6"/>
    <w:rsid w:val="0034684B"/>
    <w:rsid w:val="003479B3"/>
    <w:rsid w:val="00361FFC"/>
    <w:rsid w:val="0038447D"/>
    <w:rsid w:val="003851E9"/>
    <w:rsid w:val="00386EFB"/>
    <w:rsid w:val="00394C90"/>
    <w:rsid w:val="00394E65"/>
    <w:rsid w:val="003A1A82"/>
    <w:rsid w:val="003A5621"/>
    <w:rsid w:val="003A5981"/>
    <w:rsid w:val="003B1163"/>
    <w:rsid w:val="003B6F5A"/>
    <w:rsid w:val="003D1849"/>
    <w:rsid w:val="003D36D7"/>
    <w:rsid w:val="003D4F87"/>
    <w:rsid w:val="003E5795"/>
    <w:rsid w:val="003F02C5"/>
    <w:rsid w:val="003F69DA"/>
    <w:rsid w:val="004162EF"/>
    <w:rsid w:val="00427F30"/>
    <w:rsid w:val="004354DE"/>
    <w:rsid w:val="004415B1"/>
    <w:rsid w:val="00445DAA"/>
    <w:rsid w:val="004461FB"/>
    <w:rsid w:val="004548E9"/>
    <w:rsid w:val="00455567"/>
    <w:rsid w:val="004863ED"/>
    <w:rsid w:val="00497ED7"/>
    <w:rsid w:val="004B2D59"/>
    <w:rsid w:val="004B48DE"/>
    <w:rsid w:val="004C6F44"/>
    <w:rsid w:val="004C721F"/>
    <w:rsid w:val="004D73F0"/>
    <w:rsid w:val="004E5D87"/>
    <w:rsid w:val="00512C01"/>
    <w:rsid w:val="005278BA"/>
    <w:rsid w:val="00536184"/>
    <w:rsid w:val="00536CEE"/>
    <w:rsid w:val="0055203F"/>
    <w:rsid w:val="00556F01"/>
    <w:rsid w:val="00567C05"/>
    <w:rsid w:val="00573732"/>
    <w:rsid w:val="00595628"/>
    <w:rsid w:val="005957B4"/>
    <w:rsid w:val="00597E60"/>
    <w:rsid w:val="005B66CA"/>
    <w:rsid w:val="005B7AFA"/>
    <w:rsid w:val="005C19CB"/>
    <w:rsid w:val="005C28D2"/>
    <w:rsid w:val="005C6C32"/>
    <w:rsid w:val="005D7987"/>
    <w:rsid w:val="005E72E4"/>
    <w:rsid w:val="005F6058"/>
    <w:rsid w:val="00605AF1"/>
    <w:rsid w:val="00612E53"/>
    <w:rsid w:val="0062246E"/>
    <w:rsid w:val="00630E04"/>
    <w:rsid w:val="00640D76"/>
    <w:rsid w:val="006445B9"/>
    <w:rsid w:val="00644B7D"/>
    <w:rsid w:val="00647088"/>
    <w:rsid w:val="00653116"/>
    <w:rsid w:val="006617FC"/>
    <w:rsid w:val="00667155"/>
    <w:rsid w:val="00671782"/>
    <w:rsid w:val="006718E7"/>
    <w:rsid w:val="0068462F"/>
    <w:rsid w:val="00685750"/>
    <w:rsid w:val="00694A19"/>
    <w:rsid w:val="006B3320"/>
    <w:rsid w:val="006B7AD7"/>
    <w:rsid w:val="006D2EC2"/>
    <w:rsid w:val="006D4968"/>
    <w:rsid w:val="006D6F9B"/>
    <w:rsid w:val="006D7FC5"/>
    <w:rsid w:val="006F114E"/>
    <w:rsid w:val="006F7E2F"/>
    <w:rsid w:val="007021C1"/>
    <w:rsid w:val="00706BD4"/>
    <w:rsid w:val="00707B85"/>
    <w:rsid w:val="0071660A"/>
    <w:rsid w:val="007167D1"/>
    <w:rsid w:val="00730DC2"/>
    <w:rsid w:val="00737635"/>
    <w:rsid w:val="00744469"/>
    <w:rsid w:val="00747312"/>
    <w:rsid w:val="007566EB"/>
    <w:rsid w:val="00756DD7"/>
    <w:rsid w:val="00773D72"/>
    <w:rsid w:val="00782D4C"/>
    <w:rsid w:val="007949B5"/>
    <w:rsid w:val="00797E60"/>
    <w:rsid w:val="007A0075"/>
    <w:rsid w:val="007A2206"/>
    <w:rsid w:val="007B1C3C"/>
    <w:rsid w:val="007D0935"/>
    <w:rsid w:val="007D0B77"/>
    <w:rsid w:val="007E6E16"/>
    <w:rsid w:val="007E732D"/>
    <w:rsid w:val="007F59A4"/>
    <w:rsid w:val="008053D8"/>
    <w:rsid w:val="00815F47"/>
    <w:rsid w:val="008255F6"/>
    <w:rsid w:val="00830A79"/>
    <w:rsid w:val="00832A86"/>
    <w:rsid w:val="00844670"/>
    <w:rsid w:val="00847203"/>
    <w:rsid w:val="008647B8"/>
    <w:rsid w:val="008819E7"/>
    <w:rsid w:val="008842D3"/>
    <w:rsid w:val="00890FAA"/>
    <w:rsid w:val="008B0DFA"/>
    <w:rsid w:val="008B607A"/>
    <w:rsid w:val="008C6214"/>
    <w:rsid w:val="008C7EB7"/>
    <w:rsid w:val="008E0060"/>
    <w:rsid w:val="008F7D9B"/>
    <w:rsid w:val="00910732"/>
    <w:rsid w:val="009117F1"/>
    <w:rsid w:val="009121EF"/>
    <w:rsid w:val="009343A7"/>
    <w:rsid w:val="00934A32"/>
    <w:rsid w:val="00941E61"/>
    <w:rsid w:val="00942E26"/>
    <w:rsid w:val="00942F74"/>
    <w:rsid w:val="009440FF"/>
    <w:rsid w:val="00957139"/>
    <w:rsid w:val="009574F9"/>
    <w:rsid w:val="00967D4A"/>
    <w:rsid w:val="009A66A1"/>
    <w:rsid w:val="009A7345"/>
    <w:rsid w:val="009A755D"/>
    <w:rsid w:val="009B01D1"/>
    <w:rsid w:val="009B6A59"/>
    <w:rsid w:val="009B793E"/>
    <w:rsid w:val="009C6048"/>
    <w:rsid w:val="009C6899"/>
    <w:rsid w:val="009C71CB"/>
    <w:rsid w:val="009D6602"/>
    <w:rsid w:val="009E1C91"/>
    <w:rsid w:val="00A05864"/>
    <w:rsid w:val="00A076EC"/>
    <w:rsid w:val="00A13675"/>
    <w:rsid w:val="00A15D10"/>
    <w:rsid w:val="00A16328"/>
    <w:rsid w:val="00A21D1A"/>
    <w:rsid w:val="00A338EB"/>
    <w:rsid w:val="00A33A3D"/>
    <w:rsid w:val="00A34F9E"/>
    <w:rsid w:val="00A36264"/>
    <w:rsid w:val="00A47B09"/>
    <w:rsid w:val="00A67723"/>
    <w:rsid w:val="00A7761D"/>
    <w:rsid w:val="00A87668"/>
    <w:rsid w:val="00AA3E99"/>
    <w:rsid w:val="00AC3356"/>
    <w:rsid w:val="00AD04D6"/>
    <w:rsid w:val="00B04C20"/>
    <w:rsid w:val="00B11883"/>
    <w:rsid w:val="00B23895"/>
    <w:rsid w:val="00B3216D"/>
    <w:rsid w:val="00B32C5C"/>
    <w:rsid w:val="00B36F34"/>
    <w:rsid w:val="00B50733"/>
    <w:rsid w:val="00B539D6"/>
    <w:rsid w:val="00B56267"/>
    <w:rsid w:val="00B56786"/>
    <w:rsid w:val="00B57C7F"/>
    <w:rsid w:val="00B6385F"/>
    <w:rsid w:val="00B70C0C"/>
    <w:rsid w:val="00B90AFE"/>
    <w:rsid w:val="00B921E9"/>
    <w:rsid w:val="00B9435E"/>
    <w:rsid w:val="00BA0F0F"/>
    <w:rsid w:val="00BA40A6"/>
    <w:rsid w:val="00BA5CD3"/>
    <w:rsid w:val="00BB0C81"/>
    <w:rsid w:val="00BD26E4"/>
    <w:rsid w:val="00BD5598"/>
    <w:rsid w:val="00BE0256"/>
    <w:rsid w:val="00C1026C"/>
    <w:rsid w:val="00C26A71"/>
    <w:rsid w:val="00C40559"/>
    <w:rsid w:val="00C40BA4"/>
    <w:rsid w:val="00C54BB9"/>
    <w:rsid w:val="00C70F57"/>
    <w:rsid w:val="00C72443"/>
    <w:rsid w:val="00C920D4"/>
    <w:rsid w:val="00CA4FA7"/>
    <w:rsid w:val="00CB3AEF"/>
    <w:rsid w:val="00CB6BF0"/>
    <w:rsid w:val="00CD05F2"/>
    <w:rsid w:val="00CD4548"/>
    <w:rsid w:val="00CE2B93"/>
    <w:rsid w:val="00CE6FA4"/>
    <w:rsid w:val="00CE70CC"/>
    <w:rsid w:val="00CF1BC0"/>
    <w:rsid w:val="00D019D4"/>
    <w:rsid w:val="00D02889"/>
    <w:rsid w:val="00D02999"/>
    <w:rsid w:val="00D03867"/>
    <w:rsid w:val="00D117E6"/>
    <w:rsid w:val="00D414DE"/>
    <w:rsid w:val="00D43324"/>
    <w:rsid w:val="00D55B22"/>
    <w:rsid w:val="00D56519"/>
    <w:rsid w:val="00D6700A"/>
    <w:rsid w:val="00D67150"/>
    <w:rsid w:val="00D72EEA"/>
    <w:rsid w:val="00D7542C"/>
    <w:rsid w:val="00D90F1D"/>
    <w:rsid w:val="00D91F9F"/>
    <w:rsid w:val="00D92737"/>
    <w:rsid w:val="00DA7A8F"/>
    <w:rsid w:val="00DB3EA3"/>
    <w:rsid w:val="00DB40C5"/>
    <w:rsid w:val="00DB5DBD"/>
    <w:rsid w:val="00DB6227"/>
    <w:rsid w:val="00DC370F"/>
    <w:rsid w:val="00DC558E"/>
    <w:rsid w:val="00DC65B9"/>
    <w:rsid w:val="00DF13F8"/>
    <w:rsid w:val="00E00A6B"/>
    <w:rsid w:val="00E073EC"/>
    <w:rsid w:val="00E14E40"/>
    <w:rsid w:val="00E201FD"/>
    <w:rsid w:val="00E20828"/>
    <w:rsid w:val="00E316E0"/>
    <w:rsid w:val="00E4229E"/>
    <w:rsid w:val="00E44390"/>
    <w:rsid w:val="00E45CF5"/>
    <w:rsid w:val="00E50090"/>
    <w:rsid w:val="00E539B2"/>
    <w:rsid w:val="00E66055"/>
    <w:rsid w:val="00E81664"/>
    <w:rsid w:val="00E90E13"/>
    <w:rsid w:val="00E915D8"/>
    <w:rsid w:val="00EA17D9"/>
    <w:rsid w:val="00EA35B3"/>
    <w:rsid w:val="00EB1A20"/>
    <w:rsid w:val="00EB62F1"/>
    <w:rsid w:val="00EB6DC3"/>
    <w:rsid w:val="00EC6369"/>
    <w:rsid w:val="00ED7068"/>
    <w:rsid w:val="00EE03D0"/>
    <w:rsid w:val="00EF6852"/>
    <w:rsid w:val="00F13B49"/>
    <w:rsid w:val="00F14015"/>
    <w:rsid w:val="00F218B8"/>
    <w:rsid w:val="00F255A9"/>
    <w:rsid w:val="00F25FB9"/>
    <w:rsid w:val="00F332DB"/>
    <w:rsid w:val="00F37E18"/>
    <w:rsid w:val="00F4441B"/>
    <w:rsid w:val="00F52B6D"/>
    <w:rsid w:val="00F53EE6"/>
    <w:rsid w:val="00F543E8"/>
    <w:rsid w:val="00F572F4"/>
    <w:rsid w:val="00F604B1"/>
    <w:rsid w:val="00F61DB6"/>
    <w:rsid w:val="00F65E1C"/>
    <w:rsid w:val="00F91466"/>
    <w:rsid w:val="00F91844"/>
    <w:rsid w:val="00F9194D"/>
    <w:rsid w:val="00FA16C8"/>
    <w:rsid w:val="00FA388B"/>
    <w:rsid w:val="00FA5583"/>
    <w:rsid w:val="00FA5BE7"/>
    <w:rsid w:val="00FA5DA8"/>
    <w:rsid w:val="00FB5158"/>
    <w:rsid w:val="00FB60CE"/>
    <w:rsid w:val="00FC0300"/>
    <w:rsid w:val="00FC0AE3"/>
    <w:rsid w:val="00FC4FB9"/>
    <w:rsid w:val="00FC7F62"/>
    <w:rsid w:val="00FE1471"/>
    <w:rsid w:val="00FE7E77"/>
    <w:rsid w:val="00FF1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9ED2C8C"/>
  <w15:docId w15:val="{DD2A6EED-81C3-4395-9566-EA6C4AA46C9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7">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l6" w:customStyle="true">
    <w:name w:val="l6"/>
    <w:basedOn w:val="Normln"/>
    <w:rsid w:val="000D381B"/>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paragraph" w:styleId="l7" w:customStyle="true">
    <w:name w:val="l7"/>
    <w:basedOn w:val="Normln"/>
    <w:rsid w:val="000D381B"/>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PromnnHTML">
    <w:name w:val="HTML Variable"/>
    <w:basedOn w:val="Standardnpsmoodstavce"/>
    <w:uiPriority w:val="99"/>
    <w:semiHidden/>
    <w:unhideWhenUsed/>
    <w:rsid w:val="000D381B"/>
    <w:rPr>
      <w:i/>
      <w:iCs/>
    </w:rPr>
  </w:style>
  <w:style w:type="character" w:styleId="Nevyeenzmnka">
    <w:name w:val="Unresolved Mention"/>
    <w:basedOn w:val="Standardnpsmoodstavce"/>
    <w:uiPriority w:val="99"/>
    <w:semiHidden/>
    <w:unhideWhenUsed/>
    <w:rsid w:val="00386EFB"/>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5019768">
      <w:bodyDiv w:val="true"/>
      <w:marLeft w:val="0"/>
      <w:marRight w:val="0"/>
      <w:marTop w:val="0"/>
      <w:marBottom w:val="0"/>
      <w:divBdr>
        <w:top w:val="none" w:color="auto" w:sz="0" w:space="0"/>
        <w:left w:val="none" w:color="auto" w:sz="0" w:space="0"/>
        <w:bottom w:val="none" w:color="auto" w:sz="0" w:space="0"/>
        <w:right w:val="none" w:color="auto" w:sz="0" w:space="0"/>
      </w:divBdr>
    </w:div>
    <w:div w:id="650446742">
      <w:bodyDiv w:val="true"/>
      <w:marLeft w:val="0"/>
      <w:marRight w:val="0"/>
      <w:marTop w:val="0"/>
      <w:marBottom w:val="0"/>
      <w:divBdr>
        <w:top w:val="none" w:color="auto" w:sz="0" w:space="0"/>
        <w:left w:val="none" w:color="auto" w:sz="0" w:space="0"/>
        <w:bottom w:val="none" w:color="auto" w:sz="0" w:space="0"/>
        <w:right w:val="none" w:color="auto" w:sz="0" w:space="0"/>
      </w:divBdr>
    </w:div>
    <w:div w:id="737434136">
      <w:bodyDiv w:val="true"/>
      <w:marLeft w:val="0"/>
      <w:marRight w:val="0"/>
      <w:marTop w:val="0"/>
      <w:marBottom w:val="0"/>
      <w:divBdr>
        <w:top w:val="none" w:color="auto" w:sz="0" w:space="0"/>
        <w:left w:val="none" w:color="auto" w:sz="0" w:space="0"/>
        <w:bottom w:val="none" w:color="auto" w:sz="0" w:space="0"/>
        <w:right w:val="none" w:color="auto" w:sz="0" w:space="0"/>
      </w:divBdr>
    </w:div>
    <w:div w:id="848524935">
      <w:bodyDiv w:val="true"/>
      <w:marLeft w:val="0"/>
      <w:marRight w:val="0"/>
      <w:marTop w:val="0"/>
      <w:marBottom w:val="0"/>
      <w:divBdr>
        <w:top w:val="none" w:color="auto" w:sz="0" w:space="0"/>
        <w:left w:val="none" w:color="auto" w:sz="0" w:space="0"/>
        <w:bottom w:val="none" w:color="auto" w:sz="0" w:space="0"/>
        <w:right w:val="none" w:color="auto" w:sz="0" w:space="0"/>
      </w:divBdr>
    </w:div>
    <w:div w:id="960191394">
      <w:bodyDiv w:val="true"/>
      <w:marLeft w:val="0"/>
      <w:marRight w:val="0"/>
      <w:marTop w:val="0"/>
      <w:marBottom w:val="0"/>
      <w:divBdr>
        <w:top w:val="none" w:color="auto" w:sz="0" w:space="0"/>
        <w:left w:val="none" w:color="auto" w:sz="0" w:space="0"/>
        <w:bottom w:val="none" w:color="auto" w:sz="0" w:space="0"/>
        <w:right w:val="none" w:color="auto" w:sz="0" w:space="0"/>
      </w:divBdr>
    </w:div>
    <w:div w:id="1047142972">
      <w:bodyDiv w:val="true"/>
      <w:marLeft w:val="0"/>
      <w:marRight w:val="0"/>
      <w:marTop w:val="0"/>
      <w:marBottom w:val="0"/>
      <w:divBdr>
        <w:top w:val="none" w:color="auto" w:sz="0" w:space="0"/>
        <w:left w:val="none" w:color="auto" w:sz="0" w:space="0"/>
        <w:bottom w:val="none" w:color="auto" w:sz="0" w:space="0"/>
        <w:right w:val="none" w:color="auto" w:sz="0" w:space="0"/>
      </w:divBdr>
    </w:div>
    <w:div w:id="1480001727">
      <w:bodyDiv w:val="true"/>
      <w:marLeft w:val="0"/>
      <w:marRight w:val="0"/>
      <w:marTop w:val="0"/>
      <w:marBottom w:val="0"/>
      <w:divBdr>
        <w:top w:val="none" w:color="auto" w:sz="0" w:space="0"/>
        <w:left w:val="none" w:color="auto" w:sz="0" w:space="0"/>
        <w:bottom w:val="none" w:color="auto" w:sz="0" w:space="0"/>
        <w:right w:val="none" w:color="auto" w:sz="0" w:space="0"/>
      </w:divBdr>
    </w:div>
    <w:div w:id="1629163475">
      <w:bodyDiv w:val="true"/>
      <w:marLeft w:val="0"/>
      <w:marRight w:val="0"/>
      <w:marTop w:val="0"/>
      <w:marBottom w:val="0"/>
      <w:divBdr>
        <w:top w:val="none" w:color="auto" w:sz="0" w:space="0"/>
        <w:left w:val="none" w:color="auto" w:sz="0" w:space="0"/>
        <w:bottom w:val="none" w:color="auto" w:sz="0" w:space="0"/>
        <w:right w:val="none" w:color="auto" w:sz="0" w:space="0"/>
      </w:divBdr>
    </w:div>
    <w:div w:id="18443218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0820CCF-DEBE-4E67-9743-86523ECDDEF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2482</properties:Words>
  <properties:Characters>14644</properties:Characters>
  <properties:Lines>122</properties:Lines>
  <properties:Paragraphs>34</properties:Paragraphs>
  <properties:TotalTime>480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17092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2017-12-20T13:38:00Z</dcterms:created>
  <dc:creator/>
  <cp:lastModifiedBy/>
  <cp:lastPrinted>2019-09-26T08:31:00Z</cp:lastPrinted>
  <dcterms:modified xmlns:xsi="http://www.w3.org/2001/XMLSchema-instance" xsi:type="dcterms:W3CDTF">2019-09-30T12:13:00Z</dcterms:modified>
  <cp:revision>34</cp:revision>
</cp:coreProperties>
</file>