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sídlem: Vodárenská 732, Lobeček,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………….</w:t>
      </w:r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………..</w:t>
      </w:r>
      <w:r w:rsidRPr="00B134CC">
        <w:rPr>
          <w:sz w:val="22"/>
          <w:szCs w:val="22"/>
        </w:rPr>
        <w:t xml:space="preserve"> soudem v </w:t>
      </w:r>
      <w:r w:rsidRPr="00052891">
        <w:rPr>
          <w:sz w:val="22"/>
          <w:szCs w:val="22"/>
          <w:highlight w:val="yellow"/>
        </w:rPr>
        <w:t>……..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……………..,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C30062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C30062">
        <w:rPr>
          <w:b/>
          <w:color w:val="000000"/>
          <w:sz w:val="32"/>
        </w:rPr>
        <w:t>POSKYTNUTÍ SLUŽEB</w:t>
      </w:r>
      <w:r w:rsidRPr="008110F9">
        <w:rPr>
          <w:b/>
          <w:color w:val="000000"/>
          <w:sz w:val="32"/>
        </w:rPr>
        <w:t xml:space="preserve"> 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="006E10E5">
        <w:rPr>
          <w:i/>
          <w:color w:val="000000"/>
          <w:sz w:val="22"/>
          <w:szCs w:val="22"/>
        </w:rPr>
        <w:t xml:space="preserve">koučink, mentoring a další školení z oblasti HR se zaměřením na Age management </w:t>
      </w:r>
      <w:r w:rsidRPr="00486F40" w:rsidR="00772BCA">
        <w:rPr>
          <w:i/>
          <w:color w:val="000000"/>
          <w:sz w:val="22"/>
          <w:szCs w:val="22"/>
        </w:rPr>
        <w:t>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C30062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D7102E">
        <w:rPr>
          <w:b/>
          <w:sz w:val="22"/>
          <w:szCs w:val="22"/>
        </w:rPr>
        <w:t>B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Pr="00D7102E" w:rsidR="00D7102E" w:rsidP="00D7102E" w:rsidRDefault="002E6782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>kompletní obsahové, lektorské a organizační zajištění realizace</w:t>
      </w:r>
      <w:r w:rsidR="00D7102E">
        <w:rPr>
          <w:sz w:val="22"/>
          <w:szCs w:val="22"/>
        </w:rPr>
        <w:t xml:space="preserve"> 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>Část</w:t>
      </w:r>
      <w:r w:rsidRPr="00D7102E" w:rsidR="00D7102E">
        <w:rPr>
          <w:b/>
          <w:color w:val="333333"/>
          <w:sz w:val="22"/>
          <w:shd w:val="clear" w:color="auto" w:fill="FFFFFF"/>
        </w:rPr>
        <w:t>i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 xml:space="preserve"> B</w:t>
      </w:r>
      <w:r w:rsidRPr="00D7102E" w:rsidR="00D7102E">
        <w:rPr>
          <w:b/>
          <w:color w:val="333333"/>
          <w:sz w:val="22"/>
          <w:shd w:val="clear" w:color="auto" w:fill="FFFFFF"/>
        </w:rPr>
        <w:t xml:space="preserve"> zakázky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 xml:space="preserve">: </w:t>
      </w:r>
      <w:r w:rsidRPr="008B5FFC" w:rsidR="008B5FFC">
        <w:rPr>
          <w:b/>
          <w:color w:val="333333"/>
          <w:sz w:val="22"/>
          <w:szCs w:val="22"/>
          <w:shd w:val="clear" w:color="auto" w:fill="FFFFFF"/>
        </w:rPr>
        <w:t xml:space="preserve">Mentoring, školení a trénink </w:t>
      </w:r>
      <w:r w:rsidR="00A35840">
        <w:rPr>
          <w:b/>
          <w:color w:val="333333"/>
          <w:sz w:val="22"/>
          <w:szCs w:val="22"/>
          <w:shd w:val="clear" w:color="auto" w:fill="FFFFFF"/>
        </w:rPr>
        <w:t>v</w:t>
      </w:r>
      <w:bookmarkStart w:name="_GoBack" w:id="0"/>
      <w:bookmarkEnd w:id="0"/>
      <w:r w:rsidRPr="008B5FFC" w:rsidR="008B5FFC">
        <w:rPr>
          <w:b/>
          <w:color w:val="333333"/>
          <w:sz w:val="22"/>
          <w:szCs w:val="22"/>
          <w:shd w:val="clear" w:color="auto" w:fill="FFFFFF"/>
        </w:rPr>
        <w:t xml:space="preserve"> oblasti HR se zaměřením na Age management</w:t>
      </w:r>
      <w:r w:rsidR="00D7102E">
        <w:rPr>
          <w:b/>
          <w:color w:val="333333"/>
          <w:sz w:val="22"/>
          <w:szCs w:val="22"/>
          <w:shd w:val="clear" w:color="auto" w:fill="FFFFFF"/>
        </w:rPr>
        <w:t>.</w:t>
      </w:r>
    </w:p>
    <w:p w:rsidRPr="00D7102E" w:rsidR="00D7102E" w:rsidP="00D7102E" w:rsidRDefault="00D7102E">
      <w:pPr>
        <w:pStyle w:val="Tabulkatext"/>
        <w:spacing w:before="0" w:after="0"/>
        <w:ind w:left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lastRenderedPageBreak/>
        <w:t xml:space="preserve">MENTORING –kurz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pro skupinu max. 8 osob</w:t>
      </w: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(interní lektoři/mentoři)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Jednodenní školení – max. 8 osob á 8 hod (1 hod = 60 min), realizace ve školícím střediskuJP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školení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: Posílení mentorských kompetencí, aplikace nových prvků do vzdělávání cílové skupiny.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Vysvětlení základních pojmů.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Role mentora, klíčové mentorské dovednosti, principy personální politiky.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Zásady účinné komunikace mentora, efektivní komunikace.  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Zásady vedení mentorského rozhovoru, používání zpětné vazby aj.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Zásady typologie osob, odhadování lidí, sdělování kritiky/pochvaly, výhody věkově diverzifikovaných pracovních týmů, WorkAbility Index </w:t>
      </w:r>
      <w:r w:rsidRPr="008E574C">
        <w:rPr>
          <w:rFonts w:ascii="Times New Roman" w:hAnsi="Times New Roman"/>
          <w:i/>
          <w:iCs/>
          <w:color w:val="333333"/>
          <w:szCs w:val="20"/>
          <w:shd w:val="clear" w:color="auto" w:fill="FFFFFF"/>
        </w:rPr>
        <w:t>(cílem je seznámit CS s metodou Work Ability Index k získání celkového přehledu a možností využití této metody. Realizaci měření Work Ability Index musí řešit pouze licencovaní lékaři, což není předmětem tohoto kurzu.)</w:t>
      </w:r>
    </w:p>
    <w:p w:rsidRPr="008E574C" w:rsidR="008E574C" w:rsidP="008E574C" w:rsidRDefault="008E574C">
      <w:pPr>
        <w:pStyle w:val="Tabulkatext"/>
        <w:numPr>
          <w:ilvl w:val="0"/>
          <w:numId w:val="14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Význam mentoringu, jeho uplatňování a přínosy, příklady dobré praxe.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MEZIGENERAČNÍ KOMUNIKACE – skupinový kurz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max. 4 osoby (manažeři/interní mentoři)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: 2 dny á max. 4 osoby á 8 hodin (1 hodina = 60 minut), realizace na území Středočeského kraje s výjimkou hl. m. Prahy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u w:val="single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kurzu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: Posílení mentorských kompetencí manažerů/mentorů v oblasti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 xml:space="preserve">Age managementu. </w:t>
      </w:r>
    </w:p>
    <w:p w:rsidRPr="008E574C" w:rsidR="008E574C" w:rsidP="008E574C" w:rsidRDefault="008E574C">
      <w:pPr>
        <w:pStyle w:val="Tabulkatext"/>
        <w:numPr>
          <w:ilvl w:val="0"/>
          <w:numId w:val="15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Komunikace s ohledem na věkovou diverzitu v týmu, komunikace pravidel, která mají být dodržována.</w:t>
      </w:r>
    </w:p>
    <w:p w:rsidRPr="008E574C" w:rsidR="008E574C" w:rsidP="008E574C" w:rsidRDefault="008E574C">
      <w:pPr>
        <w:pStyle w:val="Tabulkatext"/>
        <w:numPr>
          <w:ilvl w:val="0"/>
          <w:numId w:val="15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Mezigenerační komunikace v týmu a podávání zpětné vazby.</w:t>
      </w:r>
    </w:p>
    <w:p w:rsidRPr="008E574C" w:rsidR="008E574C" w:rsidP="008E574C" w:rsidRDefault="008E574C">
      <w:pPr>
        <w:pStyle w:val="Tabulkatext"/>
        <w:numPr>
          <w:ilvl w:val="0"/>
          <w:numId w:val="15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Zacílení společného jednání (např. porady, plánování)</w:t>
      </w:r>
    </w:p>
    <w:p w:rsidRPr="008E574C" w:rsidR="008E574C" w:rsidP="008E574C" w:rsidRDefault="008E574C">
      <w:pPr>
        <w:pStyle w:val="Tabulkatext"/>
        <w:numPr>
          <w:ilvl w:val="0"/>
          <w:numId w:val="15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Rozhodování konfliktů mezi podřízenými</w:t>
      </w:r>
    </w:p>
    <w:p w:rsidRPr="008E574C" w:rsidR="008E574C" w:rsidP="008E574C" w:rsidRDefault="008E574C">
      <w:pPr>
        <w:pStyle w:val="Tabulkatext"/>
        <w:numPr>
          <w:ilvl w:val="0"/>
          <w:numId w:val="15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Udržení kontroly nad rozhovorem při moderaci aj.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PROFESNÍ SENIORITA – skupinový kurz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max. 8 osob (manažeři)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2 dny á max. 8 osob á 8 hodin (1 hod = 60 min), realizace ve školícím středisku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u w:val="single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kurzu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: Posílení kompetencí manažerů v oblasti profesního a osobního rozvoje.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Podporovat účastníky v motivaci k úspěšném vykonávání práce, cílevědomosti a vyšší výkonnosti.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Podporovat účastníky při plánování pracovní kariéry a profesních cílů v rámci firmy.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Podporovat duševní pohodu a zdravotní kondici.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Předcházet syndromu vyhoření a depresi.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Zaměřovat se na prevenci předčasného odchodu do důchodu.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Posilovat kladný postoj k celoživotnímu vzdělávání a osobnímu rozvoji.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Rozvíjet schopnost zvládat změny.</w:t>
      </w:r>
    </w:p>
    <w:p w:rsidRPr="008E574C" w:rsidR="008E574C" w:rsidP="008E574C" w:rsidRDefault="008E574C">
      <w:pPr>
        <w:pStyle w:val="Tabulkatext"/>
        <w:numPr>
          <w:ilvl w:val="0"/>
          <w:numId w:val="16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Rozvíjet komunikační dovednosti.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OTEVŘENÝ KURZ ŘÍZENÍ ZMĚN/PROCESNÍ ŘÍZENÍ – kurz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1 osobu (TOP manažer)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2 dny á 8 hodin (1 hod = 60 min) pro TOP manažera (1 osoba), realizace na území Středočeského kraje s výjimkou hl. m. Prahy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kurzu: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Posílení kompetencí TOP manažera v oblasti procesního řízení. 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Příprava komunikačního plánu pro zaměstnance i management. 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Řízení týmu a správná aplikace nástrojů, zajišťujících úspěšný průběh. 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Kombinace projektové techniky s řízením změn.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lastRenderedPageBreak/>
        <w:t xml:space="preserve">Iniciace a implementace změn v organizaci tak, aby při jejich zavádění byla zajištěna maximální míra podpory. 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Řízení strategické úrovně Change Managementu v organizaci. </w:t>
      </w:r>
    </w:p>
    <w:p w:rsidRPr="008E574C" w:rsidR="008E574C" w:rsidP="008E574C" w:rsidRDefault="008E574C">
      <w:pPr>
        <w:pStyle w:val="Tabulkatext"/>
        <w:numPr>
          <w:ilvl w:val="0"/>
          <w:numId w:val="17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Osvojení si nových procesů a postupů práce s ohledem na principy Age managementu.</w:t>
      </w:r>
    </w:p>
    <w:p w:rsidRPr="008E574C" w:rsidR="008E574C" w:rsidP="008E574C" w:rsidRDefault="008E574C">
      <w:pPr>
        <w:pStyle w:val="Tabulkatext"/>
        <w:spacing w:after="0"/>
        <w:ind w:left="0"/>
        <w:jc w:val="both"/>
        <w:rPr>
          <w:rFonts w:ascii="Times New Roman" w:hAnsi="Times New Roman"/>
          <w:b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MANAŽERSKÉ KOMPETENCE – workshopy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max. 24 osob (osoby ze středního managementu společnosti)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6 workshopů x 2 skupiny (max. 24 osob), 1 workshop = 8 hodin (1 hodina = 60 minut), realizace 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skupinového kurzu: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Posílení manažerských kompetencí pro zaměstnance „středního managementu“. 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Myšlení manažera.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Nastavování a vyhodnocování cílů.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Poznat klíč k rozvíjení potenciálu sebe samých i svého diverzifikovaného týmu.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Osvojit si řešení modelových konfliktních situací.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Zásady asertivní komunikace a manažerského rozhodování a využití nejen komunikaci,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ale i schopnosti delegovat.</w:t>
      </w:r>
    </w:p>
    <w:p w:rsidRPr="008E574C" w:rsidR="008E574C" w:rsidP="008E574C" w:rsidRDefault="008E574C">
      <w:pPr>
        <w:pStyle w:val="Tabulkatext"/>
        <w:numPr>
          <w:ilvl w:val="0"/>
          <w:numId w:val="18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Age Management.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ADAPTABILITA „STARŠÍ“ GENERACE PRACOVNÍKŮ– workshopy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max.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20–24 osob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</w:t>
      </w:r>
      <w:r w:rsidRPr="008E574C">
        <w:rPr>
          <w:rFonts w:ascii="Times New Roman" w:hAnsi="Times New Roman"/>
          <w:color w:val="auto"/>
          <w:szCs w:val="20"/>
          <w:u w:val="single"/>
          <w:shd w:val="clear" w:color="auto" w:fill="FFFFFF"/>
        </w:rPr>
        <w:t>:</w:t>
      </w:r>
      <w:r w:rsidRPr="008E574C">
        <w:rPr>
          <w:rFonts w:ascii="Times New Roman" w:hAnsi="Times New Roman"/>
          <w:color w:val="auto"/>
          <w:szCs w:val="20"/>
          <w:shd w:val="clear" w:color="auto" w:fill="FFFFFF"/>
        </w:rPr>
        <w:t xml:space="preserve"> 2 workshopy v běhu x 2 skupiny (1 skupina = max. 12 osob), 1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workshop = 8 hodin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(1 hodina = 60 minut), realizace 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skupinového kurzu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: Vzdělávací program na podporu adaptability „starší“ generace pracovníků se zaměřením na další aktivní zapojení ve společnosti i po ukončení HPP (např. jako mentoři, aby mohli své dosavadní zkušenosti předávat mladším kolegům). Zajištění prevence (zdravotní problémy, syndrom vyhoření, úbytek pracovních schopností aj.), přípravu na aktivní senioritu a posílení gramotnosti v digitálním věku aj.</w:t>
      </w:r>
    </w:p>
    <w:p w:rsidRPr="008E574C" w:rsidR="008E574C" w:rsidP="008E574C" w:rsidRDefault="008E574C">
      <w:pPr>
        <w:pStyle w:val="Tabulkatex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Antistresový program jako prevence syndromu vyhoření, umění relaxovat, zdravotní problémy, prevence</w:t>
      </w:r>
    </w:p>
    <w:p w:rsidRPr="008E574C" w:rsidR="008E574C" w:rsidP="008E574C" w:rsidRDefault="008E574C">
      <w:pPr>
        <w:pStyle w:val="Tabulkatex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Příprava na aktivní stáří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 xml:space="preserve">TALENT MANAGEMENT – skupinové workshopy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pro celkem max. 10 osob (talenti)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4 workshopy á 8 hodin (1hod = 60 min)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             2 skupiny (1 skupina = max 5 osob)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Realizace 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u w:val="single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Obsahová náplň workshopů: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Posílení kompetencí talentů v oblasti osobního a profesního rozvoje. </w:t>
      </w:r>
    </w:p>
    <w:p w:rsidRPr="008E574C" w:rsidR="008E574C" w:rsidP="008E574C" w:rsidRDefault="008E574C">
      <w:pPr>
        <w:pStyle w:val="Tabulkatext"/>
        <w:numPr>
          <w:ilvl w:val="0"/>
          <w:numId w:val="19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Používané nástroje personálního řízení.</w:t>
      </w:r>
    </w:p>
    <w:p w:rsidRPr="008E574C" w:rsidR="008E574C" w:rsidP="008E574C" w:rsidRDefault="008E574C">
      <w:pPr>
        <w:pStyle w:val="Tabulkatext"/>
        <w:numPr>
          <w:ilvl w:val="0"/>
          <w:numId w:val="19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Základy projektového řízení.</w:t>
      </w:r>
    </w:p>
    <w:p w:rsidRPr="008E574C" w:rsidR="008E574C" w:rsidP="008E574C" w:rsidRDefault="008E574C">
      <w:pPr>
        <w:pStyle w:val="Tabulkatext"/>
        <w:numPr>
          <w:ilvl w:val="0"/>
          <w:numId w:val="19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Moderní trendy do personálních procesů, slaďování pracovního a rodinného života.</w:t>
      </w:r>
    </w:p>
    <w:p w:rsidRPr="008E574C" w:rsidR="008E574C" w:rsidP="008E574C" w:rsidRDefault="008E574C">
      <w:pPr>
        <w:pStyle w:val="Tabulkatext"/>
        <w:numPr>
          <w:ilvl w:val="0"/>
          <w:numId w:val="19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Umění implementace silné stránky spolupráce různých věkových kategorií.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DEVELOPMENT CENTRUM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– skupinově pro max. 10 osob (talenti)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2 dny á 8 hodin (1 hod = 60 min) á 2 skupiny (1 skupina = max. 5 osob), realizace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u w:val="single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 xml:space="preserve">Obsahová náplň DC: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Posílení kompetencí talentů v oblasti osobního a profesního rozvoje. </w:t>
      </w:r>
    </w:p>
    <w:p w:rsidRPr="008E574C" w:rsidR="008E574C" w:rsidP="008E574C" w:rsidRDefault="008E574C">
      <w:pPr>
        <w:pStyle w:val="Tabulkatext"/>
        <w:numPr>
          <w:ilvl w:val="0"/>
          <w:numId w:val="20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Přinést spolehlivé a relevantní informace o silných stránkách zaměstnanců a jejich oblastí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k rozvoji.</w:t>
      </w:r>
    </w:p>
    <w:p w:rsidRPr="008E574C" w:rsidR="008E574C" w:rsidP="008E574C" w:rsidRDefault="008E574C">
      <w:pPr>
        <w:pStyle w:val="Tabulkatext"/>
        <w:numPr>
          <w:ilvl w:val="0"/>
          <w:numId w:val="20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Na základě DC dále vhodně zaměřit další rozvojové aktivity (tréninky, koučování, mentoring) na ty oblasti, které zaměstnanci skutečně potřebují rozvíjet.</w:t>
      </w:r>
    </w:p>
    <w:p w:rsidRPr="008E574C" w:rsidR="008E574C" w:rsidP="008E574C" w:rsidRDefault="008E574C">
      <w:pPr>
        <w:pStyle w:val="Tabulkatext"/>
        <w:numPr>
          <w:ilvl w:val="0"/>
          <w:numId w:val="20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Diagnostika koncepčního myšlení, kreativity, sebereflexe, organizačních schopností, týmové práce apod.</w:t>
      </w:r>
    </w:p>
    <w:p w:rsidRPr="008E574C" w:rsidR="008E574C" w:rsidP="008E574C" w:rsidRDefault="008E574C">
      <w:pPr>
        <w:pStyle w:val="Tabulkatext"/>
        <w:numPr>
          <w:ilvl w:val="0"/>
          <w:numId w:val="20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lastRenderedPageBreak/>
        <w:t xml:space="preserve">Zvýšit kompetence interních hodnotitelů </w:t>
      </w:r>
    </w:p>
    <w:p w:rsidRPr="008E574C" w:rsidR="008E574C" w:rsidP="008E574C" w:rsidRDefault="008E574C">
      <w:pPr>
        <w:pStyle w:val="Tabulkatext"/>
        <w:numPr>
          <w:ilvl w:val="0"/>
          <w:numId w:val="20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Nastavení individuálních rozvojových programů aj..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PROJEKTOVÉ ŘÍZENÍ – skupinový kurz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pro max. 10 osob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5 dní á 8 hodin (1 hod = 60 min) á 2 skupiny (1 skupiny = max. 5 lidí), realizace 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u w:val="single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 xml:space="preserve">Obsahová náplň kurzu: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Posílení kompetencí talentů v oblasti projektového řízení.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Úvod do projektového řízení.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Úspěšné řízení projektu.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Management projektu.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Životní cyklus projektu.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Rizika, příležitosti, kvalita a problémy.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Změny, kontrola a řízení zpráv.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Nástroje projektového řízení.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SWOT analýza.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Logický rámec.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Studie proveditelnosti.</w:t>
      </w:r>
    </w:p>
    <w:p w:rsidRPr="008E574C" w:rsidR="008E574C" w:rsidP="008E574C" w:rsidRDefault="008E574C">
      <w:pPr>
        <w:pStyle w:val="Tabulkatext"/>
        <w:numPr>
          <w:ilvl w:val="0"/>
          <w:numId w:val="21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Finanční plán.</w:t>
      </w:r>
    </w:p>
    <w:p w:rsidRPr="008E574C" w:rsidR="008E574C" w:rsidP="008E574C" w:rsidRDefault="008E574C">
      <w:pPr>
        <w:pStyle w:val="Tabulkatext"/>
        <w:spacing w:after="0"/>
        <w:ind w:left="0"/>
        <w:rPr>
          <w:rFonts w:ascii="Times New Roman" w:hAnsi="Times New Roman"/>
          <w:color w:val="333333"/>
          <w:szCs w:val="20"/>
          <w:shd w:val="clear" w:color="auto" w:fill="FFFFFF"/>
        </w:rPr>
      </w:pPr>
    </w:p>
    <w:p w:rsidRPr="008E574C" w:rsidR="008E574C" w:rsidP="008E574C" w:rsidRDefault="008E574C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b/>
          <w:color w:val="333333"/>
          <w:szCs w:val="20"/>
          <w:shd w:val="clear" w:color="auto" w:fill="FFFFFF"/>
        </w:rPr>
        <w:t>MANAŽERSKÉ STYLY ŘÍZENÍ SE ZAMĚŘENÍM NA AGE MANAGEMENT – skupinový kurz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celkem pro max. 10 osob (talenti)</w:t>
      </w:r>
    </w:p>
    <w:p w:rsidRPr="008E574C" w:rsidR="008E574C" w:rsidP="008E574C" w:rsidRDefault="008E574C">
      <w:pPr>
        <w:pStyle w:val="Tabulkatext"/>
        <w:spacing w:after="0"/>
        <w:jc w:val="both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>Rozsah: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 xml:space="preserve"> 2 dny á 8 hodin (1 hod = 60 min) á 2 skupiny (1 skupina = max. 5 osob), realizace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br/>
        <w:t>ve školícím středisku JP Spedition &amp; Transport s.r.o., Kralupy nad Vltavou</w:t>
      </w:r>
    </w:p>
    <w:p w:rsidRPr="008E574C" w:rsidR="008E574C" w:rsidP="008E574C" w:rsidRDefault="008E574C">
      <w:pPr>
        <w:pStyle w:val="Tabulkatext"/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u w:val="single"/>
          <w:shd w:val="clear" w:color="auto" w:fill="FFFFFF"/>
        </w:rPr>
        <w:t xml:space="preserve">Obsahová náplň skupinového kurzu: </w:t>
      </w: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Posílení kompetencí talentů v oblasti manažerských stylů řízení se zaměřením na Age management.</w:t>
      </w:r>
    </w:p>
    <w:p w:rsidRPr="008E574C" w:rsidR="008E574C" w:rsidP="008E574C" w:rsidRDefault="008E574C">
      <w:pPr>
        <w:pStyle w:val="Tabulkatext"/>
        <w:numPr>
          <w:ilvl w:val="0"/>
          <w:numId w:val="22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Manažerské styly řízení s ohledem na věkovou diverzitu (age management).</w:t>
      </w:r>
    </w:p>
    <w:p w:rsidRPr="008E574C" w:rsidR="008E574C" w:rsidP="008E574C" w:rsidRDefault="008E574C">
      <w:pPr>
        <w:pStyle w:val="Tabulkatext"/>
        <w:numPr>
          <w:ilvl w:val="0"/>
          <w:numId w:val="22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Řízení lidí a týmů (psychologické aspekty).</w:t>
      </w:r>
    </w:p>
    <w:p w:rsidRPr="008E574C" w:rsidR="008E574C" w:rsidP="008E574C" w:rsidRDefault="008E574C">
      <w:pPr>
        <w:pStyle w:val="Tabulkatext"/>
        <w:numPr>
          <w:ilvl w:val="0"/>
          <w:numId w:val="22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Podstata řízení lidí a leadershipu v praktické aplikaci.</w:t>
      </w:r>
    </w:p>
    <w:p w:rsidRPr="008E574C" w:rsidR="008E574C" w:rsidP="008E574C" w:rsidRDefault="008E574C">
      <w:pPr>
        <w:pStyle w:val="Tabulkatext"/>
        <w:numPr>
          <w:ilvl w:val="0"/>
          <w:numId w:val="22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Posílení přirozené autority u svých podřízených, principy budování autority.</w:t>
      </w:r>
    </w:p>
    <w:p w:rsidRPr="008E574C" w:rsidR="008E574C" w:rsidP="008E574C" w:rsidRDefault="008E574C">
      <w:pPr>
        <w:pStyle w:val="Tabulkatext"/>
        <w:numPr>
          <w:ilvl w:val="0"/>
          <w:numId w:val="22"/>
        </w:numPr>
        <w:spacing w:after="0"/>
        <w:rPr>
          <w:rFonts w:ascii="Times New Roman" w:hAnsi="Times New Roman"/>
          <w:color w:val="333333"/>
          <w:szCs w:val="20"/>
          <w:shd w:val="clear" w:color="auto" w:fill="FFFFFF"/>
        </w:rPr>
      </w:pPr>
      <w:r w:rsidRPr="008E574C">
        <w:rPr>
          <w:rFonts w:ascii="Times New Roman" w:hAnsi="Times New Roman"/>
          <w:color w:val="333333"/>
          <w:szCs w:val="20"/>
          <w:shd w:val="clear" w:color="auto" w:fill="FFFFFF"/>
        </w:rPr>
        <w:t>Efektivní delegování jako nástroj pro vedení lidí a podpora aktivizace.</w:t>
      </w:r>
    </w:p>
    <w:p w:rsidRPr="00D7102E" w:rsidR="00D7102E" w:rsidP="00D7102E" w:rsidRDefault="00D7102E">
      <w:pPr>
        <w:rPr>
          <w:sz w:val="22"/>
          <w:szCs w:val="22"/>
        </w:rPr>
      </w:pPr>
    </w:p>
    <w:p w:rsidRPr="00486F40" w:rsidR="00D7102E" w:rsidP="00D7102E" w:rsidRDefault="00D7102E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„Dílo“).</w:t>
      </w:r>
    </w:p>
    <w:p w:rsidRPr="00F2272F" w:rsidR="00D7102E" w:rsidP="002E6782" w:rsidRDefault="00D7102E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D7102E">
        <w:rPr>
          <w:b/>
          <w:sz w:val="22"/>
          <w:szCs w:val="22"/>
        </w:rPr>
        <w:t>B</w:t>
      </w:r>
      <w:r w:rsidR="009D333F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</w:t>
      </w:r>
      <w:r w:rsidRPr="00F2272F" w:rsidR="00B3255D">
        <w:rPr>
          <w:sz w:val="22"/>
          <w:szCs w:val="22"/>
        </w:rPr>
        <w:lastRenderedPageBreak/>
        <w:t xml:space="preserve">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a </w:t>
      </w:r>
      <w:r>
        <w:rPr>
          <w:sz w:val="22"/>
          <w:szCs w:val="22"/>
        </w:rPr>
        <w:t xml:space="preserve">místech k tomu </w:t>
      </w:r>
      <w:r w:rsidR="00C30062">
        <w:rPr>
          <w:sz w:val="22"/>
          <w:szCs w:val="22"/>
        </w:rPr>
        <w:t>odsouhlasených</w:t>
      </w:r>
      <w:r>
        <w:rPr>
          <w:sz w:val="22"/>
          <w:szCs w:val="22"/>
        </w:rPr>
        <w:t xml:space="preserve"> JP Spedition v rámci Středočeského kraje.</w:t>
      </w:r>
    </w:p>
    <w:p w:rsidRPr="00230EC5" w:rsidR="00C30062" w:rsidP="00C30062" w:rsidRDefault="00C30062">
      <w:pPr>
        <w:spacing w:after="160" w:line="259" w:lineRule="auto"/>
        <w:contextualSpacing/>
        <w:jc w:val="both"/>
        <w:rPr>
          <w:sz w:val="22"/>
          <w:szCs w:val="22"/>
        </w:rPr>
      </w:pPr>
      <w:r w:rsidRPr="00230EC5">
        <w:rPr>
          <w:sz w:val="22"/>
          <w:szCs w:val="22"/>
        </w:rPr>
        <w:t xml:space="preserve">Pro školení č. </w:t>
      </w:r>
      <w:r>
        <w:t>2 a 4 bodu 1.1 Smlouvy Poskytovatel zajistí</w:t>
      </w:r>
      <w:r w:rsidRPr="00230EC5">
        <w:rPr>
          <w:sz w:val="22"/>
          <w:szCs w:val="22"/>
        </w:rPr>
        <w:t xml:space="preserve"> pronájem vhodných, dopravně dostupných školících prostor</w:t>
      </w:r>
      <w:r w:rsidR="008E574C">
        <w:rPr>
          <w:sz w:val="22"/>
          <w:szCs w:val="22"/>
        </w:rPr>
        <w:t xml:space="preserve"> (vlakem nebo autobusem)</w:t>
      </w:r>
      <w:r w:rsidRPr="00230EC5">
        <w:rPr>
          <w:sz w:val="22"/>
          <w:szCs w:val="22"/>
        </w:rPr>
        <w:t xml:space="preserve"> v rámci Středočeského kraje, avšak mimo území hl. m. Prahy.</w:t>
      </w: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  <w:t>………………………</w:t>
      </w:r>
      <w:r w:rsidRPr="007D70CF">
        <w:rPr>
          <w:color w:val="000000"/>
          <w:sz w:val="22"/>
          <w:szCs w:val="22"/>
          <w:highlight w:val="yellow"/>
        </w:rPr>
        <w:t>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>Cena</w:t>
      </w:r>
      <w:r w:rsidR="00DB418A">
        <w:rPr>
          <w:color w:val="000000"/>
          <w:sz w:val="22"/>
          <w:szCs w:val="22"/>
          <w:highlight w:val="yellow"/>
        </w:rPr>
        <w:t xml:space="preserve"> celkem</w:t>
      </w:r>
      <w:r w:rsidRPr="007D70CF">
        <w:rPr>
          <w:color w:val="000000"/>
          <w:sz w:val="22"/>
          <w:szCs w:val="22"/>
          <w:highlight w:val="yellow"/>
        </w:rPr>
        <w:t xml:space="preserve"> včetně DPH:</w:t>
      </w:r>
      <w:r w:rsidR="00DB418A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 xml:space="preserve"> …………………….(slovy: ……………………………)</w:t>
      </w:r>
    </w:p>
    <w:p w:rsidRPr="003135C0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3135C0">
        <w:rPr>
          <w:sz w:val="22"/>
          <w:szCs w:val="22"/>
        </w:rPr>
        <w:t>Cena za kurz/dle výše uvedených osob a časového rámce: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1) : …………. ,- Kč bez DPH; včetně DPH: …………..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2) :   ………….. ,- Kč bez DPH; včetně DPH:   ………..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3) :   ………… ,- Kč bez DPH; včetně DPH:   ……….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4) :     …………. ,- Kč bez DPH; včetně DPH:     ………..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5) :   ……….. ,- Kč bez DPH; včetně DPH:   …………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6) ………….. ,- Kč bez DPH; včetně DPH: 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7) :   ………… ,- Kč bez DPH; včetně DPH:   ………….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8) :   ………… ,- Kč bez DPH; včetně DPH: …………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9) :   ………… ,- Kč bez DPH; včetně DPH:   …………. ,- Kč</w:t>
      </w:r>
    </w:p>
    <w:p w:rsidRPr="003135C0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DB418A">
        <w:rPr>
          <w:sz w:val="22"/>
          <w:szCs w:val="22"/>
          <w:highlight w:val="yellow"/>
        </w:rPr>
        <w:t>kurz 10) :   ………… ,- Kč bez DPH; včetně DPH: ………… ,- Kč</w:t>
      </w:r>
    </w:p>
    <w:p w:rsidR="00DB418A" w:rsidP="00A93D38" w:rsidRDefault="00DB418A">
      <w:pPr>
        <w:jc w:val="both"/>
        <w:rPr>
          <w:color w:val="000000"/>
          <w:sz w:val="22"/>
          <w:szCs w:val="22"/>
        </w:rPr>
      </w:pP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9D333F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>náklady na cestovné a jízdné</w:t>
      </w:r>
      <w:r w:rsidR="00C30062">
        <w:rPr>
          <w:color w:val="000000"/>
          <w:sz w:val="22"/>
          <w:szCs w:val="22"/>
        </w:rPr>
        <w:t xml:space="preserve"> Poskytovatele</w:t>
      </w:r>
      <w:r w:rsidRPr="002C2C4F">
        <w:rPr>
          <w:color w:val="000000"/>
          <w:sz w:val="22"/>
          <w:szCs w:val="22"/>
        </w:rPr>
        <w:t xml:space="preserve"> 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C30062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C30062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C30062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C30062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C30062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 xml:space="preserve">částí </w:t>
      </w:r>
      <w:r w:rsidR="00C30062">
        <w:rPr>
          <w:color w:val="000000"/>
          <w:sz w:val="22"/>
          <w:szCs w:val="22"/>
        </w:rPr>
        <w:t xml:space="preserve">(jednotlivá školení dle </w:t>
      </w:r>
      <w:r w:rsidR="00C30062">
        <w:rPr>
          <w:color w:val="000000"/>
          <w:sz w:val="22"/>
          <w:szCs w:val="22"/>
        </w:rPr>
        <w:lastRenderedPageBreak/>
        <w:t xml:space="preserve">bodu 1.1 Smlouvy) </w:t>
      </w:r>
      <w:r w:rsidRPr="00C92999">
        <w:rPr>
          <w:color w:val="000000"/>
          <w:sz w:val="22"/>
          <w:szCs w:val="22"/>
        </w:rPr>
        <w:t>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C30062">
        <w:rPr>
          <w:color w:val="000000"/>
          <w:sz w:val="22"/>
          <w:szCs w:val="22"/>
        </w:rPr>
        <w:t>Poskytovatelem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 xml:space="preserve">Povinnou </w:t>
      </w:r>
      <w:r w:rsidR="00107DCB">
        <w:rPr>
          <w:color w:val="000000"/>
          <w:sz w:val="22"/>
          <w:szCs w:val="22"/>
        </w:rPr>
        <w:t>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C30062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(např.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C30062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C30062">
        <w:rPr>
          <w:color w:val="000000"/>
          <w:sz w:val="22"/>
          <w:szCs w:val="22"/>
        </w:rPr>
        <w:t>.</w:t>
      </w:r>
    </w:p>
    <w:p w:rsidR="00C30062" w:rsidP="002E038C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plnění </w:t>
      </w:r>
      <w:r w:rsidR="00147AE0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8E574C">
        <w:rPr>
          <w:color w:val="000000"/>
          <w:sz w:val="22"/>
          <w:szCs w:val="22"/>
        </w:rPr>
        <w:t xml:space="preserve">leden </w:t>
      </w:r>
      <w:r w:rsidR="007D70CF">
        <w:rPr>
          <w:color w:val="000000"/>
          <w:sz w:val="22"/>
          <w:szCs w:val="22"/>
        </w:rPr>
        <w:t>20</w:t>
      </w:r>
      <w:r w:rsidR="008E574C">
        <w:rPr>
          <w:color w:val="000000"/>
          <w:sz w:val="22"/>
          <w:szCs w:val="22"/>
        </w:rPr>
        <w:t>20</w:t>
      </w:r>
      <w:r w:rsidR="007D70CF">
        <w:rPr>
          <w:color w:val="000000"/>
          <w:sz w:val="22"/>
          <w:szCs w:val="22"/>
        </w:rPr>
        <w:t>,</w:t>
      </w:r>
    </w:p>
    <w:p w:rsidRPr="008110F9" w:rsidR="002E038C" w:rsidP="002E038C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="008E574C" w:rsidP="002E038C" w:rsidRDefault="008E574C">
      <w:pPr>
        <w:jc w:val="both"/>
        <w:rPr>
          <w:color w:val="000000"/>
          <w:sz w:val="22"/>
          <w:szCs w:val="22"/>
        </w:rPr>
      </w:pPr>
    </w:p>
    <w:p w:rsidRPr="008110F9" w:rsidR="008E574C" w:rsidP="002E038C" w:rsidRDefault="008E574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C30062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akázky, a to po dobu danou </w:t>
      </w:r>
      <w:r w:rsidRPr="00DF010A" w:rsidR="00FA03F6">
        <w:rPr>
          <w:sz w:val="22"/>
          <w:szCs w:val="22"/>
        </w:rPr>
        <w:lastRenderedPageBreak/>
        <w:t>právními předpisy ČR k jejich archivaci (zákon č. 563/1991 Sb., o účetnictví, a zákon č. 235/2004 Sb., o dani z přidané hodnoty).</w:t>
      </w:r>
    </w:p>
    <w:p w:rsidRPr="00DF010A" w:rsidR="00FA03F6" w:rsidP="00FA03F6" w:rsidRDefault="00FA03F6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C30062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4738BA" w:rsidP="004738BA" w:rsidRDefault="00D713E4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 xml:space="preserve">za JP </w:t>
      </w:r>
      <w:r w:rsidRPr="00FE5334" w:rsidR="004738BA">
        <w:rPr>
          <w:b/>
          <w:color w:val="000000"/>
          <w:sz w:val="22"/>
          <w:szCs w:val="22"/>
        </w:rPr>
        <w:t>Spedition:</w:t>
      </w:r>
      <w:r w:rsidRPr="00FE5334" w:rsidR="004738BA">
        <w:rPr>
          <w:color w:val="000000"/>
          <w:sz w:val="22"/>
          <w:szCs w:val="22"/>
        </w:rPr>
        <w:t xml:space="preserve"> </w:t>
      </w:r>
      <w:r w:rsidR="004738BA">
        <w:rPr>
          <w:color w:val="000000"/>
          <w:sz w:val="22"/>
          <w:szCs w:val="22"/>
        </w:rPr>
        <w:t>Lenka Šťastná</w:t>
      </w:r>
    </w:p>
    <w:p w:rsidRPr="00FE5334" w:rsidR="004738BA" w:rsidP="004738BA" w:rsidRDefault="004738BA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>
        <w:rPr>
          <w:rFonts w:ascii="Arial" w:hAnsi="Arial" w:cs="Arial"/>
          <w:sz w:val="20"/>
          <w:szCs w:val="20"/>
        </w:rPr>
        <w:t>+420 733 342</w:t>
      </w:r>
      <w:r>
        <w:rPr>
          <w:rFonts w:ascii="Arial" w:hAnsi="Arial" w:cs="Arial"/>
          <w:sz w:val="20"/>
          <w:szCs w:val="20"/>
        </w:rPr>
        <w:t> </w:t>
      </w:r>
      <w:r w:rsidRPr="00A057C1">
        <w:rPr>
          <w:rFonts w:ascii="Arial" w:hAnsi="Arial" w:cs="Arial"/>
          <w:sz w:val="20"/>
          <w:szCs w:val="20"/>
        </w:rPr>
        <w:t>357</w:t>
      </w:r>
      <w:r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2E038C" w:rsidP="004738BA" w:rsidRDefault="002E038C">
      <w:pPr>
        <w:pStyle w:val="Zkladntext"/>
        <w:ind w:left="720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>
      <w:pPr>
        <w:rPr>
          <w:color w:val="000000"/>
          <w:sz w:val="22"/>
          <w:szCs w:val="22"/>
        </w:rPr>
      </w:pPr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="008729C6" w:rsidP="002E038C" w:rsidRDefault="008729C6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8729C6" w:rsidP="002E038C" w:rsidRDefault="008729C6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C30062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="00B4486E" w:rsidP="00B4486E" w:rsidRDefault="00B4486E">
      <w:pPr>
        <w:rPr>
          <w:sz w:val="22"/>
          <w:szCs w:val="22"/>
        </w:rPr>
      </w:pPr>
    </w:p>
    <w:p w:rsidRPr="004B7C7C" w:rsidR="007D70CF" w:rsidP="00B4486E" w:rsidRDefault="007D70CF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C30062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…………..…………………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4B7C7C" w:rsidR="00BA2A6B" w:rsidP="00BA2A6B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27B3D" w:rsidRDefault="00827B3D">
      <w:r>
        <w:separator/>
      </w:r>
    </w:p>
  </w:endnote>
  <w:endnote w:type="continuationSeparator" w:id="0">
    <w:p w:rsidR="00827B3D" w:rsidRDefault="00827B3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3E021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3E021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7AE0">
      <w:rPr>
        <w:rStyle w:val="slostrnky"/>
        <w:noProof/>
      </w:rPr>
      <w:t>8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27B3D" w:rsidRDefault="00827B3D">
      <w:r>
        <w:separator/>
      </w:r>
    </w:p>
  </w:footnote>
  <w:footnote w:type="continuationSeparator" w:id="0">
    <w:p w:rsidR="00827B3D" w:rsidRDefault="00827B3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0E4861"/>
    <w:multiLevelType w:val="hybridMultilevel"/>
    <w:tmpl w:val="C56C4F74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5F74"/>
    <w:multiLevelType w:val="hybridMultilevel"/>
    <w:tmpl w:val="630E8E52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2BFF0919"/>
    <w:multiLevelType w:val="hybridMultilevel"/>
    <w:tmpl w:val="86D294D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32680533"/>
    <w:multiLevelType w:val="hybridMultilevel"/>
    <w:tmpl w:val="3C7CEBC0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341135ED"/>
    <w:multiLevelType w:val="hybridMultilevel"/>
    <w:tmpl w:val="A494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3878FA"/>
    <w:multiLevelType w:val="hybridMultilevel"/>
    <w:tmpl w:val="C4846F7C"/>
    <w:lvl w:ilvl="0" w:tplc="E2BCC3FE">
      <w:start w:val="5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3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32D57"/>
    <w:multiLevelType w:val="hybridMultilevel"/>
    <w:tmpl w:val="289EBABA"/>
    <w:lvl w:ilvl="0" w:tplc="A62EA608">
      <w:start w:val="1"/>
      <w:numFmt w:val="decimal"/>
      <w:lvlText w:val="%1."/>
      <w:lvlJc w:val="left"/>
      <w:pPr>
        <w:ind w:left="417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5A5A6F80"/>
    <w:multiLevelType w:val="hybridMultilevel"/>
    <w:tmpl w:val="9184E4E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5A11B3"/>
    <w:multiLevelType w:val="hybridMultilevel"/>
    <w:tmpl w:val="49B64DE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635D33AE"/>
    <w:multiLevelType w:val="hybridMultilevel"/>
    <w:tmpl w:val="D012CF30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6321FA6"/>
    <w:multiLevelType w:val="hybridMultilevel"/>
    <w:tmpl w:val="CC30DD86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"/>
  </w:num>
  <w:num w:numId="19">
    <w:abstractNumId w:val="9"/>
  </w:num>
  <w:num w:numId="20">
    <w:abstractNumId w:val="20"/>
  </w:num>
  <w:num w:numId="21">
    <w:abstractNumId w:val="5"/>
  </w:num>
  <w:num w:numId="22">
    <w:abstractNumId w:val="22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111A4"/>
    <w:rsid w:val="00027F54"/>
    <w:rsid w:val="000337F3"/>
    <w:rsid w:val="0004339B"/>
    <w:rsid w:val="00052891"/>
    <w:rsid w:val="000646CA"/>
    <w:rsid w:val="000A2B90"/>
    <w:rsid w:val="000B746B"/>
    <w:rsid w:val="000D39EC"/>
    <w:rsid w:val="000D4899"/>
    <w:rsid w:val="000F7A06"/>
    <w:rsid w:val="00107DCB"/>
    <w:rsid w:val="001124CF"/>
    <w:rsid w:val="001140BB"/>
    <w:rsid w:val="0011528B"/>
    <w:rsid w:val="00120EF5"/>
    <w:rsid w:val="001322AC"/>
    <w:rsid w:val="001429CD"/>
    <w:rsid w:val="001469D9"/>
    <w:rsid w:val="00147AE0"/>
    <w:rsid w:val="0015613A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C1A57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55D87"/>
    <w:rsid w:val="002675C2"/>
    <w:rsid w:val="0029436C"/>
    <w:rsid w:val="002A1678"/>
    <w:rsid w:val="002A1AE1"/>
    <w:rsid w:val="002A3B7B"/>
    <w:rsid w:val="002B0145"/>
    <w:rsid w:val="002C2C4F"/>
    <w:rsid w:val="002D5061"/>
    <w:rsid w:val="002D71A8"/>
    <w:rsid w:val="002E038C"/>
    <w:rsid w:val="002E6782"/>
    <w:rsid w:val="002E6ED0"/>
    <w:rsid w:val="002F13B1"/>
    <w:rsid w:val="00307249"/>
    <w:rsid w:val="00320736"/>
    <w:rsid w:val="00332D84"/>
    <w:rsid w:val="003455BC"/>
    <w:rsid w:val="003519FD"/>
    <w:rsid w:val="00354FF9"/>
    <w:rsid w:val="00376310"/>
    <w:rsid w:val="003A24DD"/>
    <w:rsid w:val="003B1114"/>
    <w:rsid w:val="003B4449"/>
    <w:rsid w:val="003B5D03"/>
    <w:rsid w:val="003E0217"/>
    <w:rsid w:val="0044423B"/>
    <w:rsid w:val="0045381D"/>
    <w:rsid w:val="00463714"/>
    <w:rsid w:val="004738BA"/>
    <w:rsid w:val="004757B9"/>
    <w:rsid w:val="00475A54"/>
    <w:rsid w:val="00486F40"/>
    <w:rsid w:val="00495881"/>
    <w:rsid w:val="004B07F4"/>
    <w:rsid w:val="004B365B"/>
    <w:rsid w:val="004B7C7C"/>
    <w:rsid w:val="004C42B3"/>
    <w:rsid w:val="004D210E"/>
    <w:rsid w:val="004E669E"/>
    <w:rsid w:val="004E6731"/>
    <w:rsid w:val="00513A26"/>
    <w:rsid w:val="0051715B"/>
    <w:rsid w:val="00532C77"/>
    <w:rsid w:val="005415F3"/>
    <w:rsid w:val="005419FA"/>
    <w:rsid w:val="00574E58"/>
    <w:rsid w:val="00576E45"/>
    <w:rsid w:val="005823D6"/>
    <w:rsid w:val="005823FE"/>
    <w:rsid w:val="005A13FA"/>
    <w:rsid w:val="005A5B21"/>
    <w:rsid w:val="005B2A33"/>
    <w:rsid w:val="005D7362"/>
    <w:rsid w:val="005E1121"/>
    <w:rsid w:val="006344B5"/>
    <w:rsid w:val="00634543"/>
    <w:rsid w:val="00640F7A"/>
    <w:rsid w:val="00656666"/>
    <w:rsid w:val="00663BBE"/>
    <w:rsid w:val="00670239"/>
    <w:rsid w:val="006A0032"/>
    <w:rsid w:val="006B7CF9"/>
    <w:rsid w:val="006C04A8"/>
    <w:rsid w:val="006C14DA"/>
    <w:rsid w:val="006C318C"/>
    <w:rsid w:val="006D751D"/>
    <w:rsid w:val="006E10E5"/>
    <w:rsid w:val="006E2179"/>
    <w:rsid w:val="006E4CD1"/>
    <w:rsid w:val="006E52C0"/>
    <w:rsid w:val="006E53C1"/>
    <w:rsid w:val="006F19C8"/>
    <w:rsid w:val="00704897"/>
    <w:rsid w:val="00705458"/>
    <w:rsid w:val="00705A39"/>
    <w:rsid w:val="00726EE4"/>
    <w:rsid w:val="00733AFE"/>
    <w:rsid w:val="00734760"/>
    <w:rsid w:val="00766C39"/>
    <w:rsid w:val="00767E82"/>
    <w:rsid w:val="00772BCA"/>
    <w:rsid w:val="007A2D6F"/>
    <w:rsid w:val="007B005E"/>
    <w:rsid w:val="007B0DCE"/>
    <w:rsid w:val="007B156A"/>
    <w:rsid w:val="007D3358"/>
    <w:rsid w:val="007D70CF"/>
    <w:rsid w:val="007F00B6"/>
    <w:rsid w:val="008048DF"/>
    <w:rsid w:val="00827B3D"/>
    <w:rsid w:val="00833E03"/>
    <w:rsid w:val="0085544A"/>
    <w:rsid w:val="00863680"/>
    <w:rsid w:val="00871B7A"/>
    <w:rsid w:val="008721E9"/>
    <w:rsid w:val="008729C6"/>
    <w:rsid w:val="00872F72"/>
    <w:rsid w:val="0088668E"/>
    <w:rsid w:val="008A0A60"/>
    <w:rsid w:val="008A7E99"/>
    <w:rsid w:val="008B5BDB"/>
    <w:rsid w:val="008B5FFC"/>
    <w:rsid w:val="008C3259"/>
    <w:rsid w:val="008C3482"/>
    <w:rsid w:val="008E574C"/>
    <w:rsid w:val="00916A8C"/>
    <w:rsid w:val="00937B5F"/>
    <w:rsid w:val="009400BA"/>
    <w:rsid w:val="00944FBB"/>
    <w:rsid w:val="009554E3"/>
    <w:rsid w:val="00970246"/>
    <w:rsid w:val="00985D48"/>
    <w:rsid w:val="009A6F27"/>
    <w:rsid w:val="009A6F82"/>
    <w:rsid w:val="009B0BF9"/>
    <w:rsid w:val="009C2513"/>
    <w:rsid w:val="009D333F"/>
    <w:rsid w:val="009D5775"/>
    <w:rsid w:val="009E4596"/>
    <w:rsid w:val="009E7100"/>
    <w:rsid w:val="009F32C0"/>
    <w:rsid w:val="00A03CA3"/>
    <w:rsid w:val="00A23D57"/>
    <w:rsid w:val="00A23FEB"/>
    <w:rsid w:val="00A2526C"/>
    <w:rsid w:val="00A35840"/>
    <w:rsid w:val="00A361EF"/>
    <w:rsid w:val="00A4283C"/>
    <w:rsid w:val="00A53F9E"/>
    <w:rsid w:val="00A61168"/>
    <w:rsid w:val="00A77FDB"/>
    <w:rsid w:val="00A93D38"/>
    <w:rsid w:val="00A94203"/>
    <w:rsid w:val="00AB39E5"/>
    <w:rsid w:val="00AC524A"/>
    <w:rsid w:val="00AD42F0"/>
    <w:rsid w:val="00AF69CC"/>
    <w:rsid w:val="00B029F2"/>
    <w:rsid w:val="00B0594F"/>
    <w:rsid w:val="00B134CC"/>
    <w:rsid w:val="00B244C8"/>
    <w:rsid w:val="00B2580A"/>
    <w:rsid w:val="00B3255D"/>
    <w:rsid w:val="00B4486E"/>
    <w:rsid w:val="00B617AA"/>
    <w:rsid w:val="00B626BA"/>
    <w:rsid w:val="00B63961"/>
    <w:rsid w:val="00B651E0"/>
    <w:rsid w:val="00BA2811"/>
    <w:rsid w:val="00BA2A6B"/>
    <w:rsid w:val="00BD645D"/>
    <w:rsid w:val="00BF11A9"/>
    <w:rsid w:val="00BF48F5"/>
    <w:rsid w:val="00BF7C38"/>
    <w:rsid w:val="00C0124F"/>
    <w:rsid w:val="00C15566"/>
    <w:rsid w:val="00C174EF"/>
    <w:rsid w:val="00C2103D"/>
    <w:rsid w:val="00C30062"/>
    <w:rsid w:val="00C513AB"/>
    <w:rsid w:val="00C71EEC"/>
    <w:rsid w:val="00C73A14"/>
    <w:rsid w:val="00C91500"/>
    <w:rsid w:val="00C92999"/>
    <w:rsid w:val="00CB2632"/>
    <w:rsid w:val="00CE119D"/>
    <w:rsid w:val="00CE549C"/>
    <w:rsid w:val="00CF3F05"/>
    <w:rsid w:val="00D03929"/>
    <w:rsid w:val="00D10C4A"/>
    <w:rsid w:val="00D11AF9"/>
    <w:rsid w:val="00D30E7B"/>
    <w:rsid w:val="00D32D2D"/>
    <w:rsid w:val="00D3643C"/>
    <w:rsid w:val="00D566A1"/>
    <w:rsid w:val="00D702A1"/>
    <w:rsid w:val="00D7102E"/>
    <w:rsid w:val="00D713E4"/>
    <w:rsid w:val="00D731A1"/>
    <w:rsid w:val="00DA1579"/>
    <w:rsid w:val="00DB418A"/>
    <w:rsid w:val="00DD68B7"/>
    <w:rsid w:val="00DF010A"/>
    <w:rsid w:val="00DF2E49"/>
    <w:rsid w:val="00DF3F49"/>
    <w:rsid w:val="00DF4F05"/>
    <w:rsid w:val="00E0781E"/>
    <w:rsid w:val="00E12D12"/>
    <w:rsid w:val="00E16B01"/>
    <w:rsid w:val="00E17089"/>
    <w:rsid w:val="00E3187C"/>
    <w:rsid w:val="00E36FA0"/>
    <w:rsid w:val="00E449DF"/>
    <w:rsid w:val="00E73799"/>
    <w:rsid w:val="00E77ABC"/>
    <w:rsid w:val="00E92A0E"/>
    <w:rsid w:val="00EB7984"/>
    <w:rsid w:val="00EC13FA"/>
    <w:rsid w:val="00ED27B0"/>
    <w:rsid w:val="00ED61C8"/>
    <w:rsid w:val="00EE0307"/>
    <w:rsid w:val="00EE066C"/>
    <w:rsid w:val="00EE09EF"/>
    <w:rsid w:val="00EE437B"/>
    <w:rsid w:val="00EE5A50"/>
    <w:rsid w:val="00EF033D"/>
    <w:rsid w:val="00EF228C"/>
    <w:rsid w:val="00F2272F"/>
    <w:rsid w:val="00F320D4"/>
    <w:rsid w:val="00F378A4"/>
    <w:rsid w:val="00F61F2E"/>
    <w:rsid w:val="00F70613"/>
    <w:rsid w:val="00F863CB"/>
    <w:rsid w:val="00F878B2"/>
    <w:rsid w:val="00F87962"/>
    <w:rsid w:val="00FA03F6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EDE3C27"/>
  <w15:docId w15:val="{6F45F6F0-2D45-4E24-B0FC-B8D4EC1ABF1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paragraph" w:styleId="Smlouva-slo" w:customStyle="true">
    <w:name w:val="Smlouva-číslo"/>
    <w:basedOn w:val="Normln"/>
    <w:rsid w:val="00DB418A"/>
    <w:pPr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8E939-D1C2-492B-A6AC-084412105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645F4-D019-4F58-B2BB-4D1720C132C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FA64C622-8B3B-4BCA-974C-090869EA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2759</properties:Words>
  <properties:Characters>16283</properties:Characters>
  <properties:Lines>135</properties:Lines>
  <properties:Paragraphs>38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2019-09-27T11:27:00Z</dcterms:created>
  <dc:creator/>
  <dc:description/>
  <cp:keywords/>
  <cp:lastModifiedBy/>
  <dcterms:modified xmlns:xsi="http://www.w3.org/2001/XMLSchema-instance" xsi:type="dcterms:W3CDTF">2019-11-25T16:41:00Z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