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>Vytvoření segmentové konc</w:t>
            </w:r>
            <w:r w:rsidR="000F68CC">
              <w:rPr>
                <w:rFonts w:ascii="Calibri" w:hAnsi="Calibri" w:cstheme="minorHAnsi"/>
                <w:b/>
              </w:rPr>
              <w:t>epce pro oblast místní ekonomiky</w:t>
            </w:r>
            <w:r w:rsidRPr="001B0AC0" w:rsidR="003F5B78">
              <w:rPr>
                <w:rFonts w:asciiTheme="minorHAnsi" w:hAnsiTheme="minorHAnsi"/>
              </w:rPr>
              <w:t xml:space="preserve"> 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1B0AC0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 xml:space="preserve"> z oblasti místní ekonomiky pro územně samos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ekonomického směru, </w:t>
                  </w:r>
                  <w:r w:rsidR="000F68CC">
                    <w:rPr>
                      <w:rFonts w:ascii="Calibri" w:hAnsi="Calibri" w:eastAsia="Calibri" w:cstheme="minorHAnsi"/>
                    </w:rPr>
                    <w:t>nebo informační věda,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podnikání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lastRenderedPageBreak/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bookmarkStart w:name="_GoBack" w:id="0"/>
                  <w:bookmarkEnd w:id="0"/>
                  <w:r>
                    <w:rPr>
                      <w:rFonts w:ascii="Calibri" w:hAnsi="Calibri" w:eastAsia="Calibri" w:cstheme="minorHAnsi"/>
                    </w:rPr>
                    <w:t xml:space="preserve">ekonomického směru, </w:t>
                  </w:r>
                  <w:r w:rsidR="000F68CC">
                    <w:rPr>
                      <w:rFonts w:ascii="Calibri" w:hAnsi="Calibri" w:eastAsia="Calibri" w:cstheme="minorHAnsi"/>
                    </w:rPr>
                    <w:t>nebo informační věda,</w:t>
                  </w:r>
                  <w:r>
                    <w:rPr>
                      <w:rFonts w:ascii="Calibri" w:hAnsi="Calibri" w:eastAsia="Calibri" w:cstheme="minorHAnsi"/>
                    </w:rPr>
                    <w:t xml:space="preserve"> podnikání</w:t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940B7" w:rsidRDefault="00E940B7">
      <w:r>
        <w:separator/>
      </w:r>
    </w:p>
  </w:endnote>
  <w:endnote w:type="continuationSeparator" w:id="0">
    <w:p w:rsidR="00E940B7" w:rsidRDefault="00E940B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0F68CC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940B7" w:rsidRDefault="00E940B7">
      <w:r>
        <w:separator/>
      </w:r>
    </w:p>
  </w:footnote>
  <w:footnote w:type="continuationSeparator" w:id="0">
    <w:p w:rsidR="00E940B7" w:rsidRDefault="00E940B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0F68CC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3D1D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D5B33"/>
    <w:rsid w:val="005F3D29"/>
    <w:rsid w:val="006460D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4592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940B7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30E2EB7"/>
  <w15:docId w15:val="{E8628AA7-7F03-4B5D-A3B1-6DFDF4F06D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7A2EB9-1516-4334-BD78-6FFD6DF958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871</properties:Words>
  <properties:Characters>5140</properties:Characters>
  <properties:Lines>42</properties:Lines>
  <properties:Paragraphs>11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2019-09-30T06:30:00Z</dcterms:created>
  <dc:creator/>
  <cp:lastModifiedBy/>
  <cp:lastPrinted>2018-06-01T06:15:00Z</cp:lastPrinted>
  <dcterms:modified xmlns:xsi="http://www.w3.org/2001/XMLSchema-instance" xsi:type="dcterms:W3CDTF">2020-01-21T07:19:00Z</dcterms:modified>
  <cp:revision>5</cp:revision>
</cp:coreProperties>
</file>