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928DE" w:rsidR="00B909D3" w:rsidRDefault="00226324">
      <w:pPr>
        <w:pStyle w:val="Nadpis2"/>
        <w:spacing w:before="0" w:after="0"/>
        <w:jc w:val="both"/>
        <w:rPr>
          <w:szCs w:val="36"/>
        </w:rPr>
      </w:pPr>
      <w:bookmarkStart w:name="_GoBack" w:id="0"/>
      <w:bookmarkEnd w:id="0"/>
      <w:r w:rsidRPr="008928DE">
        <w:rPr>
          <w:rFonts w:cs="Calibri"/>
          <w:szCs w:val="36"/>
        </w:rPr>
        <w:t xml:space="preserve">Výzva k podání nabídek </w:t>
      </w:r>
      <w:r w:rsidRPr="008928DE" w:rsidR="008928DE">
        <w:rPr>
          <w:rFonts w:cs="Calibri"/>
          <w:szCs w:val="36"/>
        </w:rPr>
        <w:t xml:space="preserve">– </w:t>
      </w:r>
      <w:r w:rsidR="000153DC">
        <w:rPr>
          <w:rFonts w:cs="Calibri"/>
          <w:szCs w:val="36"/>
        </w:rPr>
        <w:t>S</w:t>
      </w:r>
      <w:r w:rsidRPr="008928DE" w:rsidR="008928DE">
        <w:rPr>
          <w:rFonts w:cs="Calibri"/>
          <w:szCs w:val="36"/>
        </w:rPr>
        <w:t>lužby pro JMI</w:t>
      </w:r>
    </w:p>
    <w:p w:rsidR="00B909D3" w:rsidRDefault="00226324">
      <w:pPr>
        <w:pStyle w:val="Bnodstavec"/>
        <w:jc w:val="both"/>
      </w:pPr>
      <w:r>
        <w:rPr>
          <w:rFonts w:cs="Calibri"/>
        </w:rPr>
        <w:t>(není zadávacím řízením dle zákona č.134/2016)</w:t>
      </w:r>
    </w:p>
    <w:p w:rsidRPr="008928DE" w:rsidR="00B909D3" w:rsidRDefault="00226324">
      <w:pPr>
        <w:pStyle w:val="Nadpis2"/>
        <w:numPr>
          <w:ilvl w:val="0"/>
          <w:numId w:val="22"/>
        </w:numPr>
        <w:ind w:left="426" w:hanging="426"/>
        <w:jc w:val="both"/>
        <w:rPr>
          <w:sz w:val="32"/>
          <w:szCs w:val="32"/>
        </w:rPr>
      </w:pPr>
      <w:r w:rsidRPr="008928DE">
        <w:rPr>
          <w:rFonts w:cs="Calibri"/>
          <w:sz w:val="32"/>
          <w:szCs w:val="32"/>
        </w:rPr>
        <w:t>Základní informace</w:t>
      </w:r>
    </w:p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4037"/>
        <w:gridCol w:w="5814"/>
      </w:tblGrid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Číslo zakázky (doplní MPSV</w:t>
            </w:r>
            <w:r w:rsidR="00377317">
              <w:rPr>
                <w:rFonts w:cs="Calibri"/>
                <w:b/>
                <w:bCs w:val="false"/>
                <w:sz w:val="18"/>
                <w:szCs w:val="18"/>
              </w:rPr>
              <w:t xml:space="preserve"> při uveřejnění</w:t>
            </w:r>
            <w:r>
              <w:rPr>
                <w:rFonts w:cs="Calibri"/>
                <w:b/>
                <w:bCs w:val="false"/>
                <w:sz w:val="18"/>
                <w:szCs w:val="18"/>
              </w:rPr>
              <w:t>):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B909D3">
            <w:pPr>
              <w:pStyle w:val="Standard"/>
              <w:ind w:left="57"/>
              <w:jc w:val="both"/>
              <w:rPr>
                <w:rFonts w:cs="Calibri"/>
                <w:color w:val="FF0000"/>
                <w:szCs w:val="20"/>
              </w:rPr>
            </w:pP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Název zakázky: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C34E33" w:rsidRDefault="00250737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color w:val="000000"/>
                <w:szCs w:val="20"/>
              </w:rPr>
              <w:t xml:space="preserve">Služby </w:t>
            </w:r>
            <w:r w:rsidR="00226324">
              <w:rPr>
                <w:rFonts w:cs="Calibri"/>
                <w:b/>
                <w:color w:val="000000"/>
                <w:szCs w:val="20"/>
              </w:rPr>
              <w:t xml:space="preserve">pro </w:t>
            </w:r>
            <w:r w:rsidR="00C34E33">
              <w:rPr>
                <w:rFonts w:cs="Calibri"/>
                <w:b/>
                <w:color w:val="000000"/>
                <w:szCs w:val="20"/>
              </w:rPr>
              <w:t>JMI</w:t>
            </w: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377317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Druh</w:t>
            </w:r>
            <w:r w:rsidR="00226324">
              <w:rPr>
                <w:rFonts w:cs="Calibri"/>
                <w:b/>
                <w:bCs w:val="false"/>
                <w:sz w:val="18"/>
                <w:szCs w:val="18"/>
              </w:rPr>
              <w:t xml:space="preserve"> zakázky </w:t>
            </w:r>
            <w:r w:rsidR="00226324">
              <w:rPr>
                <w:rFonts w:cs="Calibri"/>
                <w:sz w:val="18"/>
                <w:szCs w:val="18"/>
              </w:rPr>
              <w:t>(služba, dodávka, stavební práce)</w:t>
            </w:r>
            <w:r w:rsidR="00226324">
              <w:rPr>
                <w:rFonts w:cs="Calibri"/>
                <w:b/>
                <w:bCs w:val="false"/>
                <w:sz w:val="18"/>
                <w:szCs w:val="18"/>
              </w:rPr>
              <w:t>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color w:val="000000"/>
                <w:szCs w:val="20"/>
              </w:rPr>
              <w:t>Služba</w:t>
            </w: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377317">
            <w:pPr>
              <w:pStyle w:val="Standard"/>
              <w:ind w:left="57"/>
              <w:jc w:val="both"/>
            </w:pPr>
            <w:r w:rsidRPr="00377317">
              <w:rPr>
                <w:rFonts w:cs="Calibri"/>
                <w:b/>
                <w:bCs w:val="false"/>
                <w:sz w:val="18"/>
                <w:szCs w:val="18"/>
              </w:rPr>
              <w:t>Datum vyhlášení výzvy k podání nabídek</w:t>
            </w:r>
            <w:r w:rsidR="00226324">
              <w:rPr>
                <w:rFonts w:cs="Calibri"/>
                <w:b/>
                <w:bCs w:val="false"/>
                <w:sz w:val="18"/>
                <w:szCs w:val="18"/>
              </w:rPr>
              <w:t>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250737" w:rsidRDefault="00D34188">
            <w:pPr>
              <w:pStyle w:val="Standard"/>
              <w:ind w:left="57"/>
              <w:jc w:val="both"/>
            </w:pPr>
            <w:r>
              <w:rPr>
                <w:rFonts w:cs="Calibri"/>
                <w:color w:val="000000"/>
                <w:szCs w:val="20"/>
              </w:rPr>
              <w:t>14</w:t>
            </w:r>
            <w:r w:rsidR="00226324">
              <w:rPr>
                <w:rFonts w:cs="Calibri"/>
                <w:color w:val="000000"/>
                <w:szCs w:val="20"/>
              </w:rPr>
              <w:t xml:space="preserve">. </w:t>
            </w:r>
            <w:r w:rsidR="00250737">
              <w:rPr>
                <w:rFonts w:cs="Calibri"/>
                <w:color w:val="000000"/>
                <w:szCs w:val="20"/>
              </w:rPr>
              <w:t>2</w:t>
            </w:r>
            <w:r w:rsidR="00226324">
              <w:rPr>
                <w:rFonts w:cs="Calibri"/>
                <w:color w:val="000000"/>
                <w:szCs w:val="20"/>
              </w:rPr>
              <w:t>. 20</w:t>
            </w:r>
            <w:r w:rsidR="00250737">
              <w:rPr>
                <w:rFonts w:cs="Calibri"/>
                <w:color w:val="000000"/>
                <w:szCs w:val="20"/>
              </w:rPr>
              <w:t>20</w:t>
            </w: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Název programu: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color w:val="000000"/>
                <w:szCs w:val="20"/>
              </w:rPr>
              <w:t>Operační program zaměstnanost (OPZ)</w:t>
            </w: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Registrační číslo projektu: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50737" w:rsidR="00B909D3" w:rsidRDefault="00250737">
            <w:pPr>
              <w:pStyle w:val="Standard"/>
              <w:ind w:left="57"/>
              <w:jc w:val="both"/>
            </w:pPr>
            <w:r w:rsidRPr="00250737">
              <w:rPr>
                <w:rStyle w:val="datalabel"/>
              </w:rPr>
              <w:t>CZ.03.1.52/0.0/0.0/19_097/0012725</w:t>
            </w: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Název projektu: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50737">
            <w:pPr>
              <w:pStyle w:val="Standard"/>
              <w:ind w:left="57"/>
              <w:jc w:val="both"/>
            </w:pPr>
            <w:r w:rsidRPr="00250737">
              <w:rPr>
                <w:rStyle w:val="datalabelstring"/>
                <w:rFonts w:cs="Calibri"/>
                <w:color w:val="000000"/>
                <w:szCs w:val="20"/>
              </w:rPr>
              <w:t xml:space="preserve">Rozvoj firmy Jednota </w:t>
            </w:r>
            <w:proofErr w:type="spellStart"/>
            <w:proofErr w:type="gramStart"/>
            <w:r w:rsidRPr="00250737">
              <w:rPr>
                <w:rStyle w:val="datalabelstring"/>
                <w:rFonts w:cs="Calibri"/>
                <w:color w:val="000000"/>
                <w:szCs w:val="20"/>
              </w:rPr>
              <w:t>s.d</w:t>
            </w:r>
            <w:proofErr w:type="spellEnd"/>
            <w:r w:rsidRPr="00250737">
              <w:rPr>
                <w:rStyle w:val="datalabelstring"/>
                <w:rFonts w:cs="Calibri"/>
                <w:color w:val="000000"/>
                <w:szCs w:val="20"/>
              </w:rPr>
              <w:t>. v Mikulově</w:t>
            </w:r>
            <w:proofErr w:type="gramEnd"/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Název / obchodní firma zadavatele: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Style w:val="datalabelstring"/>
                <w:rFonts w:cs="Calibri"/>
                <w:color w:val="000000"/>
                <w:szCs w:val="20"/>
              </w:rPr>
              <w:t>Jednota, spotřební družstvo</w:t>
            </w:r>
            <w:r w:rsidR="00250737">
              <w:rPr>
                <w:rStyle w:val="datalabelstring"/>
                <w:rFonts w:cs="Calibri"/>
                <w:color w:val="000000"/>
                <w:szCs w:val="20"/>
              </w:rPr>
              <w:t xml:space="preserve"> </w:t>
            </w:r>
            <w:r w:rsidRPr="00250737" w:rsidR="00250737">
              <w:rPr>
                <w:rStyle w:val="datalabelstring"/>
                <w:rFonts w:cs="Calibri"/>
                <w:color w:val="000000"/>
                <w:szCs w:val="20"/>
              </w:rPr>
              <w:t>v Mikulově</w:t>
            </w:r>
          </w:p>
        </w:tc>
      </w:tr>
      <w:tr w:rsidR="00B909D3">
        <w:trPr>
          <w:trHeight w:val="301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Sídlo zadavatele: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50737">
            <w:pPr>
              <w:pStyle w:val="Standard"/>
              <w:ind w:left="57"/>
              <w:jc w:val="both"/>
            </w:pPr>
            <w:r w:rsidRPr="00250737">
              <w:rPr>
                <w:rFonts w:cs="Calibri"/>
                <w:color w:val="000000"/>
                <w:szCs w:val="20"/>
              </w:rPr>
              <w:t>Kostelní nám. 157/9, 692 01 Mikulov</w:t>
            </w:r>
          </w:p>
        </w:tc>
      </w:tr>
      <w:tr w:rsidR="00B909D3">
        <w:trPr>
          <w:trHeight w:val="426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color w:val="000000"/>
                <w:sz w:val="18"/>
                <w:szCs w:val="18"/>
              </w:rPr>
              <w:t>Osob</w:t>
            </w:r>
            <w:r w:rsidR="00842A02">
              <w:rPr>
                <w:rFonts w:cs="Calibri"/>
                <w:b/>
                <w:bCs w:val="false"/>
                <w:color w:val="000000"/>
                <w:sz w:val="18"/>
                <w:szCs w:val="18"/>
              </w:rPr>
              <w:t>y</w:t>
            </w:r>
            <w:r>
              <w:rPr>
                <w:rFonts w:cs="Calibri"/>
                <w:b/>
                <w:bCs w:val="false"/>
                <w:color w:val="000000"/>
                <w:sz w:val="18"/>
                <w:szCs w:val="18"/>
              </w:rPr>
              <w:t xml:space="preserve"> oprávněná jednat jménem zadavatele</w:t>
            </w:r>
          </w:p>
          <w:p w:rsidR="00B909D3" w:rsidRDefault="00B909D3">
            <w:pPr>
              <w:pStyle w:val="Standard"/>
              <w:ind w:left="57"/>
              <w:jc w:val="both"/>
            </w:pPr>
          </w:p>
          <w:p w:rsidRPr="00842A02" w:rsidR="00842A02" w:rsidRDefault="00900295">
            <w:pPr>
              <w:pStyle w:val="Standard"/>
              <w:ind w:left="57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842A02" w:rsidR="00842A02">
              <w:rPr>
                <w:b/>
              </w:rPr>
              <w:t>el. a e-mail: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50737">
            <w:pPr>
              <w:pStyle w:val="Standard"/>
              <w:ind w:left="57"/>
              <w:jc w:val="both"/>
            </w:pPr>
            <w:r>
              <w:rPr>
                <w:rFonts w:cs="Calibri"/>
                <w:color w:val="000000"/>
                <w:szCs w:val="20"/>
              </w:rPr>
              <w:t>Zuzana Herzánová</w:t>
            </w:r>
            <w:r w:rsidR="00226324">
              <w:rPr>
                <w:rFonts w:cs="Calibri"/>
                <w:color w:val="000000"/>
                <w:szCs w:val="20"/>
              </w:rPr>
              <w:t>, předsed</w:t>
            </w:r>
            <w:r>
              <w:rPr>
                <w:rFonts w:cs="Calibri"/>
                <w:color w:val="000000"/>
                <w:szCs w:val="20"/>
              </w:rPr>
              <w:t>kyně</w:t>
            </w:r>
            <w:r w:rsidR="00226324">
              <w:rPr>
                <w:rFonts w:cs="Calibri"/>
                <w:color w:val="000000"/>
                <w:szCs w:val="20"/>
              </w:rPr>
              <w:t xml:space="preserve"> představenstva</w:t>
            </w:r>
          </w:p>
          <w:p w:rsidR="00B909D3" w:rsidP="00250737" w:rsidRDefault="00250737">
            <w:pPr>
              <w:pStyle w:val="Standard"/>
              <w:ind w:left="57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Pavel </w:t>
            </w:r>
            <w:proofErr w:type="spellStart"/>
            <w:r>
              <w:rPr>
                <w:rFonts w:cs="Calibri"/>
                <w:color w:val="000000"/>
                <w:szCs w:val="20"/>
              </w:rPr>
              <w:t>Crhonek</w:t>
            </w:r>
            <w:proofErr w:type="spellEnd"/>
            <w:r>
              <w:rPr>
                <w:rFonts w:cs="Calibri"/>
                <w:color w:val="000000"/>
                <w:szCs w:val="20"/>
              </w:rPr>
              <w:t>, místopředseda představenstva</w:t>
            </w:r>
          </w:p>
          <w:p w:rsidR="00842A02" w:rsidP="00BE2152" w:rsidRDefault="00842A02">
            <w:pPr>
              <w:pStyle w:val="Standard"/>
              <w:ind w:left="57"/>
              <w:jc w:val="both"/>
            </w:pPr>
            <w:r>
              <w:t xml:space="preserve">Tel.: </w:t>
            </w:r>
            <w:r w:rsidRPr="00BE2152" w:rsidR="00BE2152">
              <w:t>519 512 820</w:t>
            </w:r>
            <w:r w:rsidR="00BE2152">
              <w:t xml:space="preserve"> , jednota@jednota.cz</w:t>
            </w:r>
          </w:p>
        </w:tc>
      </w:tr>
      <w:tr w:rsidR="00B909D3">
        <w:trPr>
          <w:trHeight w:val="288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IČ/DIČ zadavatele: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50737" w:rsidR="00B909D3" w:rsidP="00250737" w:rsidRDefault="00250737">
            <w:pPr>
              <w:pStyle w:val="Standard"/>
              <w:ind w:left="57"/>
              <w:jc w:val="both"/>
              <w:rPr>
                <w:rFonts w:eastAsia="Times New Roman" w:cs="Calibri"/>
                <w:color w:val="000000"/>
                <w:szCs w:val="20"/>
                <w:lang w:eastAsia="cs-CZ"/>
              </w:rPr>
            </w:pPr>
            <w:r w:rsidRPr="00250737">
              <w:rPr>
                <w:rFonts w:cs="Calibri"/>
                <w:color w:val="000000"/>
                <w:szCs w:val="20"/>
              </w:rPr>
              <w:t>00032247</w:t>
            </w:r>
            <w:r w:rsidRPr="00250737">
              <w:rPr>
                <w:rFonts w:eastAsia="Times New Roman" w:cs="Calibri"/>
                <w:color w:val="000000"/>
                <w:szCs w:val="20"/>
                <w:lang w:eastAsia="cs-CZ"/>
              </w:rPr>
              <w:t xml:space="preserve"> </w:t>
            </w:r>
            <w:r w:rsidR="00226324">
              <w:rPr>
                <w:rFonts w:eastAsia="Times New Roman" w:cs="Calibri"/>
                <w:color w:val="000000"/>
                <w:szCs w:val="20"/>
                <w:lang w:eastAsia="cs-CZ"/>
              </w:rPr>
              <w:t>/ CZ</w:t>
            </w:r>
            <w:r w:rsidRPr="00250737">
              <w:rPr>
                <w:rFonts w:eastAsia="Times New Roman" w:cs="Calibri"/>
                <w:color w:val="000000"/>
                <w:szCs w:val="20"/>
                <w:lang w:eastAsia="cs-CZ"/>
              </w:rPr>
              <w:t>00032247</w:t>
            </w:r>
          </w:p>
        </w:tc>
      </w:tr>
      <w:tr w:rsidR="00B909D3" w:rsidTr="0070028C">
        <w:trPr>
          <w:trHeight w:val="558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0028C" w:rsidR="00B909D3" w:rsidRDefault="00226324">
            <w:pPr>
              <w:pStyle w:val="Standard"/>
              <w:ind w:left="57"/>
              <w:jc w:val="both"/>
            </w:pPr>
            <w:r w:rsidRPr="0070028C">
              <w:rPr>
                <w:rFonts w:cs="Calibri"/>
                <w:b/>
                <w:bCs w:val="false"/>
                <w:sz w:val="18"/>
                <w:szCs w:val="18"/>
              </w:rPr>
              <w:t>Kontaktní osoba zadavatele ve věci zakázky</w:t>
            </w:r>
          </w:p>
          <w:p w:rsidRPr="0070028C" w:rsidR="00B909D3" w:rsidP="00842A02" w:rsidRDefault="00226324">
            <w:pPr>
              <w:pStyle w:val="Standard"/>
              <w:ind w:left="57"/>
              <w:jc w:val="both"/>
            </w:pPr>
            <w:r w:rsidRPr="0070028C">
              <w:rPr>
                <w:rFonts w:cs="Calibri"/>
                <w:b/>
                <w:bCs w:val="false"/>
                <w:sz w:val="18"/>
                <w:szCs w:val="18"/>
              </w:rPr>
              <w:t>telefon</w:t>
            </w:r>
            <w:r w:rsidR="008928DE">
              <w:rPr>
                <w:rFonts w:cs="Calibri"/>
                <w:b/>
                <w:bCs w:val="false"/>
                <w:sz w:val="18"/>
                <w:szCs w:val="18"/>
              </w:rPr>
              <w:t xml:space="preserve"> a </w:t>
            </w:r>
            <w:r w:rsidRPr="0070028C">
              <w:rPr>
                <w:rFonts w:cs="Calibri"/>
                <w:b/>
                <w:bCs w:val="false"/>
                <w:sz w:val="18"/>
                <w:szCs w:val="18"/>
              </w:rPr>
              <w:t>e-mailová adresa: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0028C" w:rsidR="00B909D3" w:rsidRDefault="008928DE">
            <w:pPr>
              <w:pStyle w:val="Standard"/>
              <w:tabs>
                <w:tab w:val="center" w:pos="8306"/>
              </w:tabs>
              <w:ind w:left="74"/>
              <w:jc w:val="both"/>
              <w:outlineLvl w:val="0"/>
            </w:pPr>
            <w:r w:rsidRPr="008928DE">
              <w:rPr>
                <w:rFonts w:cs="Calibri"/>
                <w:color w:val="000000"/>
                <w:szCs w:val="20"/>
              </w:rPr>
              <w:t>Ing. Alena Gruberová</w:t>
            </w:r>
          </w:p>
          <w:p w:rsidRPr="0070028C" w:rsidR="00B909D3" w:rsidP="008928DE" w:rsidRDefault="00226324">
            <w:pPr>
              <w:pStyle w:val="Standard"/>
              <w:tabs>
                <w:tab w:val="center" w:pos="8306"/>
              </w:tabs>
              <w:ind w:left="74"/>
              <w:jc w:val="both"/>
              <w:outlineLvl w:val="0"/>
            </w:pPr>
            <w:r w:rsidRPr="0070028C">
              <w:rPr>
                <w:rFonts w:cs="Calibri"/>
                <w:color w:val="000000"/>
                <w:szCs w:val="20"/>
              </w:rPr>
              <w:t xml:space="preserve">+420 </w:t>
            </w:r>
            <w:r w:rsidRPr="008928DE" w:rsidR="008928DE">
              <w:rPr>
                <w:rFonts w:cs="Calibri"/>
                <w:color w:val="000000"/>
                <w:szCs w:val="20"/>
              </w:rPr>
              <w:t>724 653</w:t>
            </w:r>
            <w:r w:rsidR="008928DE">
              <w:rPr>
                <w:rFonts w:cs="Calibri"/>
                <w:color w:val="000000"/>
                <w:szCs w:val="20"/>
              </w:rPr>
              <w:t> </w:t>
            </w:r>
            <w:r w:rsidRPr="008928DE" w:rsidR="008928DE">
              <w:rPr>
                <w:rFonts w:cs="Calibri"/>
                <w:color w:val="000000"/>
                <w:szCs w:val="20"/>
              </w:rPr>
              <w:t>020</w:t>
            </w:r>
            <w:r w:rsidR="008928DE">
              <w:rPr>
                <w:rFonts w:cs="Calibri"/>
                <w:color w:val="000000"/>
                <w:szCs w:val="20"/>
              </w:rPr>
              <w:t xml:space="preserve">,  </w:t>
            </w:r>
            <w:r w:rsidRPr="008928DE" w:rsidR="008928DE">
              <w:rPr>
                <w:rFonts w:cs="Calibri"/>
                <w:color w:val="000000"/>
                <w:szCs w:val="20"/>
              </w:rPr>
              <w:t>alena.gruberova@jednota.cz</w:t>
            </w:r>
          </w:p>
        </w:tc>
      </w:tr>
      <w:tr w:rsidR="00B909D3">
        <w:trPr>
          <w:trHeight w:val="352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Lhůta pro podávání nabídek: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900295" w:rsidR="00B909D3" w:rsidP="00D34188" w:rsidRDefault="00D34188">
            <w:pPr>
              <w:pStyle w:val="Standard"/>
              <w:ind w:left="57"/>
              <w:jc w:val="both"/>
              <w:rPr>
                <w:b/>
              </w:rPr>
            </w:pPr>
            <w:r>
              <w:rPr>
                <w:rFonts w:cs="Calibri"/>
                <w:b/>
                <w:color w:val="000000"/>
                <w:szCs w:val="20"/>
              </w:rPr>
              <w:t>25</w:t>
            </w:r>
            <w:r w:rsidRPr="00900295" w:rsidR="00226324">
              <w:rPr>
                <w:rFonts w:cs="Calibri"/>
                <w:b/>
                <w:color w:val="000000"/>
                <w:szCs w:val="20"/>
              </w:rPr>
              <w:t xml:space="preserve">. </w:t>
            </w:r>
            <w:r w:rsidRPr="00900295" w:rsidR="008928DE">
              <w:rPr>
                <w:rFonts w:cs="Calibri"/>
                <w:b/>
                <w:color w:val="000000"/>
                <w:szCs w:val="20"/>
              </w:rPr>
              <w:t>2</w:t>
            </w:r>
            <w:r w:rsidRPr="00900295" w:rsidR="00226324">
              <w:rPr>
                <w:rFonts w:cs="Calibri"/>
                <w:b/>
                <w:color w:val="000000"/>
                <w:szCs w:val="20"/>
              </w:rPr>
              <w:t>. 20</w:t>
            </w:r>
            <w:r w:rsidRPr="00900295" w:rsidR="008928DE">
              <w:rPr>
                <w:rFonts w:cs="Calibri"/>
                <w:b/>
                <w:color w:val="000000"/>
                <w:szCs w:val="20"/>
              </w:rPr>
              <w:t>20</w:t>
            </w:r>
            <w:r w:rsidRPr="00900295" w:rsidR="00226324">
              <w:rPr>
                <w:rFonts w:cs="Calibri"/>
                <w:b/>
                <w:color w:val="000000"/>
                <w:szCs w:val="20"/>
              </w:rPr>
              <w:t xml:space="preserve"> do 1</w:t>
            </w:r>
            <w:r w:rsidRPr="00900295" w:rsidR="008928DE">
              <w:rPr>
                <w:rFonts w:cs="Calibri"/>
                <w:b/>
                <w:color w:val="000000"/>
                <w:szCs w:val="20"/>
              </w:rPr>
              <w:t>0</w:t>
            </w:r>
            <w:r w:rsidRPr="00900295" w:rsidR="00226324">
              <w:rPr>
                <w:rFonts w:cs="Calibri"/>
                <w:b/>
                <w:color w:val="000000"/>
                <w:szCs w:val="20"/>
              </w:rPr>
              <w:t>:00 hod</w:t>
            </w:r>
          </w:p>
        </w:tc>
      </w:tr>
      <w:tr w:rsidR="00B909D3">
        <w:trPr>
          <w:trHeight w:val="352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Místo pro podávání nabídek: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color w:val="000000"/>
                <w:szCs w:val="20"/>
              </w:rPr>
              <w:t>Výhradně doporučeně Českou poštou do sídla zadavatele.</w:t>
            </w:r>
          </w:p>
        </w:tc>
      </w:tr>
      <w:tr w:rsidR="00B909D3">
        <w:trPr>
          <w:trHeight w:val="352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Popis předmětu zakázky: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377317" w:rsidRDefault="00377317">
            <w:pPr>
              <w:pStyle w:val="Standard"/>
              <w:ind w:left="57"/>
              <w:jc w:val="both"/>
            </w:pPr>
            <w:r>
              <w:rPr>
                <w:rFonts w:cs="Calibri"/>
                <w:szCs w:val="20"/>
              </w:rPr>
              <w:t>Viz kapitoly 2 a 3 a Příloha</w:t>
            </w:r>
            <w:r w:rsidR="00226324">
              <w:rPr>
                <w:rFonts w:cs="Calibri"/>
                <w:szCs w:val="20"/>
              </w:rPr>
              <w:t xml:space="preserve"> 3 Výzvy – Soupis kurzů s obsahy JM</w:t>
            </w:r>
            <w:r w:rsidR="008928DE">
              <w:rPr>
                <w:rFonts w:cs="Calibri"/>
                <w:szCs w:val="20"/>
              </w:rPr>
              <w:t>I</w:t>
            </w:r>
          </w:p>
        </w:tc>
      </w:tr>
      <w:tr w:rsidR="00B909D3">
        <w:trPr>
          <w:trHeight w:val="352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  <w:rPr>
                <w:rFonts w:cs="Calibri"/>
                <w:b/>
                <w:bCs w:val="false"/>
                <w:sz w:val="18"/>
                <w:szCs w:val="18"/>
              </w:rPr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 xml:space="preserve">Předpokládaná hodnota zakázky v Kč </w:t>
            </w:r>
            <w:r>
              <w:rPr>
                <w:rFonts w:cs="Calibri"/>
                <w:b/>
                <w:sz w:val="18"/>
                <w:szCs w:val="18"/>
              </w:rPr>
              <w:t>(bez DPH)</w:t>
            </w:r>
            <w:r>
              <w:rPr>
                <w:rFonts w:cs="Calibri"/>
                <w:b/>
                <w:bCs w:val="false"/>
                <w:sz w:val="18"/>
                <w:szCs w:val="18"/>
              </w:rPr>
              <w:t>:</w:t>
            </w:r>
          </w:p>
          <w:p w:rsidR="00A17F62" w:rsidRDefault="00A17F62">
            <w:pPr>
              <w:pStyle w:val="Standard"/>
              <w:ind w:left="57"/>
              <w:jc w:val="both"/>
              <w:rPr>
                <w:rFonts w:cs="Calibri"/>
                <w:b/>
                <w:bCs w:val="false"/>
                <w:sz w:val="18"/>
                <w:szCs w:val="18"/>
              </w:rPr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Část A:</w:t>
            </w:r>
          </w:p>
          <w:p w:rsidR="00A17F62" w:rsidRDefault="00A17F62">
            <w:pPr>
              <w:pStyle w:val="Standard"/>
              <w:ind w:left="57"/>
              <w:jc w:val="both"/>
              <w:rPr>
                <w:rFonts w:cs="Calibri"/>
                <w:b/>
                <w:bCs w:val="false"/>
                <w:sz w:val="18"/>
                <w:szCs w:val="18"/>
              </w:rPr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Část B:</w:t>
            </w:r>
          </w:p>
          <w:p w:rsidR="00A17F62" w:rsidRDefault="00A17F62">
            <w:pPr>
              <w:pStyle w:val="Standard"/>
              <w:ind w:left="57"/>
              <w:jc w:val="both"/>
              <w:rPr>
                <w:rFonts w:cs="Calibri"/>
                <w:b/>
                <w:bCs w:val="false"/>
                <w:sz w:val="18"/>
                <w:szCs w:val="18"/>
              </w:rPr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Čá</w:t>
            </w:r>
            <w:r w:rsidR="00676161">
              <w:rPr>
                <w:rFonts w:cs="Calibri"/>
                <w:b/>
                <w:bCs w:val="false"/>
                <w:sz w:val="18"/>
                <w:szCs w:val="18"/>
              </w:rPr>
              <w:t>st</w:t>
            </w:r>
            <w:r>
              <w:rPr>
                <w:rFonts w:cs="Calibri"/>
                <w:b/>
                <w:bCs w:val="false"/>
                <w:sz w:val="18"/>
                <w:szCs w:val="18"/>
              </w:rPr>
              <w:t xml:space="preserve"> C:</w:t>
            </w:r>
          </w:p>
          <w:p w:rsidR="00A17F62" w:rsidRDefault="00676161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Č</w:t>
            </w:r>
            <w:r w:rsidR="00A17F62">
              <w:rPr>
                <w:rFonts w:cs="Calibri"/>
                <w:b/>
                <w:bCs w:val="false"/>
                <w:sz w:val="18"/>
                <w:szCs w:val="18"/>
              </w:rPr>
              <w:t>ást D: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A17F62" w:rsidRDefault="00A17F62">
            <w:pPr>
              <w:pStyle w:val="Standard"/>
              <w:ind w:left="57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Nejvyšší přípustná cena nabídky (vyšší nabídky budou vyřazeny): </w:t>
            </w:r>
          </w:p>
          <w:p w:rsidR="00A17F62" w:rsidP="00A17F62" w:rsidRDefault="00E6618D">
            <w:pPr>
              <w:pStyle w:val="Standard"/>
              <w:ind w:left="57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120 000,- Kč</w:t>
            </w:r>
          </w:p>
          <w:p w:rsidR="00A17F62" w:rsidP="00A17F62" w:rsidRDefault="00E6618D">
            <w:pPr>
              <w:pStyle w:val="Standard"/>
              <w:ind w:left="57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  60 000,- Kč</w:t>
            </w:r>
          </w:p>
          <w:p w:rsidR="00A17F62" w:rsidP="00A17F62" w:rsidRDefault="00E6618D">
            <w:pPr>
              <w:pStyle w:val="Standard"/>
              <w:ind w:left="57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720 000,- Kč</w:t>
            </w:r>
          </w:p>
          <w:p w:rsidR="00A17F62" w:rsidP="00A17F62" w:rsidRDefault="00E6618D">
            <w:pPr>
              <w:pStyle w:val="Standard"/>
              <w:ind w:left="57"/>
              <w:jc w:val="both"/>
            </w:pPr>
            <w:r>
              <w:t>100 000,- Kč</w:t>
            </w:r>
          </w:p>
        </w:tc>
      </w:tr>
      <w:tr w:rsidR="00B909D3">
        <w:trPr>
          <w:trHeight w:val="342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Lhůta dodání / doba trvání zakázky/: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900295" w:rsidR="00B909D3" w:rsidP="00D34188" w:rsidRDefault="00D34188">
            <w:pPr>
              <w:pStyle w:val="Standard"/>
              <w:ind w:left="71"/>
              <w:jc w:val="both"/>
              <w:rPr>
                <w:b/>
              </w:rPr>
            </w:pPr>
            <w:r>
              <w:rPr>
                <w:rStyle w:val="datalabelstring"/>
                <w:rFonts w:cs="Calibri"/>
                <w:b/>
                <w:color w:val="000000"/>
                <w:szCs w:val="20"/>
              </w:rPr>
              <w:t>1</w:t>
            </w:r>
            <w:r w:rsidRPr="00900295" w:rsidR="00226324">
              <w:rPr>
                <w:rStyle w:val="datalabelstring"/>
                <w:rFonts w:cs="Calibri"/>
                <w:b/>
                <w:color w:val="000000"/>
                <w:szCs w:val="20"/>
              </w:rPr>
              <w:t xml:space="preserve">. </w:t>
            </w:r>
            <w:r>
              <w:rPr>
                <w:rStyle w:val="datalabelstring"/>
                <w:rFonts w:cs="Calibri"/>
                <w:b/>
                <w:color w:val="000000"/>
                <w:szCs w:val="20"/>
              </w:rPr>
              <w:t>3</w:t>
            </w:r>
            <w:r w:rsidRPr="00900295" w:rsidR="00226324">
              <w:rPr>
                <w:rStyle w:val="datalabelstring"/>
                <w:rFonts w:cs="Calibri"/>
                <w:b/>
                <w:color w:val="000000"/>
                <w:szCs w:val="20"/>
              </w:rPr>
              <w:t>. 20</w:t>
            </w:r>
            <w:r w:rsidRPr="00900295" w:rsidR="00FE3640">
              <w:rPr>
                <w:rStyle w:val="datalabelstring"/>
                <w:rFonts w:cs="Calibri"/>
                <w:b/>
                <w:color w:val="000000"/>
                <w:szCs w:val="20"/>
              </w:rPr>
              <w:t>20</w:t>
            </w:r>
            <w:r w:rsidRPr="00900295" w:rsidR="00226324">
              <w:rPr>
                <w:rStyle w:val="datalabelstring"/>
                <w:rFonts w:cs="Calibri"/>
                <w:b/>
                <w:color w:val="000000"/>
                <w:szCs w:val="20"/>
              </w:rPr>
              <w:t xml:space="preserve"> až 30. </w:t>
            </w:r>
            <w:r w:rsidRPr="00900295" w:rsidR="00FE3640">
              <w:rPr>
                <w:rStyle w:val="datalabelstring"/>
                <w:rFonts w:cs="Calibri"/>
                <w:b/>
                <w:color w:val="000000"/>
                <w:szCs w:val="20"/>
              </w:rPr>
              <w:t>9</w:t>
            </w:r>
            <w:r w:rsidRPr="00900295" w:rsidR="00226324">
              <w:rPr>
                <w:rStyle w:val="datalabelstring"/>
                <w:rFonts w:cs="Calibri"/>
                <w:b/>
                <w:color w:val="000000"/>
                <w:szCs w:val="20"/>
              </w:rPr>
              <w:t>. 20</w:t>
            </w:r>
            <w:r w:rsidRPr="00900295" w:rsidR="00FE3640">
              <w:rPr>
                <w:rStyle w:val="datalabelstring"/>
                <w:rFonts w:cs="Calibri"/>
                <w:b/>
                <w:color w:val="000000"/>
                <w:szCs w:val="20"/>
              </w:rPr>
              <w:t>21</w:t>
            </w:r>
          </w:p>
        </w:tc>
      </w:tr>
      <w:tr w:rsidR="00B909D3">
        <w:trPr>
          <w:trHeight w:val="342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Místo dodání / převzetí plnění: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szCs w:val="20"/>
              </w:rPr>
              <w:t>Prostory v sídle zadavatele</w:t>
            </w:r>
          </w:p>
        </w:tc>
      </w:tr>
      <w:tr w:rsidR="00B909D3">
        <w:trPr>
          <w:trHeight w:val="313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377317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 xml:space="preserve">Požadavky na prokázání </w:t>
            </w:r>
            <w:r w:rsidR="00377317">
              <w:rPr>
                <w:rFonts w:cs="Calibri"/>
                <w:b/>
                <w:bCs w:val="false"/>
                <w:sz w:val="18"/>
                <w:szCs w:val="18"/>
              </w:rPr>
              <w:t>kvalifikace</w:t>
            </w:r>
            <w:r>
              <w:rPr>
                <w:rFonts w:cs="Calibri"/>
                <w:b/>
                <w:bCs w:val="false"/>
                <w:sz w:val="18"/>
                <w:szCs w:val="18"/>
              </w:rPr>
              <w:t xml:space="preserve"> uchazeče: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72"/>
              <w:jc w:val="both"/>
            </w:pPr>
            <w:r>
              <w:rPr>
                <w:rFonts w:cs="Calibri"/>
                <w:szCs w:val="20"/>
              </w:rPr>
              <w:t xml:space="preserve">Uchazeč prokáže základní a profesní způsobilost (viz strana 2 </w:t>
            </w:r>
            <w:r>
              <w:rPr>
                <w:rStyle w:val="esf-dictionary-word"/>
                <w:rFonts w:cs="Calibri"/>
                <w:szCs w:val="20"/>
              </w:rPr>
              <w:t>Výzvy</w:t>
            </w:r>
            <w:r>
              <w:rPr>
                <w:rFonts w:cs="Calibri"/>
                <w:szCs w:val="20"/>
              </w:rPr>
              <w:t>)</w:t>
            </w:r>
          </w:p>
        </w:tc>
      </w:tr>
      <w:tr w:rsidR="00B909D3">
        <w:trPr>
          <w:trHeight w:val="313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Podmínky a požadavky na zpracování nabídky: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72"/>
              <w:jc w:val="both"/>
            </w:pPr>
            <w:r>
              <w:rPr>
                <w:rFonts w:cs="Calibri"/>
                <w:szCs w:val="20"/>
              </w:rPr>
              <w:t xml:space="preserve">viz strana 3 </w:t>
            </w:r>
            <w:r>
              <w:rPr>
                <w:rStyle w:val="esf-dictionary-word"/>
                <w:rFonts w:cs="Calibri"/>
                <w:szCs w:val="20"/>
              </w:rPr>
              <w:t>Výzvy</w:t>
            </w:r>
          </w:p>
        </w:tc>
      </w:tr>
      <w:tr w:rsidR="00B909D3">
        <w:trPr>
          <w:trHeight w:val="313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Požadavek na způsob zpracování nabídkové ceny: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72"/>
              <w:jc w:val="both"/>
            </w:pPr>
            <w:r>
              <w:rPr>
                <w:rFonts w:cs="Calibri"/>
                <w:szCs w:val="20"/>
              </w:rPr>
              <w:t xml:space="preserve">viz strana 3 </w:t>
            </w:r>
            <w:r>
              <w:rPr>
                <w:rStyle w:val="esf-dictionary-word"/>
                <w:rFonts w:cs="Calibri"/>
                <w:szCs w:val="20"/>
              </w:rPr>
              <w:t>Výzvy</w:t>
            </w:r>
          </w:p>
        </w:tc>
      </w:tr>
      <w:tr w:rsidR="00B909D3">
        <w:trPr>
          <w:trHeight w:val="313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Požadavek na uvedení kontaktní osoby uchazeče: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8928DE" w:rsidRDefault="00226324">
            <w:pPr>
              <w:pStyle w:val="Standard"/>
              <w:ind w:left="66"/>
              <w:jc w:val="both"/>
            </w:pPr>
            <w:r>
              <w:rPr>
                <w:rFonts w:cs="Calibri"/>
                <w:szCs w:val="20"/>
              </w:rPr>
              <w:t>Uchazeč v nabídce uvede kontaktní osobu, její telefon a e-mail.</w:t>
            </w:r>
          </w:p>
        </w:tc>
      </w:tr>
      <w:tr w:rsidR="00B909D3" w:rsidTr="008928DE">
        <w:trPr>
          <w:trHeight w:val="276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Požadavek na jednu nabídku: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676161" w:rsidRDefault="00226324">
            <w:pPr>
              <w:pStyle w:val="Standard"/>
              <w:ind w:left="66"/>
              <w:jc w:val="both"/>
            </w:pPr>
            <w:r>
              <w:rPr>
                <w:rFonts w:cs="Calibri"/>
                <w:szCs w:val="20"/>
              </w:rPr>
              <w:t>Každý uchazeč</w:t>
            </w:r>
            <w:r w:rsidR="00676161">
              <w:rPr>
                <w:rFonts w:cs="Calibri"/>
                <w:szCs w:val="20"/>
              </w:rPr>
              <w:t xml:space="preserve"> </w:t>
            </w:r>
            <w:r w:rsidR="00FE3640">
              <w:rPr>
                <w:rFonts w:cs="Calibri"/>
                <w:szCs w:val="20"/>
              </w:rPr>
              <w:t xml:space="preserve">se </w:t>
            </w:r>
            <w:r>
              <w:rPr>
                <w:rFonts w:cs="Calibri"/>
                <w:szCs w:val="20"/>
              </w:rPr>
              <w:t>může podílet pouze na jediné nabídce.</w:t>
            </w:r>
          </w:p>
        </w:tc>
      </w:tr>
      <w:tr w:rsidR="00B909D3">
        <w:trPr>
          <w:trHeight w:val="499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Hodnotící kritéria pro hodnocení nabídek: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72"/>
              <w:jc w:val="both"/>
            </w:pPr>
            <w:r>
              <w:rPr>
                <w:rFonts w:cs="Calibri"/>
                <w:szCs w:val="20"/>
              </w:rPr>
              <w:t>Celková nabídková cena bez DPH (váha 100 %).</w:t>
            </w:r>
          </w:p>
          <w:p w:rsidR="00B909D3" w:rsidRDefault="00226324">
            <w:pPr>
              <w:pStyle w:val="Standard"/>
              <w:ind w:left="72"/>
              <w:jc w:val="both"/>
            </w:pPr>
            <w:r>
              <w:rPr>
                <w:rFonts w:cs="Calibri"/>
                <w:szCs w:val="20"/>
              </w:rPr>
              <w:t>Další informace viz strana 3 výzvy</w:t>
            </w:r>
          </w:p>
        </w:tc>
      </w:tr>
      <w:tr w:rsidR="00B909D3">
        <w:trPr>
          <w:trHeight w:val="535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Vysvětlení zadávacích podmínek: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676161" w:rsidRDefault="00226324">
            <w:pPr>
              <w:pStyle w:val="Standard"/>
              <w:ind w:left="66"/>
              <w:jc w:val="both"/>
            </w:pPr>
            <w:r>
              <w:rPr>
                <w:rFonts w:cs="Calibri"/>
                <w:szCs w:val="20"/>
              </w:rPr>
              <w:t xml:space="preserve">Dotazy k zadávací dokumentaci mohou uchazeči poslat e-mailem nejpozději </w:t>
            </w:r>
            <w:r w:rsidR="00676161">
              <w:rPr>
                <w:rFonts w:cs="Calibri"/>
                <w:szCs w:val="20"/>
              </w:rPr>
              <w:t>6</w:t>
            </w:r>
            <w:r>
              <w:rPr>
                <w:rFonts w:cs="Calibri"/>
                <w:szCs w:val="20"/>
              </w:rPr>
              <w:t xml:space="preserve"> dní před uplynutím lhůty pro podání nabídek.</w:t>
            </w:r>
          </w:p>
        </w:tc>
      </w:tr>
      <w:tr w:rsidR="00B909D3">
        <w:trPr>
          <w:trHeight w:val="699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Výběrové řízení se řídí: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8928DE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szCs w:val="20"/>
              </w:rPr>
              <w:t>Obecnou částí pravidel pro žadatele a příjemce v rámci O</w:t>
            </w:r>
            <w:r w:rsidR="008928DE">
              <w:rPr>
                <w:rFonts w:cs="Calibri"/>
                <w:szCs w:val="20"/>
              </w:rPr>
              <w:t>PZ</w:t>
            </w:r>
            <w:r>
              <w:rPr>
                <w:rFonts w:cs="Calibri"/>
                <w:szCs w:val="20"/>
              </w:rPr>
              <w:t xml:space="preserve"> (vydání </w:t>
            </w:r>
            <w:r w:rsidR="00FE3640">
              <w:rPr>
                <w:rFonts w:cs="Calibri"/>
                <w:szCs w:val="20"/>
              </w:rPr>
              <w:br/>
            </w:r>
            <w:r>
              <w:rPr>
                <w:rFonts w:cs="Calibri"/>
                <w:szCs w:val="20"/>
              </w:rPr>
              <w:t xml:space="preserve">č. </w:t>
            </w:r>
            <w:r w:rsidR="008928DE">
              <w:rPr>
                <w:rFonts w:cs="Calibri"/>
                <w:szCs w:val="20"/>
              </w:rPr>
              <w:t>11</w:t>
            </w:r>
            <w:r>
              <w:rPr>
                <w:rFonts w:cs="Calibri"/>
                <w:szCs w:val="20"/>
              </w:rPr>
              <w:t xml:space="preserve">), na toto výběrové řízení se neaplikují ustanovení zákona </w:t>
            </w:r>
            <w:r w:rsidR="00FE3640">
              <w:rPr>
                <w:rFonts w:cs="Calibri"/>
                <w:szCs w:val="20"/>
              </w:rPr>
              <w:br/>
            </w:r>
            <w:r>
              <w:rPr>
                <w:rFonts w:cs="Calibri"/>
                <w:szCs w:val="20"/>
              </w:rPr>
              <w:t>č. 134/2016 Sb., o zadávání veřejných zakázek.</w:t>
            </w:r>
          </w:p>
        </w:tc>
      </w:tr>
      <w:tr w:rsidR="00B909D3">
        <w:trPr>
          <w:trHeight w:val="553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Vyrozumívání uchazečů o výsledku,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 w:val="false"/>
                <w:sz w:val="18"/>
                <w:szCs w:val="18"/>
              </w:rPr>
              <w:t>resp. zrušení zadávacího řízení a o případném vyloučení nabídky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FE3640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szCs w:val="20"/>
              </w:rPr>
              <w:t xml:space="preserve">prostřednictvím uveřejnění informace na portálu </w:t>
            </w:r>
            <w:r>
              <w:rPr>
                <w:rFonts w:cs="Calibri"/>
                <w:i/>
                <w:szCs w:val="20"/>
                <w:u w:val="single"/>
              </w:rPr>
              <w:t>www.esfcr.cz</w:t>
            </w:r>
            <w:r>
              <w:rPr>
                <w:rFonts w:cs="Calibri"/>
                <w:szCs w:val="20"/>
              </w:rPr>
              <w:t xml:space="preserve"> pod</w:t>
            </w:r>
            <w:r w:rsidR="00FE3640">
              <w:rPr>
                <w:rFonts w:cs="Calibri"/>
                <w:szCs w:val="20"/>
              </w:rPr>
              <w:t> </w:t>
            </w:r>
            <w:r>
              <w:rPr>
                <w:rFonts w:cs="Calibri"/>
                <w:szCs w:val="20"/>
              </w:rPr>
              <w:t>výše uvedeným názvem veřejné zakázky.</w:t>
            </w:r>
          </w:p>
        </w:tc>
      </w:tr>
      <w:tr w:rsidR="00B909D3">
        <w:trPr>
          <w:trHeight w:val="405"/>
        </w:trPr>
        <w:tc>
          <w:tcPr>
            <w:tcW w:w="40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RDefault="00226324">
            <w:pPr>
              <w:pStyle w:val="Standard"/>
              <w:ind w:left="57"/>
              <w:jc w:val="both"/>
            </w:pPr>
            <w:r>
              <w:rPr>
                <w:rFonts w:cs="Calibri"/>
                <w:b/>
                <w:bCs w:val="false"/>
                <w:sz w:val="18"/>
                <w:szCs w:val="18"/>
              </w:rPr>
              <w:t>Soubory ke stažení na www.esfcr.cz:</w:t>
            </w:r>
          </w:p>
        </w:tc>
        <w:tc>
          <w:tcPr>
            <w:tcW w:w="5813" w:type="dxa"/>
            <w:tcBorders>
              <w:top w:val="single" w:color="000001" w:sz="6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9D3" w:rsidP="00842A02" w:rsidRDefault="008928DE">
            <w:pPr>
              <w:pStyle w:val="Standard"/>
              <w:ind w:left="57"/>
              <w:jc w:val="both"/>
            </w:pPr>
            <w:r w:rsidRPr="008928DE">
              <w:rPr>
                <w:rFonts w:cs="Calibri"/>
                <w:szCs w:val="20"/>
              </w:rPr>
              <w:t xml:space="preserve">Výzva k podání nabídek </w:t>
            </w:r>
            <w:r>
              <w:rPr>
                <w:rFonts w:cs="Calibri"/>
                <w:szCs w:val="20"/>
              </w:rPr>
              <w:t>-</w:t>
            </w:r>
            <w:r w:rsidRPr="008928DE">
              <w:rPr>
                <w:rFonts w:cs="Calibri"/>
                <w:szCs w:val="20"/>
              </w:rPr>
              <w:t xml:space="preserve"> </w:t>
            </w:r>
            <w:r w:rsidR="00842A02">
              <w:rPr>
                <w:rFonts w:cs="Calibri"/>
                <w:szCs w:val="20"/>
              </w:rPr>
              <w:t>S</w:t>
            </w:r>
            <w:r w:rsidRPr="008928DE">
              <w:rPr>
                <w:rFonts w:cs="Calibri"/>
                <w:szCs w:val="20"/>
              </w:rPr>
              <w:t xml:space="preserve">lužby pro </w:t>
            </w:r>
            <w:proofErr w:type="gramStart"/>
            <w:r w:rsidRPr="008928DE">
              <w:rPr>
                <w:rFonts w:cs="Calibri"/>
                <w:szCs w:val="20"/>
              </w:rPr>
              <w:t>JMI</w:t>
            </w:r>
            <w:proofErr w:type="gramEnd"/>
            <w:r w:rsidR="00226324">
              <w:rPr>
                <w:rFonts w:cs="Calibri"/>
                <w:szCs w:val="20"/>
              </w:rPr>
              <w:t>.</w:t>
            </w:r>
            <w:proofErr w:type="gramStart"/>
            <w:r w:rsidR="00226324">
              <w:rPr>
                <w:rFonts w:cs="Calibri"/>
                <w:szCs w:val="20"/>
              </w:rPr>
              <w:t>zip</w:t>
            </w:r>
            <w:proofErr w:type="gramEnd"/>
          </w:p>
        </w:tc>
      </w:tr>
    </w:tbl>
    <w:p w:rsidR="00B909D3" w:rsidRDefault="00226324">
      <w:pPr>
        <w:pStyle w:val="Nadpis2"/>
        <w:pageBreakBefore/>
        <w:numPr>
          <w:ilvl w:val="0"/>
          <w:numId w:val="21"/>
        </w:numPr>
        <w:ind w:left="426" w:right="54" w:hanging="426"/>
        <w:jc w:val="both"/>
      </w:pPr>
      <w:r>
        <w:rPr>
          <w:rFonts w:cs="Calibri"/>
        </w:rPr>
        <w:lastRenderedPageBreak/>
        <w:t>Specifikace zakázky</w:t>
      </w:r>
    </w:p>
    <w:p w:rsidR="00B909D3" w:rsidRDefault="00226324">
      <w:pPr>
        <w:pStyle w:val="Nadpis3"/>
        <w:jc w:val="both"/>
      </w:pPr>
      <w:r>
        <w:rPr>
          <w:rFonts w:cs="Calibri"/>
        </w:rPr>
        <w:t>2.1 Závaznost požadavků zadavatele</w:t>
      </w:r>
    </w:p>
    <w:p w:rsidR="00B909D3" w:rsidP="0070028C" w:rsidRDefault="00226324">
      <w:pPr>
        <w:pStyle w:val="Standard"/>
        <w:ind w:left="426"/>
        <w:jc w:val="both"/>
      </w:pPr>
      <w:r>
        <w:rPr>
          <w:rFonts w:cs="Calibri"/>
        </w:rPr>
        <w:t>Zadavatel prohlašuje, že toto výběrové řízení není veřejnou soutěží o nejvhodnější zakázku ani veřejným příslibem. Závazné požadavky jsou uvedeny v této výzvě a v přílohách této výzvy. Nerespektování těchto požadavků bude považováno za nesplnění podmínek výzvy a je důvodem pro vyřazení nabídky z další účasti ve výběrovém řízení.</w:t>
      </w:r>
    </w:p>
    <w:p w:rsidR="00B909D3" w:rsidRDefault="00226324">
      <w:pPr>
        <w:pStyle w:val="Nadpis3"/>
        <w:jc w:val="both"/>
      </w:pPr>
      <w:r>
        <w:rPr>
          <w:rFonts w:cs="Calibri"/>
        </w:rPr>
        <w:t>2.2 Předmět zakázky</w:t>
      </w:r>
    </w:p>
    <w:p w:rsidR="00B909D3" w:rsidP="0070028C" w:rsidRDefault="00226324">
      <w:pPr>
        <w:pStyle w:val="Standard"/>
        <w:spacing w:after="120"/>
        <w:ind w:left="426"/>
        <w:jc w:val="both"/>
      </w:pPr>
      <w:r>
        <w:rPr>
          <w:rFonts w:cs="Calibri"/>
        </w:rPr>
        <w:t>Předmětem zakázky je zajištění přínosného externího školení formou vzdělávacích kurzů dle soupisu s obsahy v Příloze 3. Výzvy. Stravování, ubytování, cestovné a občerstvení pro školené osoby není předmětem plnění.</w:t>
      </w:r>
    </w:p>
    <w:p w:rsidR="00B909D3" w:rsidP="0070028C" w:rsidRDefault="00226324">
      <w:pPr>
        <w:pStyle w:val="Bnodstavec"/>
        <w:ind w:left="426"/>
        <w:jc w:val="both"/>
      </w:pPr>
      <w:r>
        <w:rPr>
          <w:rFonts w:cs="Calibri"/>
        </w:rPr>
        <w:t>Předávání informací není předmětem plnění, předmět plnění musí být proveden tak, aby měl pro účastníky školení a pro zadavatele prokazatelný přínos, to znamená: aby byla měřitelná pozitivní změna v konání a v postojích účastníků. V tom případě zadavatel podpoří vhodné metody školení a systémové podpory školení, které dodavatel navrhne. Pokud dodavatel neprokáže, že jeho práce má měřitelný přínos, bude s ním smlouva okamžitě ukončena a dodavatel zaplatí zadavateli smluvní pokutu ve výši 200 000 Kč. Výše pokuty zohledňuje ohrožení projektu ztrátou času s nerelevantním dodavatelem, což může vést k nesplnění monitorovacích indikátorů projektu a tím k dalším škodám.</w:t>
      </w:r>
    </w:p>
    <w:p w:rsidR="00B909D3" w:rsidP="0070028C" w:rsidRDefault="00226324">
      <w:pPr>
        <w:pStyle w:val="Bnodstavec"/>
        <w:ind w:left="426"/>
        <w:jc w:val="both"/>
      </w:pPr>
      <w:r>
        <w:rPr>
          <w:rFonts w:cs="Calibri"/>
        </w:rPr>
        <w:t>Uchazeč podáním nabídky dává najevo, že akceptoval všechny podmínky této Výzvy a příloh této Výzvy. Tím na sebe bere závazek respektovat předmět zakázky tak, jak je stanoven v tomto článku Výzvy (2.2) včetně smluvní pokuty.</w:t>
      </w:r>
    </w:p>
    <w:p w:rsidR="00B909D3" w:rsidRDefault="00226324">
      <w:pPr>
        <w:pStyle w:val="Nadpis3"/>
        <w:jc w:val="both"/>
      </w:pPr>
      <w:r>
        <w:rPr>
          <w:rFonts w:cs="Calibri"/>
        </w:rPr>
        <w:t>2.3 Další požadavky zadavatele na uchazeče a vybraného dodavatele</w:t>
      </w:r>
    </w:p>
    <w:p w:rsidR="00B909D3" w:rsidRDefault="00226324">
      <w:pPr>
        <w:pStyle w:val="Ordka1"/>
        <w:jc w:val="both"/>
      </w:pPr>
      <w:r>
        <w:t>Všechny náklady účasti ve výběrovém řízení nese uchazeč i v případě změn nebo zrušení výběrového řízení.</w:t>
      </w:r>
    </w:p>
    <w:p w:rsidR="00B909D3" w:rsidRDefault="00226324">
      <w:pPr>
        <w:pStyle w:val="Ordka1"/>
        <w:jc w:val="both"/>
      </w:pPr>
      <w:r>
        <w:t>Vybraný dodavatel musí reagovat na potřeby zadavatele do 3 pracovních dnů (konání a odvolání kurzu).</w:t>
      </w:r>
    </w:p>
    <w:p w:rsidR="00B909D3" w:rsidRDefault="00226324">
      <w:pPr>
        <w:pStyle w:val="Ordka1"/>
        <w:jc w:val="both"/>
      </w:pPr>
      <w:r>
        <w:t>V případě indispozice lektora zajistí dodavatel náhradu na stejné či vyšší úrovni v původním termínu konání.</w:t>
      </w:r>
    </w:p>
    <w:p w:rsidR="00B909D3" w:rsidRDefault="00226324">
      <w:pPr>
        <w:pStyle w:val="Ordka1"/>
        <w:jc w:val="both"/>
      </w:pPr>
      <w:r>
        <w:t>Pokud dodavatel neodškolí ve stanoveném termínu, zaplatí smluvní pokutu - trojnásobek ceny školicího dne.</w:t>
      </w:r>
    </w:p>
    <w:p w:rsidR="00B909D3" w:rsidRDefault="00226324">
      <w:pPr>
        <w:pStyle w:val="Ordka1"/>
        <w:jc w:val="both"/>
      </w:pPr>
      <w:r>
        <w:t xml:space="preserve">Oprávněná osoba dodavatele předá objednateli </w:t>
      </w:r>
      <w:r w:rsidR="00C34E33">
        <w:t>Dokumentaci k</w:t>
      </w:r>
      <w:r>
        <w:t xml:space="preserve"> obsahu každého kurzu dle pravidel OPZ.</w:t>
      </w:r>
    </w:p>
    <w:p w:rsidR="00B909D3" w:rsidRDefault="00226324">
      <w:pPr>
        <w:pStyle w:val="Ordka1"/>
        <w:jc w:val="both"/>
      </w:pPr>
      <w:r>
        <w:t xml:space="preserve">Oprávněná osoba dodavatele předá objednateli </w:t>
      </w:r>
      <w:r w:rsidR="00C34E33">
        <w:t>P</w:t>
      </w:r>
      <w:r>
        <w:t>otvrzení pro absolventy kurzů podle pravidel OPZ.</w:t>
      </w:r>
    </w:p>
    <w:p w:rsidR="00B909D3" w:rsidRDefault="00226324">
      <w:pPr>
        <w:pStyle w:val="Ordka1"/>
        <w:jc w:val="both"/>
      </w:pPr>
      <w:r>
        <w:t>Lektor zajistí kompletní vyplnění prezenční listiny dle pravidel OPZ a předá ji objednateli.</w:t>
      </w:r>
    </w:p>
    <w:p w:rsidR="00B909D3" w:rsidRDefault="00226324">
      <w:pPr>
        <w:pStyle w:val="Ordka1"/>
        <w:jc w:val="both"/>
      </w:pPr>
      <w:r>
        <w:t>Dodavatel zajistí na školení vizuální identitu a případné sankce za nedodržení uhradí objednateli v plné výši.</w:t>
      </w:r>
    </w:p>
    <w:p w:rsidR="00B909D3" w:rsidRDefault="00226324">
      <w:pPr>
        <w:pStyle w:val="Ordka1"/>
        <w:jc w:val="both"/>
      </w:pPr>
      <w:r>
        <w:t>Na semi</w:t>
      </w:r>
      <w:r w:rsidR="00C34E33">
        <w:t>náři bude nejvýše 12 účastníků</w:t>
      </w:r>
      <w:r>
        <w:t>.</w:t>
      </w:r>
    </w:p>
    <w:p w:rsidR="00B909D3" w:rsidRDefault="00226324">
      <w:pPr>
        <w:pStyle w:val="Ordka1"/>
        <w:jc w:val="both"/>
      </w:pPr>
      <w:r>
        <w:t>Nejvyšší četnost školicích dní</w:t>
      </w:r>
      <w:r w:rsidR="00676161">
        <w:t xml:space="preserve"> v části C</w:t>
      </w:r>
      <w:r>
        <w:t xml:space="preserve"> je 2 za kalendářní den a 6 za týden.</w:t>
      </w:r>
    </w:p>
    <w:p w:rsidR="00B909D3" w:rsidRDefault="00226324">
      <w:pPr>
        <w:pStyle w:val="Ordka1"/>
        <w:jc w:val="both"/>
      </w:pPr>
      <w:r>
        <w:t>Vyučovací hodina má 60 minut, školicí den zahrnuje 7</w:t>
      </w:r>
      <w:r w:rsidR="00C34E33">
        <w:t>,5</w:t>
      </w:r>
      <w:r>
        <w:t xml:space="preserve"> hodin výuky a přestávku 0,5 hodiny</w:t>
      </w:r>
    </w:p>
    <w:p w:rsidR="00B909D3" w:rsidRDefault="00226324">
      <w:pPr>
        <w:pStyle w:val="Ordka1"/>
        <w:jc w:val="both"/>
      </w:pPr>
      <w:r>
        <w:t>Ověření zvládnutí kurzu uchazečem provede lektor závěrečným pohovorem s účastníky.</w:t>
      </w:r>
    </w:p>
    <w:p w:rsidR="00B909D3" w:rsidRDefault="00226324">
      <w:pPr>
        <w:pStyle w:val="Ordka1"/>
        <w:jc w:val="both"/>
      </w:pPr>
      <w:r>
        <w:t>Úspěšný účastník je ten, který absolvuje 70 % času určeného pro kurz a uspěje v závěrečném pohovoru.</w:t>
      </w:r>
    </w:p>
    <w:p w:rsidR="00B909D3" w:rsidRDefault="00226324">
      <w:pPr>
        <w:pStyle w:val="Ordka1"/>
        <w:tabs>
          <w:tab w:val="left" w:pos="1418"/>
        </w:tabs>
        <w:jc w:val="both"/>
      </w:pPr>
      <w:r>
        <w:t>Uchazeč se zavazuje splnit §2 písm. E) zákona 320/2001 sb. o finanční kontrole ve znění pozdějších předpisů.</w:t>
      </w:r>
    </w:p>
    <w:p w:rsidR="00B909D3" w:rsidRDefault="00226324">
      <w:pPr>
        <w:pStyle w:val="Ordka1"/>
        <w:jc w:val="both"/>
      </w:pPr>
      <w:r>
        <w:t>Tato povinnost se vztahuje i na případné subdodavatele.</w:t>
      </w:r>
    </w:p>
    <w:p w:rsidR="00B909D3" w:rsidRDefault="00226324">
      <w:pPr>
        <w:pStyle w:val="Ordka1"/>
        <w:jc w:val="both"/>
      </w:pPr>
      <w:r>
        <w:t>Doba archivace podkladů ke kontrole je 10 let od ukončení účetního období s poslední fakturací.</w:t>
      </w:r>
    </w:p>
    <w:p w:rsidR="00B909D3" w:rsidRDefault="00226324">
      <w:pPr>
        <w:pStyle w:val="Ordka1"/>
        <w:jc w:val="both"/>
      </w:pPr>
      <w:r>
        <w:t>Uchazeč je vázán obsahem své nabídky 90 dnů po skončení lhůty pro podání nabídek (zadávací lhůta).</w:t>
      </w:r>
    </w:p>
    <w:p w:rsidR="00B909D3" w:rsidP="0070028C" w:rsidRDefault="00226324">
      <w:pPr>
        <w:pStyle w:val="Ordka1"/>
        <w:ind w:left="426" w:firstLine="0"/>
      </w:pPr>
      <w:r>
        <w:t>Veškerá komunikace mezi zadavatelem a uchazeči bude probíhat výhradně v českém jazyce e-mailem s doručenkou na adresu:</w:t>
      </w:r>
      <w:r w:rsidRPr="005D22B7" w:rsidR="005D22B7">
        <w:t xml:space="preserve"> </w:t>
      </w:r>
      <w:r w:rsidRPr="005D22B7" w:rsidR="005D22B7">
        <w:rPr>
          <w:i/>
        </w:rPr>
        <w:t>alena.gruberova@jednota.cz</w:t>
      </w:r>
    </w:p>
    <w:p w:rsidR="00B909D3" w:rsidRDefault="00226324">
      <w:pPr>
        <w:pStyle w:val="Ordka1"/>
        <w:jc w:val="both"/>
      </w:pPr>
      <w:r>
        <w:t>Na toto VŘ se neaplikuje ustanovení §1729 Občanského zákoníku dle §1 odst. 2 Občanského zákoníku.</w:t>
      </w:r>
    </w:p>
    <w:p w:rsidR="00B909D3" w:rsidRDefault="00226324">
      <w:pPr>
        <w:pStyle w:val="Nadpis3"/>
        <w:jc w:val="both"/>
      </w:pPr>
      <w:r>
        <w:rPr>
          <w:rFonts w:cs="Calibri"/>
        </w:rPr>
        <w:t>2.4 Požadavky na prokázání základní způsobilosti uchazeče</w:t>
      </w:r>
    </w:p>
    <w:p w:rsidR="00B909D3" w:rsidP="00676161" w:rsidRDefault="00226324">
      <w:pPr>
        <w:pStyle w:val="Ordka1"/>
        <w:ind w:left="426" w:firstLine="0"/>
        <w:jc w:val="both"/>
      </w:pPr>
      <w:r>
        <w:t>Uchazeč prokáže splnění základní způsobilosti předložením ověřeného čestného prohlášení dle Přílohy 4 Výzvy.</w:t>
      </w:r>
    </w:p>
    <w:p w:rsidR="00B909D3" w:rsidRDefault="00226324">
      <w:pPr>
        <w:pStyle w:val="Nadpis3"/>
        <w:jc w:val="both"/>
      </w:pPr>
      <w:r>
        <w:rPr>
          <w:rFonts w:cs="Calibri"/>
        </w:rPr>
        <w:t>2.5 Požadavky na prokázání profesní způsobilosti uchazeče</w:t>
      </w:r>
    </w:p>
    <w:p w:rsidR="00B909D3" w:rsidP="0070028C" w:rsidRDefault="00226324">
      <w:pPr>
        <w:pStyle w:val="Ordka1"/>
        <w:ind w:left="426" w:firstLine="0"/>
        <w:jc w:val="both"/>
      </w:pPr>
      <w:r>
        <w:t>Uchazeč předloží oprávnění k podnikání dle předmětu plnění a výpis z OR, nebo obdobné evidence, je-li tam zapsán. Prostou kopii těchto podkladů potvrdí originálním podpisem osoba oprávněná jednat za uchazeče.</w:t>
      </w:r>
    </w:p>
    <w:p w:rsidR="00B909D3" w:rsidP="0070028C" w:rsidRDefault="00226324">
      <w:pPr>
        <w:pStyle w:val="Ordka1"/>
        <w:ind w:left="426" w:firstLine="0"/>
        <w:jc w:val="both"/>
      </w:pPr>
      <w:r>
        <w:t>Uchazeč předloží čestn</w:t>
      </w:r>
      <w:r w:rsidR="00676161">
        <w:t>é</w:t>
      </w:r>
      <w:r>
        <w:t xml:space="preserve"> prohlášení lektor</w:t>
      </w:r>
      <w:r w:rsidR="00676161">
        <w:t>a</w:t>
      </w:r>
      <w:r>
        <w:t xml:space="preserve"> dle příloh</w:t>
      </w:r>
      <w:r w:rsidR="00676161">
        <w:t>y</w:t>
      </w:r>
      <w:r>
        <w:t xml:space="preserve"> 5 Výzvy s ověřeným podpisem</w:t>
      </w:r>
      <w:r w:rsidR="00676161">
        <w:t>, 3 čestná prohlášení v části C</w:t>
      </w:r>
      <w:r>
        <w:t>.</w:t>
      </w:r>
    </w:p>
    <w:p w:rsidR="00B909D3" w:rsidP="0070028C" w:rsidRDefault="00226324">
      <w:pPr>
        <w:pStyle w:val="Ordka1"/>
        <w:ind w:left="426" w:firstLine="0"/>
        <w:jc w:val="both"/>
      </w:pPr>
      <w:r>
        <w:t xml:space="preserve">Uchazeč přiloží k nabídce v jednom originále (k jednomu kurzu z Přílohy 3 Výzvy) příklad vyplněné prezenční listiny, příklad </w:t>
      </w:r>
      <w:r w:rsidR="005D22B7">
        <w:t>Dokumentace k</w:t>
      </w:r>
      <w:r>
        <w:t xml:space="preserve"> obsahu kurzu a příklad </w:t>
      </w:r>
      <w:r w:rsidR="005D22B7">
        <w:t>P</w:t>
      </w:r>
      <w:r>
        <w:t>otvrzení o absolvování pro účastníka kurzu</w:t>
      </w:r>
    </w:p>
    <w:p w:rsidR="00B909D3" w:rsidP="0070028C" w:rsidRDefault="00226324">
      <w:pPr>
        <w:pStyle w:val="Ordka1"/>
        <w:ind w:left="426" w:firstLine="0"/>
        <w:jc w:val="both"/>
      </w:pPr>
      <w:r>
        <w:t>Pokud uchazeč v těchto materiálech udělá chybu ve smyslu nedodržení platných požadavků OPZ, bude to zadavatel hodnotit jako prokázání profesní nezpůsobilosti a nabídku uchazeče vyloučí z dalšího posuzování.</w:t>
      </w:r>
    </w:p>
    <w:p w:rsidR="00B909D3" w:rsidP="007D1B6B" w:rsidRDefault="00226324">
      <w:pPr>
        <w:pStyle w:val="Nadpis2"/>
        <w:numPr>
          <w:ilvl w:val="0"/>
          <w:numId w:val="21"/>
        </w:numPr>
        <w:spacing w:before="0" w:after="0"/>
        <w:ind w:left="426" w:hanging="426"/>
        <w:jc w:val="both"/>
      </w:pPr>
      <w:r>
        <w:rPr>
          <w:rFonts w:cs="Calibri"/>
        </w:rPr>
        <w:lastRenderedPageBreak/>
        <w:t>Další podmínky, požadavky a pravidla</w:t>
      </w:r>
    </w:p>
    <w:p w:rsidR="00B909D3" w:rsidRDefault="00226324">
      <w:pPr>
        <w:pStyle w:val="Nadpis3"/>
        <w:jc w:val="both"/>
      </w:pPr>
      <w:r>
        <w:rPr>
          <w:rFonts w:cs="Calibri"/>
        </w:rPr>
        <w:t>3.1 Podmínky a požadavky na zpracování nabídky:</w:t>
      </w:r>
    </w:p>
    <w:p w:rsidR="00B909D3" w:rsidRDefault="00226324">
      <w:pPr>
        <w:pStyle w:val="Ordka1"/>
        <w:jc w:val="both"/>
      </w:pPr>
      <w:r>
        <w:t xml:space="preserve">Nabídka bude předložená v listinné podobě </w:t>
      </w:r>
      <w:r w:rsidRPr="00AB1CAD">
        <w:rPr>
          <w:b/>
        </w:rPr>
        <w:t>v českém jazyce v jednom</w:t>
      </w:r>
      <w:r>
        <w:rPr>
          <w:b/>
        </w:rPr>
        <w:t xml:space="preserve"> originále</w:t>
      </w:r>
    </w:p>
    <w:p w:rsidR="00B909D3" w:rsidRDefault="00226324">
      <w:pPr>
        <w:pStyle w:val="Ordka1"/>
        <w:jc w:val="both"/>
      </w:pPr>
      <w:r>
        <w:t>Nabídka musí být kompletní, jednoznačná (bez variant) a čitelná</w:t>
      </w:r>
    </w:p>
    <w:p w:rsidR="00B909D3" w:rsidP="0070028C" w:rsidRDefault="00226324">
      <w:pPr>
        <w:pStyle w:val="Ordka1"/>
        <w:ind w:left="426" w:firstLine="0"/>
        <w:jc w:val="both"/>
      </w:pPr>
      <w:r>
        <w:t xml:space="preserve">Nabídka bude začínat vyplněným Nabídkovým listem </w:t>
      </w:r>
      <w:r w:rsidR="006B7EFA">
        <w:t xml:space="preserve">příslušné části (A </w:t>
      </w:r>
      <w:proofErr w:type="gramStart"/>
      <w:r w:rsidR="006B7EFA">
        <w:t xml:space="preserve">až D) </w:t>
      </w:r>
      <w:r>
        <w:t>(Příloh</w:t>
      </w:r>
      <w:r w:rsidR="006B7EFA">
        <w:t>y</w:t>
      </w:r>
      <w:proofErr w:type="gramEnd"/>
      <w:r>
        <w:t xml:space="preserve"> 1</w:t>
      </w:r>
      <w:r w:rsidR="006B7EFA">
        <w:t>.1 až 1.4</w:t>
      </w:r>
      <w:r>
        <w:t xml:space="preserve"> Výzvy) s ověřeným podpisem osoby oprávněné jednat jménem uchazeče</w:t>
      </w:r>
    </w:p>
    <w:p w:rsidR="00B909D3" w:rsidRDefault="00226324">
      <w:pPr>
        <w:pStyle w:val="Ordka1"/>
        <w:jc w:val="both"/>
      </w:pPr>
      <w:r>
        <w:t>Nabídka bude dále pokračovat přílohami nabídky</w:t>
      </w:r>
      <w:r w:rsidR="006B7EFA">
        <w:t xml:space="preserve"> dle příslušné části (A až D)</w:t>
      </w:r>
      <w:r>
        <w:t>:</w:t>
      </w:r>
    </w:p>
    <w:p w:rsidR="00B909D3" w:rsidP="007D1B6B" w:rsidRDefault="00226324">
      <w:pPr>
        <w:pStyle w:val="Ordka1"/>
        <w:numPr>
          <w:ilvl w:val="1"/>
          <w:numId w:val="19"/>
        </w:numPr>
        <w:ind w:left="993" w:hanging="284"/>
        <w:jc w:val="both"/>
      </w:pPr>
      <w:r>
        <w:t>Příloha č. 1: Výpis z živnostenského rejstříku – prostá kopie podepsaná oprávněnou osobou</w:t>
      </w:r>
    </w:p>
    <w:p w:rsidR="00B909D3" w:rsidP="007D1B6B" w:rsidRDefault="00226324">
      <w:pPr>
        <w:pStyle w:val="Ordka1"/>
        <w:numPr>
          <w:ilvl w:val="1"/>
          <w:numId w:val="19"/>
        </w:numPr>
        <w:ind w:left="993" w:hanging="284"/>
        <w:jc w:val="both"/>
      </w:pPr>
      <w:r>
        <w:t>Příloha č. 2: Výpis z OR nebo obdobné evidence – prostá kopie podepsaná oprávněnou osobou</w:t>
      </w:r>
    </w:p>
    <w:p w:rsidR="00B909D3" w:rsidP="007D1B6B" w:rsidRDefault="00226324">
      <w:pPr>
        <w:pStyle w:val="Ordka1"/>
        <w:numPr>
          <w:ilvl w:val="1"/>
          <w:numId w:val="19"/>
        </w:numPr>
        <w:ind w:left="993" w:hanging="284"/>
        <w:jc w:val="both"/>
      </w:pPr>
      <w:r>
        <w:t>Příloha č. 3: Soupis kurzů s obsahy – JM</w:t>
      </w:r>
      <w:r w:rsidR="005D22B7">
        <w:t>I</w:t>
      </w:r>
      <w:r>
        <w:t xml:space="preserve"> (Příloha 3 Výzvy) prostá kopie podepsaná oprávněnou osobou</w:t>
      </w:r>
    </w:p>
    <w:p w:rsidR="00B909D3" w:rsidP="007D1B6B" w:rsidRDefault="00226324">
      <w:pPr>
        <w:pStyle w:val="Ordka1"/>
        <w:numPr>
          <w:ilvl w:val="1"/>
          <w:numId w:val="19"/>
        </w:numPr>
        <w:ind w:left="993" w:hanging="284"/>
        <w:jc w:val="both"/>
      </w:pPr>
      <w:r>
        <w:t>Příloha č. 4: Čestné prohlášení ZZ – JM</w:t>
      </w:r>
      <w:r w:rsidR="005D22B7">
        <w:t>I</w:t>
      </w:r>
      <w:r>
        <w:t xml:space="preserve"> (Příloha 4 Výzvy) originál s ověřeným podpisem oprávněné osoby</w:t>
      </w:r>
    </w:p>
    <w:p w:rsidRPr="007D1B6B" w:rsidR="00B909D3" w:rsidP="007D1B6B" w:rsidRDefault="00226324">
      <w:pPr>
        <w:pStyle w:val="Ordka1"/>
        <w:numPr>
          <w:ilvl w:val="1"/>
          <w:numId w:val="19"/>
        </w:numPr>
        <w:spacing w:line="216" w:lineRule="auto"/>
        <w:ind w:left="993" w:right="57" w:hanging="284"/>
        <w:jc w:val="both"/>
        <w:rPr>
          <w:szCs w:val="20"/>
        </w:rPr>
      </w:pPr>
      <w:r w:rsidRPr="007D1B6B">
        <w:rPr>
          <w:szCs w:val="20"/>
        </w:rPr>
        <w:t>Příloha č. 5: Čestn</w:t>
      </w:r>
      <w:r w:rsidRPr="007D1B6B" w:rsidR="00676161">
        <w:rPr>
          <w:szCs w:val="20"/>
        </w:rPr>
        <w:t>é</w:t>
      </w:r>
      <w:r w:rsidRPr="007D1B6B">
        <w:rPr>
          <w:szCs w:val="20"/>
        </w:rPr>
        <w:t xml:space="preserve"> prohlášení lektor</w:t>
      </w:r>
      <w:r w:rsidRPr="007D1B6B" w:rsidR="00676161">
        <w:rPr>
          <w:szCs w:val="20"/>
        </w:rPr>
        <w:t>a</w:t>
      </w:r>
      <w:r w:rsidRPr="007D1B6B">
        <w:rPr>
          <w:szCs w:val="20"/>
        </w:rPr>
        <w:t xml:space="preserve"> (Příloha 5</w:t>
      </w:r>
      <w:r w:rsidR="00336A32">
        <w:rPr>
          <w:szCs w:val="20"/>
        </w:rPr>
        <w:t>.1, 5.2 a 5.3</w:t>
      </w:r>
      <w:r w:rsidRPr="007D1B6B">
        <w:rPr>
          <w:szCs w:val="20"/>
        </w:rPr>
        <w:t xml:space="preserve"> Výzvy)</w:t>
      </w:r>
      <w:r w:rsidRPr="007D1B6B" w:rsidR="00676161">
        <w:rPr>
          <w:szCs w:val="20"/>
        </w:rPr>
        <w:t>, v části C 3</w:t>
      </w:r>
      <w:r w:rsidR="007D1B6B">
        <w:rPr>
          <w:szCs w:val="20"/>
        </w:rPr>
        <w:t xml:space="preserve"> čestná prohlášení </w:t>
      </w:r>
      <w:r w:rsidR="00336A32">
        <w:rPr>
          <w:szCs w:val="20"/>
        </w:rPr>
        <w:t xml:space="preserve">od </w:t>
      </w:r>
      <w:r w:rsidR="007D1B6B">
        <w:rPr>
          <w:szCs w:val="20"/>
        </w:rPr>
        <w:t>3 lektorů</w:t>
      </w:r>
      <w:r w:rsidR="00336A32">
        <w:rPr>
          <w:szCs w:val="20"/>
        </w:rPr>
        <w:t xml:space="preserve"> (příloha 5.3 Výzvy)</w:t>
      </w:r>
      <w:r w:rsidRPr="007D1B6B">
        <w:rPr>
          <w:szCs w:val="20"/>
        </w:rPr>
        <w:t xml:space="preserve"> – originály s ověřeným podpisem oprávněné osoby</w:t>
      </w:r>
    </w:p>
    <w:p w:rsidR="00B909D3" w:rsidP="007D1B6B" w:rsidRDefault="00226324">
      <w:pPr>
        <w:pStyle w:val="Ordka1"/>
        <w:numPr>
          <w:ilvl w:val="1"/>
          <w:numId w:val="19"/>
        </w:numPr>
        <w:spacing w:line="216" w:lineRule="auto"/>
        <w:ind w:left="993" w:hanging="284"/>
        <w:jc w:val="both"/>
      </w:pPr>
      <w:r>
        <w:t xml:space="preserve">Tři příklady vyplněných podkladů z prokázání profesní způsobilosti (prezenční listina, </w:t>
      </w:r>
      <w:r w:rsidR="005D22B7">
        <w:t>Dokumentace k</w:t>
      </w:r>
      <w:r>
        <w:t xml:space="preserve"> obsahu kurzu a </w:t>
      </w:r>
      <w:r w:rsidR="005D22B7">
        <w:t>P</w:t>
      </w:r>
      <w:r>
        <w:t>otvrzení o absolvování kurzu)</w:t>
      </w:r>
    </w:p>
    <w:p w:rsidR="00B909D3" w:rsidP="007D1B6B" w:rsidRDefault="00226324">
      <w:pPr>
        <w:pStyle w:val="Ordka1"/>
        <w:numPr>
          <w:ilvl w:val="1"/>
          <w:numId w:val="19"/>
        </w:numPr>
        <w:ind w:left="993" w:hanging="284"/>
        <w:jc w:val="both"/>
      </w:pPr>
      <w:r>
        <w:t>Nabídka může dále obsahovat další podklady dle uvážení uchazeče</w:t>
      </w:r>
    </w:p>
    <w:p w:rsidR="00B909D3" w:rsidRDefault="00226324">
      <w:pPr>
        <w:pStyle w:val="Ordka1"/>
        <w:jc w:val="both"/>
      </w:pPr>
      <w:r>
        <w:t>Nabídka bude pevně svázaná do jednoho celku a zapečetěná proti neoprávněné manipulaci.</w:t>
      </w:r>
    </w:p>
    <w:p w:rsidR="00B909D3" w:rsidP="006B7EFA" w:rsidRDefault="00226324">
      <w:pPr>
        <w:pStyle w:val="Ordka1"/>
        <w:ind w:left="426" w:firstLine="0"/>
        <w:jc w:val="both"/>
      </w:pPr>
      <w:r>
        <w:t>Nabídka bude vložená do uzavřené zapečetěné obálky s nápisem: „Nabídka do VŘ – NEOTEVÍRAT!“</w:t>
      </w:r>
      <w:r w:rsidR="006B7EFA">
        <w:t>,</w:t>
      </w:r>
      <w:r>
        <w:t xml:space="preserve"> dále </w:t>
      </w:r>
      <w:r w:rsidR="006B7EFA">
        <w:t>zde bude uveden</w:t>
      </w:r>
      <w:r>
        <w:t xml:space="preserve"> název zakázky: „</w:t>
      </w:r>
      <w:r w:rsidRPr="005D22B7" w:rsidR="005D22B7">
        <w:t>Služby pro JMI</w:t>
      </w:r>
      <w:r w:rsidR="006B7EFA">
        <w:t xml:space="preserve"> – část (A až D)</w:t>
      </w:r>
      <w:r>
        <w:t>“</w:t>
      </w:r>
      <w:r w:rsidR="006B7EFA">
        <w:t>. Pro každou část se podává nabídka v samostatné obálce</w:t>
      </w:r>
      <w:r w:rsidR="007D1B6B">
        <w:t>.</w:t>
      </w:r>
    </w:p>
    <w:p w:rsidR="00B909D3" w:rsidRDefault="00226324">
      <w:pPr>
        <w:pStyle w:val="Ordka1"/>
        <w:jc w:val="both"/>
      </w:pPr>
      <w:r>
        <w:t>Na obálce bude dále identifikace Uchazeče a kontaktní osoby (její jméno, telefon a e-mail)</w:t>
      </w:r>
    </w:p>
    <w:p w:rsidR="00B909D3" w:rsidP="0070028C" w:rsidRDefault="00226324">
      <w:pPr>
        <w:pStyle w:val="Ordka1"/>
        <w:ind w:left="426" w:firstLine="0"/>
        <w:jc w:val="both"/>
      </w:pPr>
      <w:r>
        <w:t>V obálce budou dále volně vložené 3 návrhy smlouvy o realizaci školení (Příloh</w:t>
      </w:r>
      <w:r w:rsidR="006B7EFA">
        <w:t>y</w:t>
      </w:r>
      <w:r>
        <w:t xml:space="preserve"> 2</w:t>
      </w:r>
      <w:r w:rsidR="006B7EFA">
        <w:t>.1 až 2.4</w:t>
      </w:r>
      <w:r>
        <w:t xml:space="preserve"> Výzvy) </w:t>
      </w:r>
      <w:r w:rsidR="005D22B7">
        <w:t xml:space="preserve">doplněné o ceny školení a </w:t>
      </w:r>
      <w:r>
        <w:t>originálně podepsané oprávněnou osobou uchazeče, pevně spojené s prostou kopií Přílohy 3 Výzvy a prostou kopií této Výzvy</w:t>
      </w:r>
      <w:r w:rsidR="00AB1CAD">
        <w:t>,</w:t>
      </w:r>
      <w:r>
        <w:t xml:space="preserve"> </w:t>
      </w:r>
      <w:r w:rsidR="00AB1CAD">
        <w:t>samostatně</w:t>
      </w:r>
      <w:r>
        <w:t xml:space="preserve"> zapečetěné proti neoprávněné manipulaci.</w:t>
      </w:r>
    </w:p>
    <w:p w:rsidR="00B909D3" w:rsidRDefault="00226324">
      <w:pPr>
        <w:pStyle w:val="Ordka1"/>
        <w:jc w:val="both"/>
      </w:pPr>
      <w:r>
        <w:t>Nedoporučuje se tuto zapečetěnou obálku použít jako poštovní obálku, protože dochází k jejich poškození.</w:t>
      </w:r>
    </w:p>
    <w:p w:rsidR="00B909D3" w:rsidP="0070028C" w:rsidRDefault="00226324">
      <w:pPr>
        <w:pStyle w:val="Ordka1"/>
        <w:ind w:left="426" w:firstLine="0"/>
        <w:jc w:val="both"/>
      </w:pPr>
      <w:r>
        <w:t>Oprávněnou osobou je statutární zástupce uchazeče, případně jím zplnomocněná osoba. Originál plné moci s ověřeným podpisem statutára se přiloží k nabídce. Ověření podpisu je nezbytné pro případné trestní o</w:t>
      </w:r>
      <w:r w:rsidR="005D22B7">
        <w:t>známení, v případě, že se osoba oprávněná jednat jménem uchazeče dopustí podvodu.</w:t>
      </w:r>
    </w:p>
    <w:p w:rsidR="00B909D3" w:rsidRDefault="00226324">
      <w:pPr>
        <w:pStyle w:val="Nadpis3"/>
        <w:jc w:val="both"/>
      </w:pPr>
      <w:r>
        <w:rPr>
          <w:rFonts w:cs="Calibri"/>
        </w:rPr>
        <w:t>3.2 Požadavek na způsob zpracování nabídkové ceny:</w:t>
      </w:r>
    </w:p>
    <w:p w:rsidR="00B909D3" w:rsidP="0070028C" w:rsidRDefault="00226324">
      <w:pPr>
        <w:pStyle w:val="Standard"/>
        <w:ind w:left="426"/>
        <w:jc w:val="both"/>
      </w:pPr>
      <w:r>
        <w:rPr>
          <w:rFonts w:cs="Calibri"/>
        </w:rPr>
        <w:t xml:space="preserve">Uchazeč stanoví jednotkovou nabídkovou cenu bez DPH za jeden školicí den dle podmínek uvedených v této výzvě, za kompletní realizaci včetně všech svých rizik a interních nákladů. Celková nabídková cena bez DPH pak vznikne </w:t>
      </w:r>
      <w:proofErr w:type="spellStart"/>
      <w:r>
        <w:rPr>
          <w:rFonts w:cs="Calibri"/>
        </w:rPr>
        <w:t>pronásobením</w:t>
      </w:r>
      <w:proofErr w:type="spellEnd"/>
      <w:r>
        <w:rPr>
          <w:rFonts w:cs="Calibri"/>
        </w:rPr>
        <w:t xml:space="preserve"> počtu školicích dní a jednotkové nabídkové ceny. Celková nabídková cena je konečná a nelze ji v průběhu realizace navyšovat. Uchazeč ji předloží zapsáním do Nabídkového listu</w:t>
      </w:r>
      <w:r w:rsidR="00AB1CAD">
        <w:rPr>
          <w:rFonts w:cs="Calibri"/>
        </w:rPr>
        <w:t xml:space="preserve"> a do návrhů smlouvy</w:t>
      </w:r>
      <w:r>
        <w:rPr>
          <w:rFonts w:cs="Calibri"/>
        </w:rPr>
        <w:t>.</w:t>
      </w:r>
    </w:p>
    <w:p w:rsidR="00B909D3" w:rsidRDefault="00226324">
      <w:pPr>
        <w:pStyle w:val="Nadpis3"/>
        <w:jc w:val="both"/>
      </w:pPr>
      <w:r>
        <w:rPr>
          <w:rFonts w:cs="Calibri"/>
        </w:rPr>
        <w:t>3.3 Požadavek na kvalitu zpracování nabídek</w:t>
      </w:r>
    </w:p>
    <w:p w:rsidR="00B909D3" w:rsidP="0070028C" w:rsidRDefault="00226324">
      <w:pPr>
        <w:pStyle w:val="Standard"/>
        <w:ind w:left="426"/>
        <w:jc w:val="both"/>
      </w:pPr>
      <w:r>
        <w:rPr>
          <w:rFonts w:cs="Calibri"/>
        </w:rPr>
        <w:t>Uchazeč podáním nabídky dává najevo, že akceptoval všechny podmínky této Výzvy a příloh této Výzvy, což znamená, že v nich nesmí svévolně měnit texty nebo hodnoty. Dále se předpokládá, že uchazeč kvalitou zpracování nabídky ukazuje zadavateli, jak kvalitně bude pracovat jako dodavatel. Proto bude zadavatel nabídky vracet uchazečům k opravě nebo k doplnění pouze v případě, že obsahují 1 až 2 odstranitelné nedostatky. V případě tří a více nedostatků bude nabídka vyloučena z hodnocení nabídek. Zadavatel bude kontrolovat:</w:t>
      </w:r>
    </w:p>
    <w:p w:rsidR="00B909D3" w:rsidP="0070028C" w:rsidRDefault="00226324">
      <w:pPr>
        <w:pStyle w:val="Ordka1"/>
        <w:numPr>
          <w:ilvl w:val="0"/>
          <w:numId w:val="24"/>
        </w:numPr>
        <w:jc w:val="both"/>
      </w:pPr>
      <w:r>
        <w:t>Splnění termínu pro podání nabídky</w:t>
      </w:r>
    </w:p>
    <w:p w:rsidR="00B909D3" w:rsidP="0070028C" w:rsidRDefault="00226324">
      <w:pPr>
        <w:pStyle w:val="Ordka1"/>
        <w:numPr>
          <w:ilvl w:val="0"/>
          <w:numId w:val="24"/>
        </w:numPr>
        <w:jc w:val="both"/>
      </w:pPr>
      <w:r>
        <w:t>Zapečetění, popisy a neporušenost obálky s</w:t>
      </w:r>
      <w:r w:rsidR="00676161">
        <w:t> </w:t>
      </w:r>
      <w:r>
        <w:t>nabídkou</w:t>
      </w:r>
      <w:r w:rsidR="00676161">
        <w:t>, ú</w:t>
      </w:r>
      <w:r>
        <w:t>plnost a čitelnost nabídky s přílohami</w:t>
      </w:r>
    </w:p>
    <w:p w:rsidR="00B909D3" w:rsidP="0070028C" w:rsidRDefault="00226324">
      <w:pPr>
        <w:pStyle w:val="Ordka1"/>
        <w:numPr>
          <w:ilvl w:val="0"/>
          <w:numId w:val="24"/>
        </w:numPr>
        <w:jc w:val="both"/>
      </w:pPr>
      <w:r>
        <w:t>Zapečetění, úplnost a čitelnost návrhů smluv s přílohami</w:t>
      </w:r>
    </w:p>
    <w:p w:rsidR="00B909D3" w:rsidP="0070028C" w:rsidRDefault="00226324">
      <w:pPr>
        <w:pStyle w:val="Ordka1"/>
        <w:numPr>
          <w:ilvl w:val="0"/>
          <w:numId w:val="24"/>
        </w:numPr>
        <w:jc w:val="both"/>
      </w:pPr>
      <w:r>
        <w:t>Prokázání základní a profesní způsobilosti</w:t>
      </w:r>
    </w:p>
    <w:p w:rsidR="00B909D3" w:rsidP="0070028C" w:rsidRDefault="00226324">
      <w:pPr>
        <w:pStyle w:val="Ordka1"/>
        <w:numPr>
          <w:ilvl w:val="0"/>
          <w:numId w:val="24"/>
        </w:numPr>
        <w:jc w:val="both"/>
      </w:pPr>
      <w:r>
        <w:t>Podpisy a ověření podpisu tam, kde je to požadováno</w:t>
      </w:r>
    </w:p>
    <w:p w:rsidR="00B909D3" w:rsidRDefault="00226324">
      <w:pPr>
        <w:pStyle w:val="Nadpis3"/>
        <w:jc w:val="both"/>
      </w:pPr>
      <w:r>
        <w:rPr>
          <w:rFonts w:cs="Calibri"/>
        </w:rPr>
        <w:t>3.4 Pravidla pro hodnocení nabídek</w:t>
      </w:r>
    </w:p>
    <w:p w:rsidR="00B909D3" w:rsidP="0070028C" w:rsidRDefault="00226324">
      <w:pPr>
        <w:pStyle w:val="Standard"/>
        <w:ind w:left="426"/>
        <w:jc w:val="both"/>
      </w:pPr>
      <w:r>
        <w:rPr>
          <w:rFonts w:cs="Calibri"/>
        </w:rPr>
        <w:t>Nabídky budou hodnoceny podle ekonomické výhodnosti pro zadavatele:</w:t>
      </w:r>
    </w:p>
    <w:p w:rsidRPr="007D1B6B" w:rsidR="00B909D3" w:rsidP="0070028C" w:rsidRDefault="00226324">
      <w:pPr>
        <w:pStyle w:val="Bnodstavec"/>
        <w:tabs>
          <w:tab w:val="left" w:pos="2977"/>
        </w:tabs>
        <w:spacing w:after="0"/>
        <w:ind w:left="426"/>
        <w:jc w:val="both"/>
      </w:pPr>
      <w:r>
        <w:rPr>
          <w:rFonts w:cs="Calibri"/>
        </w:rPr>
        <w:t xml:space="preserve">Jediné hodnotící </w:t>
      </w:r>
      <w:r w:rsidRPr="007D1B6B">
        <w:rPr>
          <w:rFonts w:cs="Calibri"/>
        </w:rPr>
        <w:t>kritérium:</w:t>
      </w:r>
      <w:r w:rsidRPr="007D1B6B">
        <w:rPr>
          <w:rFonts w:cs="Calibri"/>
        </w:rPr>
        <w:tab/>
        <w:t>Celková nabídková cena bez DPH – váha 100 %</w:t>
      </w:r>
    </w:p>
    <w:p w:rsidRPr="007D1B6B" w:rsidR="00B909D3" w:rsidRDefault="00226324">
      <w:pPr>
        <w:pStyle w:val="Ordka1"/>
        <w:jc w:val="both"/>
      </w:pPr>
      <w:r w:rsidRPr="007D1B6B">
        <w:t>Jako nejvýhodnější bude hodnocena nabídka s nejnižší celkovou nabídkovou cenou</w:t>
      </w:r>
    </w:p>
    <w:p w:rsidRPr="007D1B6B" w:rsidR="00B909D3" w:rsidRDefault="00226324">
      <w:pPr>
        <w:pStyle w:val="Ordka1"/>
        <w:jc w:val="both"/>
      </w:pPr>
      <w:r w:rsidRPr="007D1B6B">
        <w:t>Bodová hodnota nabídky se vypočítá:</w:t>
      </w:r>
    </w:p>
    <w:p w:rsidRPr="007D1B6B" w:rsidR="00B909D3" w:rsidRDefault="00226324">
      <w:pPr>
        <w:pStyle w:val="Ordka1"/>
        <w:jc w:val="both"/>
      </w:pPr>
      <w:r w:rsidRPr="007D1B6B">
        <w:t>(nejvýhodnější nabídka) / (cena hodnocené nabídky) x 100 (váha vyjádřená v %)</w:t>
      </w:r>
    </w:p>
    <w:p w:rsidR="00B909D3" w:rsidRDefault="00226324">
      <w:pPr>
        <w:pStyle w:val="Ordka1"/>
      </w:pPr>
      <w:r>
        <w:t>Pořadí nabídek bude stanoveno podle počtu dosažených bodů.</w:t>
      </w:r>
    </w:p>
    <w:p w:rsidR="00B909D3" w:rsidRDefault="00226324">
      <w:pPr>
        <w:pStyle w:val="Ordka1"/>
      </w:pPr>
      <w:r>
        <w:t>Jako vítězná nabídka bude určena nabídka s nejvyšším počtem bodů.</w:t>
      </w:r>
    </w:p>
    <w:p w:rsidR="00B909D3" w:rsidRDefault="00226324">
      <w:pPr>
        <w:pStyle w:val="Nadpis3"/>
        <w:spacing w:after="120"/>
        <w:jc w:val="both"/>
      </w:pPr>
      <w:r>
        <w:rPr>
          <w:rFonts w:cs="Calibri"/>
        </w:rPr>
        <w:lastRenderedPageBreak/>
        <w:t>3.5 Přílohy výzvy k podání nabídek:</w:t>
      </w:r>
    </w:p>
    <w:p w:rsidR="00B909D3" w:rsidRDefault="00226324">
      <w:pPr>
        <w:pStyle w:val="Ordka1"/>
        <w:jc w:val="both"/>
      </w:pPr>
      <w:r>
        <w:t>Příloh</w:t>
      </w:r>
      <w:r w:rsidR="00842A02">
        <w:t>y</w:t>
      </w:r>
      <w:r>
        <w:t xml:space="preserve"> 1</w:t>
      </w:r>
      <w:r w:rsidR="00842A02">
        <w:t>.1 až 1.4</w:t>
      </w:r>
      <w:r>
        <w:t xml:space="preserve"> – Nabídkový list VR – JM</w:t>
      </w:r>
      <w:r w:rsidR="00AB1CAD">
        <w:t>I</w:t>
      </w:r>
      <w:r w:rsidR="00842A02">
        <w:t xml:space="preserve"> </w:t>
      </w:r>
    </w:p>
    <w:p w:rsidR="00B909D3" w:rsidRDefault="00226324">
      <w:pPr>
        <w:pStyle w:val="Ordka1"/>
        <w:jc w:val="both"/>
      </w:pPr>
      <w:r>
        <w:t>Příloh</w:t>
      </w:r>
      <w:r w:rsidR="00842A02">
        <w:t>y</w:t>
      </w:r>
      <w:r>
        <w:t xml:space="preserve"> 2</w:t>
      </w:r>
      <w:r w:rsidR="00842A02">
        <w:t>.1 až 2.4</w:t>
      </w:r>
      <w:r>
        <w:t xml:space="preserve"> – Návrh smlouvy – JM</w:t>
      </w:r>
      <w:r w:rsidR="00AB1CAD">
        <w:t>I</w:t>
      </w:r>
    </w:p>
    <w:p w:rsidR="00B909D3" w:rsidRDefault="00226324">
      <w:pPr>
        <w:pStyle w:val="Ordka1"/>
        <w:jc w:val="both"/>
      </w:pPr>
      <w:r>
        <w:t>Příloha 3 – Soupis kurzů s obsahy – JM</w:t>
      </w:r>
      <w:r w:rsidR="00AB1CAD">
        <w:t>I</w:t>
      </w:r>
    </w:p>
    <w:p w:rsidR="00B909D3" w:rsidRDefault="00226324">
      <w:pPr>
        <w:pStyle w:val="Ordka1"/>
        <w:jc w:val="both"/>
      </w:pPr>
      <w:r>
        <w:t>Příloha 4 – Čestné prohlášení ZZ – JM</w:t>
      </w:r>
      <w:r w:rsidR="00AB1CAD">
        <w:t>I</w:t>
      </w:r>
    </w:p>
    <w:p w:rsidR="00B909D3" w:rsidRDefault="00226324">
      <w:pPr>
        <w:pStyle w:val="Ordka1"/>
        <w:jc w:val="both"/>
      </w:pPr>
      <w:r>
        <w:t>Příloha 5</w:t>
      </w:r>
      <w:r w:rsidR="00336A32">
        <w:t>.1 až 5.4</w:t>
      </w:r>
      <w:r>
        <w:t xml:space="preserve"> – Čestné prohlášení lektora – JM</w:t>
      </w:r>
      <w:r w:rsidR="00AB1CAD">
        <w:t>I</w:t>
      </w:r>
    </w:p>
    <w:p w:rsidR="00B909D3" w:rsidRDefault="00B909D3">
      <w:pPr>
        <w:pStyle w:val="Standard"/>
        <w:jc w:val="both"/>
        <w:rPr>
          <w:rFonts w:cs="Calibri"/>
        </w:rPr>
      </w:pPr>
    </w:p>
    <w:p w:rsidR="002A0770" w:rsidP="002A0770" w:rsidRDefault="002A0770">
      <w:pPr>
        <w:pStyle w:val="Nadpis3"/>
        <w:spacing w:after="120"/>
        <w:jc w:val="both"/>
        <w:rPr>
          <w:rFonts w:cs="Calibri"/>
        </w:rPr>
      </w:pPr>
      <w:r>
        <w:rPr>
          <w:rFonts w:cs="Calibri"/>
        </w:rPr>
        <w:t>4. Ochrana osobních údajů</w:t>
      </w:r>
    </w:p>
    <w:p w:rsidR="002A0770" w:rsidP="007D1B6B" w:rsidRDefault="002A0770">
      <w:pPr>
        <w:pStyle w:val="Ordka1"/>
      </w:pPr>
      <w:r>
        <w:t>Zadavatel bude se všemi osobními údaji zacházet v souladu se zákonnými normami a zásadami GDPR.</w:t>
      </w:r>
    </w:p>
    <w:p w:rsidR="002A0770" w:rsidP="00F93A1C" w:rsidRDefault="002A0770">
      <w:pPr>
        <w:pStyle w:val="Bnodstavec"/>
        <w:spacing w:after="0"/>
        <w:jc w:val="both"/>
        <w:rPr>
          <w:rFonts w:cs="Calibri"/>
        </w:rPr>
      </w:pPr>
    </w:p>
    <w:p w:rsidR="002A0770" w:rsidP="00F93A1C" w:rsidRDefault="002A0770">
      <w:pPr>
        <w:pStyle w:val="Bnodstavec"/>
        <w:spacing w:after="0"/>
        <w:jc w:val="both"/>
        <w:rPr>
          <w:rFonts w:cs="Calibri"/>
        </w:rPr>
      </w:pPr>
    </w:p>
    <w:p w:rsidR="00F93A1C" w:rsidP="00F93A1C" w:rsidRDefault="00226324">
      <w:pPr>
        <w:pStyle w:val="Bnodstavec"/>
        <w:spacing w:after="0"/>
        <w:jc w:val="both"/>
      </w:pPr>
      <w:r>
        <w:rPr>
          <w:rFonts w:cs="Calibri"/>
        </w:rPr>
        <w:t>V</w:t>
      </w:r>
      <w:r w:rsidR="00AB1CAD">
        <w:rPr>
          <w:rFonts w:cs="Calibri"/>
        </w:rPr>
        <w:t xml:space="preserve"> Mikulově </w:t>
      </w:r>
      <w:r>
        <w:rPr>
          <w:rFonts w:cs="Calibri"/>
        </w:rPr>
        <w:t xml:space="preserve">dne </w:t>
      </w:r>
      <w:r w:rsidR="00AB1CAD">
        <w:rPr>
          <w:rFonts w:cs="Calibri"/>
        </w:rPr>
        <w:t>3</w:t>
      </w:r>
      <w:r>
        <w:rPr>
          <w:rFonts w:cs="Calibri"/>
        </w:rPr>
        <w:t xml:space="preserve">. </w:t>
      </w:r>
      <w:r w:rsidR="00AB1CAD">
        <w:rPr>
          <w:rFonts w:cs="Calibri"/>
        </w:rPr>
        <w:t>2</w:t>
      </w:r>
      <w:r>
        <w:rPr>
          <w:rFonts w:cs="Calibri"/>
        </w:rPr>
        <w:t>. 20</w:t>
      </w:r>
      <w:r w:rsidR="00A91A30">
        <w:rPr>
          <w:rFonts w:cs="Calibri"/>
        </w:rPr>
        <w:t>20</w:t>
      </w:r>
    </w:p>
    <w:p w:rsidR="00F93A1C" w:rsidP="00F93A1C" w:rsidRDefault="00F93A1C">
      <w:pPr>
        <w:pStyle w:val="Bnodstavec"/>
        <w:spacing w:after="0"/>
        <w:jc w:val="both"/>
      </w:pPr>
    </w:p>
    <w:p w:rsidR="00F93A1C" w:rsidP="00F93A1C" w:rsidRDefault="00F93A1C">
      <w:pPr>
        <w:pStyle w:val="Bnodstavec"/>
        <w:spacing w:after="0"/>
        <w:jc w:val="both"/>
      </w:pPr>
    </w:p>
    <w:p w:rsidR="00F93A1C" w:rsidP="00F93A1C" w:rsidRDefault="00F93A1C">
      <w:pPr>
        <w:pStyle w:val="Bnodstavec"/>
        <w:spacing w:after="0"/>
        <w:jc w:val="both"/>
      </w:pPr>
    </w:p>
    <w:p w:rsidR="00B909D3" w:rsidP="00F93A1C" w:rsidRDefault="00226324">
      <w:pPr>
        <w:pStyle w:val="Bnodstavec"/>
        <w:tabs>
          <w:tab w:val="center" w:pos="2268"/>
          <w:tab w:val="center" w:pos="6804"/>
        </w:tabs>
        <w:spacing w:after="0"/>
        <w:jc w:val="both"/>
      </w:pPr>
      <w:r>
        <w:rPr>
          <w:rFonts w:cs="Calibri"/>
        </w:rPr>
        <w:tab/>
      </w:r>
      <w:r>
        <w:rPr>
          <w:rFonts w:cs="Calibri"/>
          <w:color w:val="BFBFBF"/>
        </w:rPr>
        <w:t>………</w:t>
      </w:r>
      <w:r w:rsidR="00F93A1C">
        <w:rPr>
          <w:rFonts w:cs="Calibri"/>
          <w:color w:val="BFBFBF"/>
        </w:rPr>
        <w:t>….</w:t>
      </w:r>
      <w:r>
        <w:rPr>
          <w:rFonts w:cs="Calibri"/>
          <w:color w:val="BFBFBF"/>
        </w:rPr>
        <w:t>……………</w:t>
      </w:r>
      <w:r w:rsidR="00F93A1C">
        <w:rPr>
          <w:rFonts w:cs="Calibri"/>
          <w:color w:val="BFBFBF"/>
        </w:rPr>
        <w:t>…….</w:t>
      </w:r>
      <w:r>
        <w:rPr>
          <w:rFonts w:cs="Calibri"/>
          <w:color w:val="BFBFBF"/>
        </w:rPr>
        <w:t>………………</w:t>
      </w:r>
      <w:r w:rsidR="00F93A1C">
        <w:rPr>
          <w:rFonts w:cs="Calibri"/>
          <w:color w:val="BFBFBF"/>
        </w:rPr>
        <w:tab/>
        <w:t>………….………………….………………</w:t>
      </w:r>
    </w:p>
    <w:p w:rsidRPr="00AB1CAD" w:rsidR="00B909D3" w:rsidP="00F93A1C" w:rsidRDefault="00226324">
      <w:pPr>
        <w:pStyle w:val="Bnodstavec"/>
        <w:tabs>
          <w:tab w:val="center" w:pos="2268"/>
          <w:tab w:val="center" w:pos="6804"/>
        </w:tabs>
        <w:spacing w:after="0"/>
        <w:jc w:val="both"/>
        <w:rPr>
          <w:sz w:val="28"/>
          <w:szCs w:val="28"/>
        </w:rPr>
      </w:pPr>
      <w:r w:rsidRPr="00AB1CAD">
        <w:rPr>
          <w:rFonts w:cs="Calibri"/>
          <w:sz w:val="28"/>
          <w:szCs w:val="28"/>
        </w:rPr>
        <w:tab/>
      </w:r>
      <w:r w:rsidRPr="00AB1CAD" w:rsidR="00AB1CAD">
        <w:rPr>
          <w:rFonts w:cs="Calibri"/>
          <w:sz w:val="28"/>
          <w:szCs w:val="28"/>
        </w:rPr>
        <w:t>Zuzana Herzánová</w:t>
      </w:r>
      <w:r w:rsidRPr="00AB1CAD" w:rsidR="00F93A1C">
        <w:rPr>
          <w:rFonts w:cs="Calibri"/>
          <w:sz w:val="28"/>
          <w:szCs w:val="28"/>
        </w:rPr>
        <w:tab/>
      </w:r>
      <w:r w:rsidRPr="00AB1CAD" w:rsidR="00AB1CAD">
        <w:rPr>
          <w:rFonts w:cs="Calibri"/>
          <w:sz w:val="28"/>
          <w:szCs w:val="28"/>
        </w:rPr>
        <w:t xml:space="preserve">Pavel </w:t>
      </w:r>
      <w:proofErr w:type="spellStart"/>
      <w:r w:rsidRPr="00AB1CAD" w:rsidR="00AB1CAD">
        <w:rPr>
          <w:rFonts w:cs="Calibri"/>
          <w:sz w:val="28"/>
          <w:szCs w:val="28"/>
        </w:rPr>
        <w:t>Crhonek</w:t>
      </w:r>
      <w:proofErr w:type="spellEnd"/>
    </w:p>
    <w:p w:rsidRPr="00AB1CAD" w:rsidR="00B909D3" w:rsidP="00F93A1C" w:rsidRDefault="00226324">
      <w:pPr>
        <w:pStyle w:val="Bnodstavec"/>
        <w:tabs>
          <w:tab w:val="center" w:pos="2268"/>
          <w:tab w:val="center" w:pos="6804"/>
        </w:tabs>
        <w:spacing w:after="0"/>
        <w:jc w:val="both"/>
        <w:rPr>
          <w:sz w:val="16"/>
          <w:szCs w:val="16"/>
        </w:rPr>
      </w:pPr>
      <w:r w:rsidRPr="00AB1CAD">
        <w:rPr>
          <w:rFonts w:cs="Calibri"/>
          <w:sz w:val="16"/>
          <w:szCs w:val="16"/>
        </w:rPr>
        <w:tab/>
        <w:t>Předsed</w:t>
      </w:r>
      <w:r w:rsidR="00A91A30">
        <w:rPr>
          <w:rFonts w:cs="Calibri"/>
          <w:sz w:val="16"/>
          <w:szCs w:val="16"/>
        </w:rPr>
        <w:t>k</w:t>
      </w:r>
      <w:r w:rsidRPr="00AB1CAD" w:rsidR="00AB1CAD">
        <w:rPr>
          <w:rFonts w:cs="Calibri"/>
          <w:sz w:val="16"/>
          <w:szCs w:val="16"/>
        </w:rPr>
        <w:t>yně</w:t>
      </w:r>
      <w:r w:rsidRPr="00AB1CAD">
        <w:rPr>
          <w:rFonts w:cs="Calibri"/>
          <w:sz w:val="16"/>
          <w:szCs w:val="16"/>
        </w:rPr>
        <w:t xml:space="preserve"> představenstva</w:t>
      </w:r>
      <w:r w:rsidRPr="00AB1CAD" w:rsidR="00F93A1C">
        <w:rPr>
          <w:rFonts w:cs="Calibri"/>
          <w:sz w:val="16"/>
          <w:szCs w:val="16"/>
        </w:rPr>
        <w:tab/>
        <w:t>místopředsed</w:t>
      </w:r>
      <w:r w:rsidRPr="00AB1CAD" w:rsidR="00AB1CAD">
        <w:rPr>
          <w:rFonts w:cs="Calibri"/>
          <w:sz w:val="16"/>
          <w:szCs w:val="16"/>
        </w:rPr>
        <w:t>a</w:t>
      </w:r>
      <w:r w:rsidRPr="00AB1CAD" w:rsidR="00F93A1C">
        <w:rPr>
          <w:rFonts w:cs="Calibri"/>
          <w:sz w:val="16"/>
          <w:szCs w:val="16"/>
        </w:rPr>
        <w:t xml:space="preserve"> představenstva</w:t>
      </w:r>
    </w:p>
    <w:p w:rsidR="00B909D3" w:rsidP="00F93A1C" w:rsidRDefault="00B909D3">
      <w:pPr>
        <w:pStyle w:val="Bnodstavec"/>
        <w:tabs>
          <w:tab w:val="center" w:pos="1985"/>
          <w:tab w:val="center" w:pos="7938"/>
        </w:tabs>
        <w:spacing w:after="0"/>
        <w:jc w:val="both"/>
      </w:pPr>
    </w:p>
    <w:sectPr w:rsidR="00B909D3">
      <w:headerReference w:type="default" r:id="rId8"/>
      <w:footerReference w:type="even" r:id="rId9"/>
      <w:footerReference w:type="default" r:id="rId10"/>
      <w:pgSz w:w="11906" w:h="16838"/>
      <w:pgMar w:top="1702" w:right="991" w:bottom="851" w:left="1080" w:header="567" w:footer="117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B2A14" w:rsidRDefault="00FB2A14">
      <w:r>
        <w:separator/>
      </w:r>
    </w:p>
  </w:endnote>
  <w:endnote w:type="continuationSeparator" w:id="0">
    <w:p w:rsidR="00FB2A14" w:rsidRDefault="00FB2A1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E62" w:rsidRDefault="00226324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377317">
      <w:rPr>
        <w:noProof/>
      </w:rPr>
      <w:t>2</w:t>
    </w:r>
    <w:r>
      <w:fldChar w:fldCharType="end"/>
    </w:r>
  </w:p>
  <w:p w:rsidR="00913E62" w:rsidRDefault="00FB2A14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E62" w:rsidRDefault="00226324">
    <w:pPr>
      <w:pStyle w:val="Zhlav"/>
      <w:tabs>
        <w:tab w:val="clear" w:pos="9072"/>
        <w:tab w:val="right" w:pos="9000"/>
      </w:tabs>
      <w:spacing w:after="60"/>
      <w:ind w:right="-720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  <w:lang w:eastAsia="cs-CZ"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>
              <wp:simplePos x="0" y="0"/>
              <wp:positionH relativeFrom="page">
                <wp:posOffset>6767279</wp:posOffset>
              </wp:positionH>
              <wp:positionV relativeFrom="paragraph">
                <wp:posOffset>99000</wp:posOffset>
              </wp:positionV>
              <wp:extent cx="14760" cy="0"/>
              <wp:effectExtent l="0" t="0" r="0" b="0"/>
              <wp:wrapSquare wrapText="bothSides"/>
              <wp:docPr id="2" name="Rámec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13E62" w:rsidRDefault="00226324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73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SQTgtQEAAFEDAAAOAAAAZHJzL2Uyb0RvYy54bWysU1Fu2zAM/R/QOwj6b5QEQzcYcYoOQYsCxTYs3QEUWYoFSKIgqrGz2+wsu9goJU6H7W/oD02JT+R7JL26Hb1jB53QQmj5YjbnTAcFnQ37ln9/vr/+yBlmGTrpIOiWHzXy2/XVu9UQG72EHlynE6MkAZshtrzPOTZCoOq1lziDqAMFDSQvMx3TXnRJDpTdO7Gcz2/EAKmLCZRGpNvNKcjXNb8xWuUvxqDOzLWcuOVqU7W7YsV6JZt9krG36kxD/gcLL22gopdUG5kle0n2n1TeqgQIJs8UeAHGWKWrBlKzmP+lZtvLqKsWag7GS5vw7dKqz4evidmu5UvOgvQ0om+/fnqtFqU1Q8SGENtImDx+gpFGPN0jXRbFo0m+fEkLozg1+XhprB4zU+XR+w83FFBTRLw+iwnzgwbPitPyRBOrjZSHJ8xEgaATpFRxodgA99a5OrsS3EjsT9ASFoX1iV3x8rgbz1J20B1JCa0rVeoh/eBsoNG3PNBucuYeA3W2bMnkpMnZTQ5NLcr8FLZRFWghg/HuJROhyrZUPJU5E6G5VRHnHSuL8ee5ol7/hPVvAAAA//8DAFBLAwQUAAYACAAAACEA+ad5otsAAAALAQAADwAAAGRycy9kb3ducmV2LnhtbEyPQU/DMAyF70j8h8hI3FgC0rqqNJ3QJC7cGAhpt6zxmorEqZqsa/89njjAzc9+ev5evZ2DFxOOqY+k4XGlQCC10fbUafj8eH0oQaRsyBofCTUsmGDb3N7UprLxQu847XMnOIRSZTS4nIdKytQ6DCat4oDEt1Mcg8ksx07a0Vw4PHj5pFQhg+mJPzgz4M5h+70/Bw2b+SvikHCHh9PUjq5fSv+2aH1/N788g8g45z8zXPEZHRpmOsYz2SQ8a1WsN+zlaV2AuDpUUXK94+9GNrX836H5AQAA//8DAFBLAQItABQABgAIAAAAIQC2gziS/gAAAOEBAAATAAAAAAAAAAAAAAAAAAAAAABbQ29udGVudF9UeXBlc10ueG1sUEsBAi0AFAAGAAgAAAAhADj9If/WAAAAlAEAAAsAAAAAAAAAAAAAAAAALwEAAF9yZWxzLy5yZWxzUEsBAi0AFAAGAAgAAAAhAFpJBOC1AQAAUQMAAA4AAAAAAAAAAAAAAAAALgIAAGRycy9lMm9Eb2MueG1sUEsBAi0AFAAGAAgAAAAhAPmneaLbAAAACwEAAA8AAAAAAAAAAAAAAAAADwQAAGRycy9kb3ducmV2LnhtbFBLBQYAAAAABAAEAPMAAAAXBQAAAAA=" type="#_x0000_t202" style="position:absolute;margin-left:532.85pt;margin-top:7.8pt;width:1.15pt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id="Rámec1" o:spid="_x0000_s1026" stroked="f" filled="f">
              <v:textbox inset="0,0,0,0" style="mso-fit-shape-to-text:t">
                <w:txbxContent>
                  <w:p w:rsidR="00913E62" w:rsidRDefault="00226324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73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913E62" w:rsidRDefault="00226324">
    <w:pPr>
      <w:pStyle w:val="Zhlav"/>
      <w:tabs>
        <w:tab w:val="clear" w:pos="9072"/>
        <w:tab w:val="right" w:pos="9000"/>
      </w:tabs>
      <w:spacing w:after="60"/>
      <w:ind w:right="-720"/>
    </w:pPr>
    <w:r>
      <w:rPr>
        <w:rFonts w:cs="Calibri"/>
        <w:sz w:val="16"/>
        <w:szCs w:val="16"/>
      </w:rPr>
      <w:t>Tento projekt je financován z prostředků ESF prostřednictvím Operačního programu zaměstnanost a státního rozpočtu ČR</w:t>
    </w:r>
  </w:p>
  <w:p w:rsidR="00913E62" w:rsidRDefault="00FB2A1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B2A14" w:rsidRDefault="00FB2A14">
      <w:r>
        <w:rPr>
          <w:color w:val="000000"/>
        </w:rPr>
        <w:separator/>
      </w:r>
    </w:p>
  </w:footnote>
  <w:footnote w:type="continuationSeparator" w:id="0">
    <w:p w:rsidR="00FB2A14" w:rsidRDefault="00FB2A1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E62" w:rsidRDefault="00226324">
    <w:pPr>
      <w:pStyle w:val="Zhlav"/>
    </w:pPr>
    <w:r>
      <w:rPr>
        <w:noProof/>
        <w:lang w:eastAsia="cs-CZ"/>
      </w:rPr>
      <w:drawing>
        <wp:inline distT="0" distB="0" distL="0" distR="0">
          <wp:extent cx="2873880" cy="593640"/>
          <wp:effectExtent l="0" t="0" r="267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3880" cy="593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9414121"/>
    <w:multiLevelType w:val="multilevel"/>
    <w:tmpl w:val="8E6A111C"/>
    <w:styleLink w:val="WWNum7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>
    <w:nsid w:val="0D6A4302"/>
    <w:multiLevelType w:val="multilevel"/>
    <w:tmpl w:val="EA1CCDE6"/>
    <w:styleLink w:val="WWNum1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123F2D79"/>
    <w:multiLevelType w:val="multilevel"/>
    <w:tmpl w:val="47482B5C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7BB1EF6"/>
    <w:multiLevelType w:val="multilevel"/>
    <w:tmpl w:val="ECB09CC8"/>
    <w:styleLink w:val="WWNum12"/>
    <w:lvl w:ilvl="0">
      <w:start w:val="1"/>
      <w:numFmt w:val="lowerLetter"/>
      <w:lvlText w:val="%1)"/>
      <w:lvlJc w:val="left"/>
      <w:rPr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E7A5E0F"/>
    <w:multiLevelType w:val="multilevel"/>
    <w:tmpl w:val="6CA8E79C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200C33D4"/>
    <w:multiLevelType w:val="multilevel"/>
    <w:tmpl w:val="101688AA"/>
    <w:styleLink w:val="WWNum9"/>
    <w:lvl w:ilvl="0">
      <w:start w:val="4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numFmt w:val="bullet"/>
      <w:lvlText w:val="-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22B24946"/>
    <w:multiLevelType w:val="multilevel"/>
    <w:tmpl w:val="A1F00B78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5197B66"/>
    <w:multiLevelType w:val="multilevel"/>
    <w:tmpl w:val="AFBAE1EA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91C5137"/>
    <w:multiLevelType w:val="hybridMultilevel"/>
    <w:tmpl w:val="C1FC6B42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9">
    <w:nsid w:val="32AA626D"/>
    <w:multiLevelType w:val="multilevel"/>
    <w:tmpl w:val="9B361778"/>
    <w:styleLink w:val="WWNum1"/>
    <w:lvl w:ilvl="0">
      <w:numFmt w:val="bullet"/>
      <w:lvlText w:val="∙"/>
      <w:lvlJc w:val="left"/>
      <w:rPr>
        <w:color w:val="00000A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0">
    <w:nsid w:val="46B85606"/>
    <w:multiLevelType w:val="multilevel"/>
    <w:tmpl w:val="F2E870EC"/>
    <w:styleLink w:val="WWNum10"/>
    <w:lvl w:ilvl="0">
      <w:start w:val="1"/>
      <w:numFmt w:val="upperRoman"/>
      <w:lvlText w:val="%1."/>
      <w:lvlJc w:val="left"/>
      <w:rPr>
        <w:rFonts w:cs="Times New Roman"/>
        <w:sz w:val="23"/>
        <w:szCs w:val="23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47EF6100"/>
    <w:multiLevelType w:val="multilevel"/>
    <w:tmpl w:val="1638D65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2">
    <w:nsid w:val="49C55411"/>
    <w:multiLevelType w:val="multilevel"/>
    <w:tmpl w:val="A3E62C6A"/>
    <w:styleLink w:val="WWNum16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52752B1A"/>
    <w:multiLevelType w:val="multilevel"/>
    <w:tmpl w:val="792AA7FE"/>
    <w:styleLink w:val="WWNum2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53425E68"/>
    <w:multiLevelType w:val="multilevel"/>
    <w:tmpl w:val="F58824F4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57FB74E1"/>
    <w:multiLevelType w:val="multilevel"/>
    <w:tmpl w:val="34BC8AA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D8F790E"/>
    <w:multiLevelType w:val="multilevel"/>
    <w:tmpl w:val="B26A01D2"/>
    <w:styleLink w:val="WWNum6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>
    <w:nsid w:val="60C815F1"/>
    <w:multiLevelType w:val="multilevel"/>
    <w:tmpl w:val="0BD2C9E0"/>
    <w:styleLink w:val="WWNum8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8">
    <w:nsid w:val="6AD116DB"/>
    <w:multiLevelType w:val="multilevel"/>
    <w:tmpl w:val="0B1A6490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B2A00E9"/>
    <w:multiLevelType w:val="multilevel"/>
    <w:tmpl w:val="52CA76FA"/>
    <w:styleLink w:val="WWNum5"/>
    <w:lvl w:ilvl="0">
      <w:numFmt w:val="bullet"/>
      <w:lvlText w:val="–"/>
      <w:lvlJc w:val="left"/>
    </w:lvl>
    <w:lvl w:ilvl="1">
      <w:numFmt w:val="bullet"/>
      <w:lvlText w:val="–"/>
      <w:lvlJc w:val="left"/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0">
    <w:nsid w:val="77D21361"/>
    <w:multiLevelType w:val="multilevel"/>
    <w:tmpl w:val="3A92843C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7B122EE5"/>
    <w:multiLevelType w:val="multilevel"/>
    <w:tmpl w:val="9CAC095E"/>
    <w:styleLink w:val="WWNum4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1"/>
  </w:num>
  <w:num w:numId="5">
    <w:abstractNumId w:val="19"/>
  </w:num>
  <w:num w:numId="6">
    <w:abstractNumId w:val="16"/>
  </w:num>
  <w:num w:numId="7">
    <w:abstractNumId w:val="0"/>
  </w:num>
  <w:num w:numId="8">
    <w:abstractNumId w:val="17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1"/>
  </w:num>
  <w:num w:numId="14">
    <w:abstractNumId w:val="14"/>
  </w:num>
  <w:num w:numId="15">
    <w:abstractNumId w:val="20"/>
  </w:num>
  <w:num w:numId="16">
    <w:abstractNumId w:val="12"/>
  </w:num>
  <w:num w:numId="17">
    <w:abstractNumId w:val="2"/>
  </w:num>
  <w:num w:numId="18">
    <w:abstractNumId w:val="15"/>
  </w:num>
  <w:num w:numId="19">
    <w:abstractNumId w:val="18"/>
  </w:num>
  <w:num w:numId="20">
    <w:abstractNumId w:val="6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909D3"/>
    <w:rsid w:val="000153DC"/>
    <w:rsid w:val="00055337"/>
    <w:rsid w:val="001A51B3"/>
    <w:rsid w:val="00226324"/>
    <w:rsid w:val="00250737"/>
    <w:rsid w:val="002A0770"/>
    <w:rsid w:val="00336A32"/>
    <w:rsid w:val="00377317"/>
    <w:rsid w:val="005D22B7"/>
    <w:rsid w:val="00676161"/>
    <w:rsid w:val="006B7EFA"/>
    <w:rsid w:val="0070028C"/>
    <w:rsid w:val="007D1B6B"/>
    <w:rsid w:val="00842A02"/>
    <w:rsid w:val="008928DE"/>
    <w:rsid w:val="00900295"/>
    <w:rsid w:val="009C724A"/>
    <w:rsid w:val="00A17F62"/>
    <w:rsid w:val="00A91A30"/>
    <w:rsid w:val="00AB1CAD"/>
    <w:rsid w:val="00B909D3"/>
    <w:rsid w:val="00BE2152"/>
    <w:rsid w:val="00C34E33"/>
    <w:rsid w:val="00D34188"/>
    <w:rsid w:val="00DD34A6"/>
    <w:rsid w:val="00E6618D"/>
    <w:rsid w:val="00F93A1C"/>
    <w:rsid w:val="00FB2A14"/>
    <w:rsid w:val="00FC56F7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Batang" w:cs="Times New Roman"/>
        <w:kern w:val="3"/>
        <w:lang w:val="cs-CZ" w:eastAsia="cs-CZ" w:bidi="ar-SA"/>
      </w:rPr>
    </w:rPrDefault>
    <w:pPrDefault>
      <w:pPr>
        <w:widowControl w:val="false"/>
        <w:suppressAutoHyphens/>
        <w:autoSpaceDN w:val="false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2">
    <w:name w:val="heading 2"/>
    <w:basedOn w:val="Standard"/>
    <w:next w:val="Textbody"/>
    <w:pPr>
      <w:keepNext/>
      <w:spacing w:before="120" w:after="120"/>
      <w:outlineLvl w:val="1"/>
    </w:pPr>
    <w:rPr>
      <w:rFonts w:eastAsia="Times New Roman"/>
      <w:b/>
      <w:bCs w:val="false"/>
      <w:sz w:val="36"/>
      <w:szCs w:val="28"/>
      <w:lang w:eastAsia="cs-CZ"/>
    </w:rPr>
  </w:style>
  <w:style w:type="paragraph" w:styleId="Nadpis3">
    <w:name w:val="heading 3"/>
    <w:basedOn w:val="Standard"/>
    <w:next w:val="Textbody"/>
    <w:pPr>
      <w:keepNext/>
      <w:spacing w:before="240"/>
      <w:outlineLvl w:val="2"/>
    </w:pPr>
    <w:rPr>
      <w:rFonts w:eastAsia="Times New Roman" w:cs="Arial"/>
      <w:b/>
      <w:sz w:val="28"/>
      <w:szCs w:val="26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pPr>
      <w:widowControl/>
    </w:pPr>
    <w:rPr>
      <w:rFonts w:ascii="Calibri" w:hAnsi="Calibri"/>
      <w:bCs/>
      <w:szCs w:val="24"/>
      <w:lang w:eastAsia="ko-KR"/>
    </w:rPr>
  </w:style>
  <w:style w:type="paragraph" w:styleId="Heading" w:customStyle="true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 w:customStyle="true">
    <w:name w:val="Text body"/>
    <w:basedOn w:val="Standar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eastAsia="Times New Roman" w:cs="Arial"/>
      <w:bCs w:val="false"/>
      <w:szCs w:val="22"/>
      <w:lang w:val="en-US" w:eastAsia="cs-CZ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styleId="Index" w:customStyle="true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Default" w:customStyle="true">
    <w:name w:val="Default"/>
    <w:rPr>
      <w:rFonts w:ascii="Georgia" w:hAnsi="Georgia" w:eastAsia="Times New Roman" w:cs="Georgia"/>
      <w:color w:val="000000"/>
      <w:sz w:val="24"/>
      <w:szCs w:val="24"/>
    </w:rPr>
  </w:style>
  <w:style w:type="paragraph" w:styleId="Odstavecseseznamem1" w:customStyle="true">
    <w:name w:val="Odstavec se seznamem1"/>
    <w:basedOn w:val="Standard"/>
    <w:pPr>
      <w:ind w:left="720"/>
    </w:pPr>
    <w:rPr>
      <w:rFonts w:eastAsia="Times New Roman"/>
      <w:bCs w:val="false"/>
      <w:lang w:eastAsia="cs-CZ"/>
    </w:rPr>
  </w:style>
  <w:style w:type="paragraph" w:styleId="Textkomente">
    <w:name w:val="annotation text"/>
    <w:basedOn w:val="Standard"/>
    <w:rPr>
      <w:szCs w:val="20"/>
    </w:rPr>
  </w:style>
  <w:style w:type="paragraph" w:styleId="Pedmtkomente">
    <w:name w:val="annotation subject"/>
    <w:basedOn w:val="Textkomente"/>
    <w:rPr>
      <w:b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</w:pPr>
    <w:rPr>
      <w:rFonts w:eastAsia="Times New Roman"/>
      <w:bCs w:val="false"/>
      <w:lang w:eastAsia="ar-SA"/>
    </w:rPr>
  </w:style>
  <w:style w:type="paragraph" w:styleId="Ordka1" w:customStyle="true">
    <w:name w:val="Ordážka 1"/>
    <w:basedOn w:val="Standard"/>
    <w:pPr>
      <w:ind w:left="709" w:hanging="283"/>
    </w:pPr>
    <w:rPr>
      <w:rFonts w:cs="Calibri"/>
      <w:szCs w:val="22"/>
    </w:rPr>
  </w:style>
  <w:style w:type="paragraph" w:styleId="Odrkaposledn" w:customStyle="true">
    <w:name w:val="Odrážka poslední"/>
    <w:basedOn w:val="Ordka1"/>
    <w:pPr>
      <w:spacing w:after="120"/>
    </w:pPr>
  </w:style>
  <w:style w:type="paragraph" w:styleId="Bnodstavec" w:customStyle="true">
    <w:name w:val="Běžný odstavec"/>
    <w:basedOn w:val="Standard"/>
    <w:pPr>
      <w:spacing w:after="120"/>
    </w:pPr>
  </w:style>
  <w:style w:type="paragraph" w:styleId="Framecontents" w:customStyle="true">
    <w:name w:val="Frame contents"/>
    <w:basedOn w:val="Textbody"/>
  </w:style>
  <w:style w:type="character" w:styleId="Nadpis2Char" w:customStyle="true">
    <w:name w:val="Nadpis 2 Char"/>
    <w:rPr>
      <w:rFonts w:ascii="Calibri" w:hAnsi="Calibri" w:eastAsia="Times New Roman"/>
      <w:b/>
      <w:sz w:val="36"/>
      <w:szCs w:val="28"/>
    </w:rPr>
  </w:style>
  <w:style w:type="character" w:styleId="Nadpis3Char" w:customStyle="true">
    <w:name w:val="Nadpis 3 Char"/>
    <w:rPr>
      <w:rFonts w:ascii="Calibri" w:hAnsi="Calibri" w:eastAsia="Times New Roman" w:cs="Arial"/>
      <w:b/>
      <w:bCs/>
      <w:sz w:val="28"/>
      <w:szCs w:val="26"/>
    </w:rPr>
  </w:style>
  <w:style w:type="character" w:styleId="Internetlink" w:customStyle="true">
    <w:name w:val="Internet link"/>
    <w:rPr>
      <w:rFonts w:cs="Times New Roman"/>
      <w:color w:val="0000FF"/>
      <w:u w:val="single"/>
    </w:rPr>
  </w:style>
  <w:style w:type="character" w:styleId="ZkladntextChar" w:customStyle="true">
    <w:name w:val="Základní text Char"/>
    <w:rPr>
      <w:rFonts w:ascii="Arial" w:hAnsi="Arial" w:cs="Arial"/>
      <w:sz w:val="22"/>
      <w:szCs w:val="22"/>
      <w:lang w:val="en-US" w:eastAsia="cs-CZ" w:bidi="ar-SA"/>
    </w:rPr>
  </w:style>
  <w:style w:type="character" w:styleId="datalabelstring" w:customStyle="true">
    <w:name w:val="datalabel string"/>
    <w:rPr>
      <w:rFonts w:cs="Times New Roman"/>
    </w:rPr>
  </w:style>
  <w:style w:type="character" w:styleId="Odkaznakoment">
    <w:name w:val="annotation reference"/>
    <w:rPr>
      <w:sz w:val="16"/>
      <w:szCs w:val="16"/>
    </w:rPr>
  </w:style>
  <w:style w:type="character" w:styleId="slostrnky">
    <w:name w:val="page number"/>
    <w:basedOn w:val="Standardnpsmoodstavce"/>
  </w:style>
  <w:style w:type="character" w:styleId="datalabel" w:customStyle="true">
    <w:name w:val="datalabel"/>
  </w:style>
  <w:style w:type="character" w:styleId="esf-dictionary-word" w:customStyle="true">
    <w:name w:val="esf-dictionary-word"/>
  </w:style>
  <w:style w:type="character" w:styleId="Ordka1Char" w:customStyle="true">
    <w:name w:val="Ordážka 1 Char"/>
    <w:basedOn w:val="Standardnpsmoodstavce"/>
    <w:rPr>
      <w:rFonts w:ascii="Calibri" w:hAnsi="Calibri" w:cs="Calibri"/>
      <w:bCs/>
      <w:sz w:val="22"/>
      <w:szCs w:val="22"/>
      <w:lang w:eastAsia="ko-KR"/>
    </w:rPr>
  </w:style>
  <w:style w:type="character" w:styleId="OdrkaposlednChar" w:customStyle="true">
    <w:name w:val="Odrážka poslední Char"/>
    <w:basedOn w:val="Ordka1Char"/>
    <w:rPr>
      <w:rFonts w:ascii="Calibri" w:hAnsi="Calibri" w:cs="Calibri"/>
      <w:bCs/>
      <w:sz w:val="22"/>
      <w:szCs w:val="22"/>
      <w:lang w:eastAsia="ko-KR"/>
    </w:rPr>
  </w:style>
  <w:style w:type="character" w:styleId="BnodstavecChar" w:customStyle="true">
    <w:name w:val="Běžný odstavec Char"/>
    <w:basedOn w:val="Standardnpsmoodstavce"/>
    <w:rPr>
      <w:rFonts w:ascii="Calibri" w:hAnsi="Calibri"/>
      <w:bCs/>
      <w:sz w:val="22"/>
      <w:szCs w:val="24"/>
      <w:lang w:eastAsia="ko-KR"/>
    </w:rPr>
  </w:style>
  <w:style w:type="character" w:styleId="ListLabel1" w:customStyle="true">
    <w:name w:val="ListLabel 1"/>
    <w:rPr>
      <w:color w:val="00000A"/>
    </w:rPr>
  </w:style>
  <w:style w:type="character" w:styleId="ListLabel2" w:customStyle="true">
    <w:name w:val="ListLabel 2"/>
    <w:rPr>
      <w:rFonts w:cs="Times New Roman"/>
    </w:rPr>
  </w:style>
  <w:style w:type="character" w:styleId="ListLabel3" w:customStyle="true">
    <w:name w:val="ListLabel 3"/>
    <w:rPr>
      <w:rFonts w:eastAsia="Times New Roman"/>
    </w:rPr>
  </w:style>
  <w:style w:type="character" w:styleId="ListLabel4" w:customStyle="true">
    <w:name w:val="ListLabel 4"/>
    <w:rPr>
      <w:rFonts w:cs="Times New Roman"/>
      <w:sz w:val="23"/>
      <w:szCs w:val="23"/>
    </w:rPr>
  </w:style>
  <w:style w:type="character" w:styleId="ListLabel5" w:customStyle="true">
    <w:name w:val="ListLabel 5"/>
    <w:rPr>
      <w:b/>
      <w:i/>
    </w:rPr>
  </w:style>
  <w:style w:type="numbering" w:styleId="WWNum1" w:customStyle="true">
    <w:name w:val="WWNum1"/>
    <w:basedOn w:val="Bezseznamu"/>
    <w:pPr>
      <w:numPr>
        <w:numId w:val="1"/>
      </w:numPr>
    </w:pPr>
  </w:style>
  <w:style w:type="numbering" w:styleId="WWNum2" w:customStyle="true">
    <w:name w:val="WWNum2"/>
    <w:basedOn w:val="Bezseznamu"/>
    <w:pPr>
      <w:numPr>
        <w:numId w:val="2"/>
      </w:numPr>
    </w:pPr>
  </w:style>
  <w:style w:type="numbering" w:styleId="WWNum3" w:customStyle="true">
    <w:name w:val="WWNum3"/>
    <w:basedOn w:val="Bezseznamu"/>
    <w:pPr>
      <w:numPr>
        <w:numId w:val="3"/>
      </w:numPr>
    </w:pPr>
  </w:style>
  <w:style w:type="numbering" w:styleId="WWNum4" w:customStyle="true">
    <w:name w:val="WWNum4"/>
    <w:basedOn w:val="Bezseznamu"/>
    <w:pPr>
      <w:numPr>
        <w:numId w:val="4"/>
      </w:numPr>
    </w:pPr>
  </w:style>
  <w:style w:type="numbering" w:styleId="WWNum5" w:customStyle="true">
    <w:name w:val="WWNum5"/>
    <w:basedOn w:val="Bezseznamu"/>
    <w:pPr>
      <w:numPr>
        <w:numId w:val="5"/>
      </w:numPr>
    </w:pPr>
  </w:style>
  <w:style w:type="numbering" w:styleId="WWNum6" w:customStyle="true">
    <w:name w:val="WWNum6"/>
    <w:basedOn w:val="Bezseznamu"/>
    <w:pPr>
      <w:numPr>
        <w:numId w:val="6"/>
      </w:numPr>
    </w:pPr>
  </w:style>
  <w:style w:type="numbering" w:styleId="WWNum7" w:customStyle="true">
    <w:name w:val="WWNum7"/>
    <w:basedOn w:val="Bezseznamu"/>
    <w:pPr>
      <w:numPr>
        <w:numId w:val="7"/>
      </w:numPr>
    </w:pPr>
  </w:style>
  <w:style w:type="numbering" w:styleId="WWNum8" w:customStyle="true">
    <w:name w:val="WWNum8"/>
    <w:basedOn w:val="Bezseznamu"/>
    <w:pPr>
      <w:numPr>
        <w:numId w:val="8"/>
      </w:numPr>
    </w:pPr>
  </w:style>
  <w:style w:type="numbering" w:styleId="WWNum9" w:customStyle="true">
    <w:name w:val="WWNum9"/>
    <w:basedOn w:val="Bezseznamu"/>
    <w:pPr>
      <w:numPr>
        <w:numId w:val="9"/>
      </w:numPr>
    </w:pPr>
  </w:style>
  <w:style w:type="numbering" w:styleId="WWNum10" w:customStyle="true">
    <w:name w:val="WWNum10"/>
    <w:basedOn w:val="Bezseznamu"/>
    <w:pPr>
      <w:numPr>
        <w:numId w:val="10"/>
      </w:numPr>
    </w:pPr>
  </w:style>
  <w:style w:type="numbering" w:styleId="WWNum11" w:customStyle="true">
    <w:name w:val="WWNum11"/>
    <w:basedOn w:val="Bezseznamu"/>
    <w:pPr>
      <w:numPr>
        <w:numId w:val="11"/>
      </w:numPr>
    </w:pPr>
  </w:style>
  <w:style w:type="numbering" w:styleId="WWNum12" w:customStyle="true">
    <w:name w:val="WWNum12"/>
    <w:basedOn w:val="Bezseznamu"/>
    <w:pPr>
      <w:numPr>
        <w:numId w:val="12"/>
      </w:numPr>
    </w:pPr>
  </w:style>
  <w:style w:type="numbering" w:styleId="WWNum13" w:customStyle="true">
    <w:name w:val="WWNum13"/>
    <w:basedOn w:val="Bezseznamu"/>
    <w:pPr>
      <w:numPr>
        <w:numId w:val="13"/>
      </w:numPr>
    </w:pPr>
  </w:style>
  <w:style w:type="numbering" w:styleId="WWNum14" w:customStyle="true">
    <w:name w:val="WWNum14"/>
    <w:basedOn w:val="Bezseznamu"/>
    <w:pPr>
      <w:numPr>
        <w:numId w:val="14"/>
      </w:numPr>
    </w:pPr>
  </w:style>
  <w:style w:type="numbering" w:styleId="WWNum15" w:customStyle="true">
    <w:name w:val="WWNum15"/>
    <w:basedOn w:val="Bezseznamu"/>
    <w:pPr>
      <w:numPr>
        <w:numId w:val="15"/>
      </w:numPr>
    </w:pPr>
  </w:style>
  <w:style w:type="numbering" w:styleId="WWNum16" w:customStyle="true">
    <w:name w:val="WWNum16"/>
    <w:basedOn w:val="Bezseznamu"/>
    <w:pPr>
      <w:numPr>
        <w:numId w:val="16"/>
      </w:numPr>
    </w:pPr>
  </w:style>
  <w:style w:type="numbering" w:styleId="WWNum17" w:customStyle="true">
    <w:name w:val="WWNum17"/>
    <w:basedOn w:val="Bezseznamu"/>
    <w:pPr>
      <w:numPr>
        <w:numId w:val="17"/>
      </w:numPr>
    </w:pPr>
  </w:style>
  <w:style w:type="numbering" w:styleId="WWNum18" w:customStyle="true">
    <w:name w:val="WWNum18"/>
    <w:basedOn w:val="Bezseznamu"/>
    <w:pPr>
      <w:numPr>
        <w:numId w:val="18"/>
      </w:numPr>
    </w:pPr>
  </w:style>
  <w:style w:type="numbering" w:styleId="WWNum19" w:customStyle="true">
    <w:name w:val="WWNum19"/>
    <w:basedOn w:val="Bezseznamu"/>
    <w:pPr>
      <w:numPr>
        <w:numId w:val="19"/>
      </w:numPr>
    </w:pPr>
  </w:style>
  <w:style w:type="numbering" w:styleId="WWNum20" w:customStyle="true">
    <w:name w:val="WWNum20"/>
    <w:basedOn w:val="Bezseznamu"/>
    <w:pPr>
      <w:numPr>
        <w:numId w:val="20"/>
      </w:numPr>
    </w:pPr>
  </w:style>
  <w:style w:type="numbering" w:styleId="WWNum21" w:customStyle="true">
    <w:name w:val="WWNum21"/>
    <w:basedOn w:val="Bezseznamu"/>
    <w:pPr>
      <w:numPr>
        <w:numId w:val="21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842A02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Batang" w:hAnsi="Times New Roman"/>
        <w:kern w:val="3"/>
        <w:lang w:bidi="ar-SA" w:eastAsia="cs-CZ"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2" w:type="paragraph">
    <w:name w:val="heading 2"/>
    <w:basedOn w:val="Standard"/>
    <w:next w:val="Textbody"/>
    <w:pPr>
      <w:keepNext/>
      <w:spacing w:after="120" w:before="120"/>
      <w:outlineLvl w:val="1"/>
    </w:pPr>
    <w:rPr>
      <w:rFonts w:eastAsia="Times New Roman"/>
      <w:b/>
      <w:bCs w:val="0"/>
      <w:sz w:val="36"/>
      <w:szCs w:val="28"/>
      <w:lang w:eastAsia="cs-CZ"/>
    </w:rPr>
  </w:style>
  <w:style w:styleId="Nadpis3" w:type="paragraph">
    <w:name w:val="heading 3"/>
    <w:basedOn w:val="Standard"/>
    <w:next w:val="Textbody"/>
    <w:pPr>
      <w:keepNext/>
      <w:spacing w:before="240"/>
      <w:outlineLvl w:val="2"/>
    </w:pPr>
    <w:rPr>
      <w:rFonts w:cs="Arial" w:eastAsia="Times New Roman"/>
      <w:b/>
      <w:sz w:val="28"/>
      <w:szCs w:val="26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Standard" w:type="paragraph">
    <w:name w:val="Standard"/>
    <w:pPr>
      <w:widowControl/>
    </w:pPr>
    <w:rPr>
      <w:rFonts w:ascii="Calibri" w:hAnsi="Calibri"/>
      <w:bCs/>
      <w:szCs w:val="24"/>
      <w:lang w:eastAsia="ko-KR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cs="Arial" w:eastAsia="Microsoft YaHei" w:hAnsi="Arial"/>
      <w:sz w:val="28"/>
      <w:szCs w:val="28"/>
    </w:rPr>
  </w:style>
  <w:style w:customStyle="1" w:styleId="Textbody" w:type="paragraph">
    <w:name w:val="Text body"/>
    <w:basedOn w:val="Standard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eastAsia="Times New Roman" w:hAnsi="Arial"/>
      <w:bCs w:val="0"/>
      <w:szCs w:val="22"/>
      <w:lang w:eastAsia="cs-CZ" w:val="en-US"/>
    </w:rPr>
  </w:style>
  <w:style w:styleId="Seznam" w:type="paragraph">
    <w:name w:val="List"/>
    <w:basedOn w:val="Textbody"/>
  </w:style>
  <w:style w:styleId="Titulek" w:type="paragraph">
    <w:name w:val="caption"/>
    <w:basedOn w:val="Standard"/>
    <w:pPr>
      <w:suppressLineNumbers/>
      <w:spacing w:after="120" w:before="120"/>
    </w:pPr>
    <w:rPr>
      <w:rFonts w:cs="Arial"/>
      <w:i/>
      <w:iCs/>
      <w:sz w:val="24"/>
    </w:rPr>
  </w:style>
  <w:style w:customStyle="1" w:styleId="Index" w:type="paragraph">
    <w:name w:val="Index"/>
    <w:basedOn w:val="Standard"/>
    <w:pPr>
      <w:suppressLineNumbers/>
    </w:pPr>
    <w:rPr>
      <w:rFonts w:cs="Arial"/>
    </w:rPr>
  </w:style>
  <w:style w:styleId="Zhlav" w:type="paragraph">
    <w:name w:val="header"/>
    <w:basedOn w:val="Standard"/>
    <w:pPr>
      <w:suppressLineNumbers/>
      <w:tabs>
        <w:tab w:pos="4536" w:val="center"/>
        <w:tab w:pos="9072" w:val="right"/>
      </w:tabs>
    </w:pPr>
  </w:style>
  <w:style w:styleId="Zpat" w:type="paragraph">
    <w:name w:val="footer"/>
    <w:basedOn w:val="Standard"/>
    <w:pPr>
      <w:suppressLineNumbers/>
      <w:tabs>
        <w:tab w:pos="4536" w:val="center"/>
        <w:tab w:pos="9072" w:val="right"/>
      </w:tabs>
    </w:pPr>
  </w:style>
  <w:style w:customStyle="1" w:styleId="Default" w:type="paragraph">
    <w:name w:val="Default"/>
    <w:rPr>
      <w:rFonts w:ascii="Georgia" w:cs="Georgia" w:eastAsia="Times New Roman" w:hAnsi="Georgia"/>
      <w:color w:val="000000"/>
      <w:sz w:val="24"/>
      <w:szCs w:val="24"/>
    </w:rPr>
  </w:style>
  <w:style w:customStyle="1" w:styleId="Odstavecseseznamem1" w:type="paragraph">
    <w:name w:val="Odstavec se seznamem1"/>
    <w:basedOn w:val="Standard"/>
    <w:pPr>
      <w:ind w:left="720"/>
    </w:pPr>
    <w:rPr>
      <w:rFonts w:eastAsia="Times New Roman"/>
      <w:bCs w:val="0"/>
      <w:lang w:eastAsia="cs-CZ"/>
    </w:rPr>
  </w:style>
  <w:style w:styleId="Textkomente" w:type="paragraph">
    <w:name w:val="annotation text"/>
    <w:basedOn w:val="Standard"/>
    <w:rPr>
      <w:szCs w:val="20"/>
    </w:rPr>
  </w:style>
  <w:style w:styleId="Pedmtkomente" w:type="paragraph">
    <w:name w:val="annotation subject"/>
    <w:basedOn w:val="Textkomente"/>
    <w:rPr>
      <w:b/>
    </w:rPr>
  </w:style>
  <w:style w:styleId="Textbubliny" w:type="paragraph">
    <w:name w:val="Balloon Text"/>
    <w:basedOn w:val="Standard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Standard"/>
    <w:pPr>
      <w:ind w:left="720"/>
    </w:pPr>
    <w:rPr>
      <w:rFonts w:eastAsia="Times New Roman"/>
      <w:bCs w:val="0"/>
      <w:lang w:eastAsia="ar-SA"/>
    </w:rPr>
  </w:style>
  <w:style w:customStyle="1" w:styleId="Ordka1" w:type="paragraph">
    <w:name w:val="Ordážka 1"/>
    <w:basedOn w:val="Standard"/>
    <w:pPr>
      <w:ind w:hanging="283" w:left="709"/>
    </w:pPr>
    <w:rPr>
      <w:rFonts w:cs="Calibri"/>
      <w:szCs w:val="22"/>
    </w:rPr>
  </w:style>
  <w:style w:customStyle="1" w:styleId="Odrkaposledn" w:type="paragraph">
    <w:name w:val="Odrážka poslední"/>
    <w:basedOn w:val="Ordka1"/>
    <w:pPr>
      <w:spacing w:after="120"/>
    </w:pPr>
  </w:style>
  <w:style w:customStyle="1" w:styleId="Bnodstavec" w:type="paragraph">
    <w:name w:val="Běžný odstavec"/>
    <w:basedOn w:val="Standard"/>
    <w:pPr>
      <w:spacing w:after="120"/>
    </w:pPr>
  </w:style>
  <w:style w:customStyle="1" w:styleId="Framecontents" w:type="paragraph">
    <w:name w:val="Frame contents"/>
    <w:basedOn w:val="Textbody"/>
  </w:style>
  <w:style w:customStyle="1" w:styleId="Nadpis2Char" w:type="character">
    <w:name w:val="Nadpis 2 Char"/>
    <w:rPr>
      <w:rFonts w:ascii="Calibri" w:eastAsia="Times New Roman" w:hAnsi="Calibri"/>
      <w:b/>
      <w:sz w:val="36"/>
      <w:szCs w:val="28"/>
    </w:rPr>
  </w:style>
  <w:style w:customStyle="1" w:styleId="Nadpis3Char" w:type="character">
    <w:name w:val="Nadpis 3 Char"/>
    <w:rPr>
      <w:rFonts w:ascii="Calibri" w:cs="Arial" w:eastAsia="Times New Roman" w:hAnsi="Calibri"/>
      <w:b/>
      <w:bCs/>
      <w:sz w:val="28"/>
      <w:szCs w:val="26"/>
    </w:rPr>
  </w:style>
  <w:style w:customStyle="1" w:styleId="Internetlink" w:type="character">
    <w:name w:val="Internet link"/>
    <w:rPr>
      <w:rFonts w:cs="Times New Roman"/>
      <w:color w:val="0000FF"/>
      <w:u w:val="single"/>
    </w:rPr>
  </w:style>
  <w:style w:customStyle="1" w:styleId="ZkladntextChar" w:type="character">
    <w:name w:val="Základní text Char"/>
    <w:rPr>
      <w:rFonts w:ascii="Arial" w:cs="Arial" w:hAnsi="Arial"/>
      <w:sz w:val="22"/>
      <w:szCs w:val="22"/>
      <w:lang w:bidi="ar-SA" w:eastAsia="cs-CZ" w:val="en-US"/>
    </w:rPr>
  </w:style>
  <w:style w:customStyle="1" w:styleId="datalabelstring" w:type="character">
    <w:name w:val="datalabel string"/>
    <w:rPr>
      <w:rFonts w:cs="Times New Roman"/>
    </w:rPr>
  </w:style>
  <w:style w:styleId="Odkaznakoment" w:type="character">
    <w:name w:val="annotation reference"/>
    <w:rPr>
      <w:sz w:val="16"/>
      <w:szCs w:val="16"/>
    </w:rPr>
  </w:style>
  <w:style w:styleId="slostrnky" w:type="character">
    <w:name w:val="page number"/>
    <w:basedOn w:val="Standardnpsmoodstavce"/>
  </w:style>
  <w:style w:customStyle="1" w:styleId="datalabel" w:type="character">
    <w:name w:val="datalabel"/>
  </w:style>
  <w:style w:customStyle="1" w:styleId="esf-dictionary-word" w:type="character">
    <w:name w:val="esf-dictionary-word"/>
  </w:style>
  <w:style w:customStyle="1" w:styleId="Ordka1Char" w:type="character">
    <w:name w:val="Ordážka 1 Char"/>
    <w:basedOn w:val="Standardnpsmoodstavce"/>
    <w:rPr>
      <w:rFonts w:ascii="Calibri" w:cs="Calibri" w:hAnsi="Calibri"/>
      <w:bCs/>
      <w:sz w:val="22"/>
      <w:szCs w:val="22"/>
      <w:lang w:eastAsia="ko-KR"/>
    </w:rPr>
  </w:style>
  <w:style w:customStyle="1" w:styleId="OdrkaposlednChar" w:type="character">
    <w:name w:val="Odrážka poslední Char"/>
    <w:basedOn w:val="Ordka1Char"/>
    <w:rPr>
      <w:rFonts w:ascii="Calibri" w:cs="Calibri" w:hAnsi="Calibri"/>
      <w:bCs/>
      <w:sz w:val="22"/>
      <w:szCs w:val="22"/>
      <w:lang w:eastAsia="ko-KR"/>
    </w:rPr>
  </w:style>
  <w:style w:customStyle="1" w:styleId="BnodstavecChar" w:type="character">
    <w:name w:val="Běžný odstavec Char"/>
    <w:basedOn w:val="Standardnpsmoodstavce"/>
    <w:rPr>
      <w:rFonts w:ascii="Calibri" w:hAnsi="Calibri"/>
      <w:bCs/>
      <w:sz w:val="22"/>
      <w:szCs w:val="24"/>
      <w:lang w:eastAsia="ko-KR"/>
    </w:rPr>
  </w:style>
  <w:style w:customStyle="1" w:styleId="ListLabel1" w:type="character">
    <w:name w:val="ListLabel 1"/>
    <w:rPr>
      <w:color w:val="00000A"/>
    </w:rPr>
  </w:style>
  <w:style w:customStyle="1" w:styleId="ListLabel2" w:type="character">
    <w:name w:val="ListLabel 2"/>
    <w:rPr>
      <w:rFonts w:cs="Times New Roman"/>
    </w:rPr>
  </w:style>
  <w:style w:customStyle="1" w:styleId="ListLabel3" w:type="character">
    <w:name w:val="ListLabel 3"/>
    <w:rPr>
      <w:rFonts w:eastAsia="Times New Roman"/>
    </w:rPr>
  </w:style>
  <w:style w:customStyle="1" w:styleId="ListLabel4" w:type="character">
    <w:name w:val="ListLabel 4"/>
    <w:rPr>
      <w:rFonts w:cs="Times New Roman"/>
      <w:sz w:val="23"/>
      <w:szCs w:val="23"/>
    </w:rPr>
  </w:style>
  <w:style w:customStyle="1" w:styleId="ListLabel5" w:type="character">
    <w:name w:val="ListLabel 5"/>
    <w:rPr>
      <w:b/>
      <w:i/>
    </w:rPr>
  </w:style>
  <w:style w:customStyle="1" w:styleId="WWNum1" w:type="numbering">
    <w:name w:val="WWNum1"/>
    <w:basedOn w:val="Bezseznamu"/>
    <w:pPr>
      <w:numPr>
        <w:numId w:val="1"/>
      </w:numPr>
    </w:pPr>
  </w:style>
  <w:style w:customStyle="1" w:styleId="WWNum2" w:type="numbering">
    <w:name w:val="WWNum2"/>
    <w:basedOn w:val="Bezseznamu"/>
    <w:pPr>
      <w:numPr>
        <w:numId w:val="2"/>
      </w:numPr>
    </w:pPr>
  </w:style>
  <w:style w:customStyle="1" w:styleId="WWNum3" w:type="numbering">
    <w:name w:val="WWNum3"/>
    <w:basedOn w:val="Bezseznamu"/>
    <w:pPr>
      <w:numPr>
        <w:numId w:val="3"/>
      </w:numPr>
    </w:pPr>
  </w:style>
  <w:style w:customStyle="1" w:styleId="WWNum4" w:type="numbering">
    <w:name w:val="WWNum4"/>
    <w:basedOn w:val="Bezseznamu"/>
    <w:pPr>
      <w:numPr>
        <w:numId w:val="4"/>
      </w:numPr>
    </w:pPr>
  </w:style>
  <w:style w:customStyle="1" w:styleId="WWNum5" w:type="numbering">
    <w:name w:val="WWNum5"/>
    <w:basedOn w:val="Bezseznamu"/>
    <w:pPr>
      <w:numPr>
        <w:numId w:val="5"/>
      </w:numPr>
    </w:pPr>
  </w:style>
  <w:style w:customStyle="1" w:styleId="WWNum6" w:type="numbering">
    <w:name w:val="WWNum6"/>
    <w:basedOn w:val="Bezseznamu"/>
    <w:pPr>
      <w:numPr>
        <w:numId w:val="6"/>
      </w:numPr>
    </w:pPr>
  </w:style>
  <w:style w:customStyle="1" w:styleId="WWNum7" w:type="numbering">
    <w:name w:val="WWNum7"/>
    <w:basedOn w:val="Bezseznamu"/>
    <w:pPr>
      <w:numPr>
        <w:numId w:val="7"/>
      </w:numPr>
    </w:pPr>
  </w:style>
  <w:style w:customStyle="1" w:styleId="WWNum8" w:type="numbering">
    <w:name w:val="WWNum8"/>
    <w:basedOn w:val="Bezseznamu"/>
    <w:pPr>
      <w:numPr>
        <w:numId w:val="8"/>
      </w:numPr>
    </w:pPr>
  </w:style>
  <w:style w:customStyle="1" w:styleId="WWNum9" w:type="numbering">
    <w:name w:val="WWNum9"/>
    <w:basedOn w:val="Bezseznamu"/>
    <w:pPr>
      <w:numPr>
        <w:numId w:val="9"/>
      </w:numPr>
    </w:pPr>
  </w:style>
  <w:style w:customStyle="1" w:styleId="WWNum10" w:type="numbering">
    <w:name w:val="WWNum10"/>
    <w:basedOn w:val="Bezseznamu"/>
    <w:pPr>
      <w:numPr>
        <w:numId w:val="10"/>
      </w:numPr>
    </w:pPr>
  </w:style>
  <w:style w:customStyle="1" w:styleId="WWNum11" w:type="numbering">
    <w:name w:val="WWNum11"/>
    <w:basedOn w:val="Bezseznamu"/>
    <w:pPr>
      <w:numPr>
        <w:numId w:val="11"/>
      </w:numPr>
    </w:pPr>
  </w:style>
  <w:style w:customStyle="1" w:styleId="WWNum12" w:type="numbering">
    <w:name w:val="WWNum12"/>
    <w:basedOn w:val="Bezseznamu"/>
    <w:pPr>
      <w:numPr>
        <w:numId w:val="12"/>
      </w:numPr>
    </w:pPr>
  </w:style>
  <w:style w:customStyle="1" w:styleId="WWNum13" w:type="numbering">
    <w:name w:val="WWNum13"/>
    <w:basedOn w:val="Bezseznamu"/>
    <w:pPr>
      <w:numPr>
        <w:numId w:val="13"/>
      </w:numPr>
    </w:pPr>
  </w:style>
  <w:style w:customStyle="1" w:styleId="WWNum14" w:type="numbering">
    <w:name w:val="WWNum14"/>
    <w:basedOn w:val="Bezseznamu"/>
    <w:pPr>
      <w:numPr>
        <w:numId w:val="14"/>
      </w:numPr>
    </w:pPr>
  </w:style>
  <w:style w:customStyle="1" w:styleId="WWNum15" w:type="numbering">
    <w:name w:val="WWNum15"/>
    <w:basedOn w:val="Bezseznamu"/>
    <w:pPr>
      <w:numPr>
        <w:numId w:val="15"/>
      </w:numPr>
    </w:pPr>
  </w:style>
  <w:style w:customStyle="1" w:styleId="WWNum16" w:type="numbering">
    <w:name w:val="WWNum16"/>
    <w:basedOn w:val="Bezseznamu"/>
    <w:pPr>
      <w:numPr>
        <w:numId w:val="16"/>
      </w:numPr>
    </w:pPr>
  </w:style>
  <w:style w:customStyle="1" w:styleId="WWNum17" w:type="numbering">
    <w:name w:val="WWNum17"/>
    <w:basedOn w:val="Bezseznamu"/>
    <w:pPr>
      <w:numPr>
        <w:numId w:val="17"/>
      </w:numPr>
    </w:pPr>
  </w:style>
  <w:style w:customStyle="1" w:styleId="WWNum18" w:type="numbering">
    <w:name w:val="WWNum18"/>
    <w:basedOn w:val="Bezseznamu"/>
    <w:pPr>
      <w:numPr>
        <w:numId w:val="18"/>
      </w:numPr>
    </w:pPr>
  </w:style>
  <w:style w:customStyle="1" w:styleId="WWNum19" w:type="numbering">
    <w:name w:val="WWNum19"/>
    <w:basedOn w:val="Bezseznamu"/>
    <w:pPr>
      <w:numPr>
        <w:numId w:val="19"/>
      </w:numPr>
    </w:pPr>
  </w:style>
  <w:style w:customStyle="1" w:styleId="WWNum20" w:type="numbering">
    <w:name w:val="WWNum20"/>
    <w:basedOn w:val="Bezseznamu"/>
    <w:pPr>
      <w:numPr>
        <w:numId w:val="20"/>
      </w:numPr>
    </w:pPr>
  </w:style>
  <w:style w:customStyle="1" w:styleId="WWNum21" w:type="numbering">
    <w:name w:val="WWNum21"/>
    <w:basedOn w:val="Bezseznamu"/>
    <w:pPr>
      <w:numPr>
        <w:numId w:val="21"/>
      </w:numPr>
    </w:pPr>
  </w:style>
  <w:style w:styleId="Hypertextovodkaz" w:type="character">
    <w:name w:val="Hyperlink"/>
    <w:basedOn w:val="Standardnpsmoodstavce"/>
    <w:uiPriority w:val="99"/>
    <w:semiHidden/>
    <w:unhideWhenUsed/>
    <w:rsid w:val="00842A02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1704</properties:Words>
  <properties:Characters>10059</properties:Characters>
  <properties:Lines>83</properties:Lines>
  <properties:Paragraphs>23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11740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2020-02-03T08:30:00Z</dcterms:created>
  <dc:creator/>
  <cp:lastModifiedBy/>
  <dcterms:modified xmlns:xsi="http://www.w3.org/2001/XMLSchema-instance" xsi:type="dcterms:W3CDTF">2020-02-12T08:09:00Z</dcterms:modified>
  <cp:revision>3</cp:revision>
  <dc:title>Zadávací dokumentace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r8>0.0</vt:r8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</prop:Properties>
</file>