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7A59F7">
            <w:pPr>
              <w:pStyle w:val="Tabulkatext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Kurz kybernetické bezpečnosti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469B1" w:rsidR="005C6C32" w:rsidP="00D92737" w:rsidRDefault="005469B1">
            <w:pPr>
              <w:pStyle w:val="Tabulkatext"/>
              <w:rPr>
                <w:b/>
                <w:bCs/>
              </w:rPr>
            </w:pPr>
            <w:r w:rsidRPr="005469B1">
              <w:rPr>
                <w:rFonts w:ascii="Arial" w:hAnsi="Arial" w:cs="Arial"/>
                <w:b/>
                <w:bCs/>
              </w:rPr>
              <w:t>Služba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469B1">
            <w:pPr>
              <w:pStyle w:val="Tabulkatext"/>
              <w:rPr>
                <w:b/>
              </w:rPr>
            </w:pPr>
            <w:r>
              <w:rPr>
                <w:b/>
              </w:rPr>
              <w:t>16</w:t>
            </w:r>
            <w:r w:rsidR="007A59F7">
              <w:rPr>
                <w:b/>
              </w:rPr>
              <w:t>.4.2020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5469B1">
            <w:pPr>
              <w:pStyle w:val="Tabulkatext"/>
            </w:pPr>
            <w:r>
              <w:rPr>
                <w:rFonts w:ascii="Arial" w:hAnsi="Arial" w:cs="Arial"/>
                <w:b/>
                <w:bCs/>
              </w:rPr>
              <w:t>CZ.03.1.52/0.0/0.0/15_021/0000053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469B1">
            <w:pPr>
              <w:pStyle w:val="Tabulkatext"/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Podpora odborného vzdělávání zaměstnanců II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>eABM s.r.o.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>Kaprova 42/14, 110 00 Praha 1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 xml:space="preserve">Tomáš Musil, 777 027 505, </w:t>
            </w:r>
            <w:hyperlink w:history="true" r:id="rId8">
              <w:r w:rsidRPr="00A33715">
                <w:rPr>
                  <w:rStyle w:val="Hypertextovodkaz"/>
                </w:rPr>
                <w:t>musil.tomas@eabm.cz</w:t>
              </w:r>
            </w:hyperlink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>24276944 / CZ24276944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 xml:space="preserve">Tomáš Musil, 777 027 505, </w:t>
            </w:r>
            <w:hyperlink w:history="true" r:id="rId9">
              <w:r w:rsidRPr="00A33715">
                <w:rPr>
                  <w:rStyle w:val="Hypertextovodkaz"/>
                </w:rPr>
                <w:t>musil.tomas@eabm.cz</w:t>
              </w:r>
            </w:hyperlink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44198" w:rsidR="00F44198" w:rsidP="00F44198" w:rsidRDefault="005469B1">
            <w:pPr>
              <w:pStyle w:val="Tabulkatext"/>
              <w:rPr>
                <w:b/>
                <w:bCs/>
                <w:i/>
              </w:rPr>
            </w:pPr>
            <w:r w:rsidRPr="005469B1">
              <w:rPr>
                <w:b/>
                <w:bCs/>
                <w:i/>
              </w:rPr>
              <w:t>1</w:t>
            </w:r>
            <w:r w:rsidRPr="005469B1" w:rsidR="00B01D7E">
              <w:rPr>
                <w:b/>
                <w:bCs/>
                <w:i/>
              </w:rPr>
              <w:t>.</w:t>
            </w:r>
            <w:r w:rsidRPr="005469B1">
              <w:rPr>
                <w:b/>
                <w:bCs/>
                <w:i/>
              </w:rPr>
              <w:t>5</w:t>
            </w:r>
            <w:r w:rsidRPr="005469B1" w:rsidR="00B01D7E">
              <w:rPr>
                <w:b/>
                <w:bCs/>
                <w:i/>
              </w:rPr>
              <w:t>.2020</w:t>
            </w:r>
            <w:r w:rsidRPr="005469B1" w:rsidR="005C6C32">
              <w:rPr>
                <w:b/>
                <w:bCs/>
                <w:i/>
              </w:rPr>
              <w:t xml:space="preserve"> </w:t>
            </w:r>
            <w:r w:rsidR="00F44198">
              <w:rPr>
                <w:b/>
                <w:bCs/>
                <w:i/>
              </w:rPr>
              <w:t>12.00 hodin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>eABM s.r.o., U staré pošty 45, 738 01 Frýdek-Místek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C04865" w:rsidP="00D92737" w:rsidRDefault="00C04865">
            <w:pPr>
              <w:pStyle w:val="Tabulkatext"/>
              <w:rPr>
                <w:i/>
              </w:rPr>
            </w:pPr>
            <w:r>
              <w:rPr>
                <w:i/>
              </w:rPr>
              <w:t>Předmětem zakázky je odborné školení zaměstnanců v oblasti kybernetické bezpečnosti sestávající se ze tří bloků:</w:t>
            </w:r>
          </w:p>
          <w:p w:rsidR="00C04865" w:rsidP="00C04865" w:rsidRDefault="00C04865">
            <w:pPr>
              <w:pStyle w:val="Tabulkatext"/>
              <w:rPr>
                <w:i/>
              </w:rPr>
            </w:pPr>
          </w:p>
          <w:p w:rsidRPr="00C04865" w:rsidR="00C04865" w:rsidP="00C04865" w:rsidRDefault="00C04865">
            <w:pPr>
              <w:pStyle w:val="Tabulkatext"/>
              <w:rPr>
                <w:b/>
                <w:bCs/>
                <w:i/>
              </w:rPr>
            </w:pPr>
            <w:r w:rsidRPr="00C04865">
              <w:rPr>
                <w:b/>
                <w:bCs/>
                <w:i/>
              </w:rPr>
              <w:t>Obsah bloku Windows Server v rozsahu 32 hodin</w:t>
            </w:r>
            <w:r w:rsidRPr="00C04865">
              <w:rPr>
                <w:b/>
                <w:bCs/>
                <w:i/>
              </w:rPr>
              <w:br/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Přehled služeb AD DS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Koncept řadičů domény DC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Instalace řadičů domény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Správa uživatelských účtů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Správa uživatelských skupin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Správa počítačových objektů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Využití skriptování Windows PowerShell ke správě objektů v AD DS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Správa organizačních jednotek OU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Přehled pokročilejších AD DS scénářů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Rozjíždění distribuovaného AD DS prostředí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Správa vztahů důvěry (trust)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Přehled AD replikace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Konfigurace AD sítí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lastRenderedPageBreak/>
              <w:t>Správa a sledování replikace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Úvod do Group Policy (zásad skupiny)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Vytváření a správa objektů zásad skupiny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Rozsahy a aplikace GPO objektů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Řešení potíží s aplikací GPO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Správa šablon pro správu (administrative templates)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Nastavení přesměrovaných složek, instalace software a skriptů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Využití součásti Group Policy Preferences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Zabezpečení řadičů domény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Využití bezpečných účtů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Nastavení řízených servisních účtů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Instalace certikačních autorit AD CS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Správa AD CS CA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Řešení potíží a údržba CA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Nasazení a správa šablon certifikátů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Řízení distribuce certifikátů, zneplatnění a obnovy klíčů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Použití certifikátů v podnikovém prostředí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Nasazení přihlašování pomocí čipových karet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Přehled a možnosti AD FS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AD FS požadavky a plánování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Nasazení a správa AD FS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Přehled schopností Web Application Proxy (WAP)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Přehled technologie AD RMS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Nasazení a řízení AD RMS prostředí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Nastavení AD RMS chráněného obsahu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Plánování a příprava k Azure AD synchronizaci s AD DS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Nasazení synchronizace AAD a AD DS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Správa účtů při AAD synchronizaci</w:t>
            </w:r>
          </w:p>
          <w:p w:rsidR="00C04865" w:rsidP="00C04865" w:rsidRDefault="00C04865">
            <w:pPr>
              <w:pStyle w:val="Tabulkatext"/>
              <w:numPr>
                <w:ilvl w:val="0"/>
                <w:numId w:val="27"/>
              </w:numPr>
              <w:rPr>
                <w:i/>
              </w:rPr>
            </w:pPr>
            <w:r w:rsidRPr="00C04865">
              <w:rPr>
                <w:i/>
              </w:rPr>
              <w:t>Sledování stability a výkonu AD DS</w:t>
            </w:r>
            <w:r>
              <w:rPr>
                <w:i/>
              </w:rPr>
              <w:br/>
            </w:r>
          </w:p>
          <w:p w:rsidR="00C04865" w:rsidP="00D92737" w:rsidRDefault="00C04865">
            <w:pPr>
              <w:pStyle w:val="Tabulkatext"/>
              <w:rPr>
                <w:b/>
                <w:bCs/>
                <w:i/>
              </w:rPr>
            </w:pPr>
            <w:r w:rsidRPr="00C04865">
              <w:rPr>
                <w:b/>
                <w:bCs/>
                <w:i/>
              </w:rPr>
              <w:t>Obsah bloku virtualizace pomocí Hyper-V a systém centre VVM</w:t>
            </w:r>
            <w:r>
              <w:rPr>
                <w:b/>
                <w:bCs/>
                <w:i/>
              </w:rPr>
              <w:t xml:space="preserve"> v rozsahu 21 hodin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Hyper-V Architecture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Requirements, Prerequisites and Limits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Installation Types, Editions and Servicing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Hyper-V Management, VM Generations and Versions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Secure Boot, vTPM &amp; KSD, Checkpoints, Runtime Memory Resize, DDA and PoSh Direct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Shielded Virtual Machines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IC Update, VM Groups and Host Resource Protection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Nested Virtualization, VSM, Containers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Networking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Virtual Storage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Enterprise Storage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Hyper-V Cluster and Cluster Rolling Upgrade</w:t>
            </w:r>
          </w:p>
          <w:p w:rsidRPr="00C04865"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Hyper-V Replica</w:t>
            </w:r>
          </w:p>
          <w:p w:rsidR="00C04865" w:rsidP="00C04865" w:rsidRDefault="00C04865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C04865">
              <w:rPr>
                <w:i/>
              </w:rPr>
              <w:t>Best Practices</w:t>
            </w:r>
          </w:p>
          <w:p w:rsidR="00C04865" w:rsidP="00C04865" w:rsidRDefault="00C04865">
            <w:pPr>
              <w:pStyle w:val="Tabulkatext"/>
              <w:ind w:left="777"/>
              <w:rPr>
                <w:i/>
              </w:rPr>
            </w:pPr>
          </w:p>
          <w:p w:rsidR="005F324F" w:rsidP="0013067B" w:rsidRDefault="005F324F">
            <w:pPr>
              <w:pStyle w:val="Tabulkatext"/>
              <w:rPr>
                <w:b/>
                <w:bCs/>
                <w:i/>
              </w:rPr>
            </w:pPr>
          </w:p>
          <w:p w:rsidR="00C04865" w:rsidP="0013067B" w:rsidRDefault="0013067B">
            <w:pPr>
              <w:pStyle w:val="Tabulkatext"/>
              <w:rPr>
                <w:b/>
                <w:bCs/>
                <w:i/>
              </w:rPr>
            </w:pPr>
            <w:r w:rsidRPr="0013067B">
              <w:rPr>
                <w:b/>
                <w:bCs/>
                <w:i/>
              </w:rPr>
              <w:lastRenderedPageBreak/>
              <w:t>Obsah bloku Windows Cyber Attacks and Defense</w:t>
            </w:r>
            <w:r>
              <w:rPr>
                <w:b/>
                <w:bCs/>
                <w:i/>
              </w:rPr>
              <w:t xml:space="preserve"> v rozsahu 35 hodin</w:t>
            </w:r>
          </w:p>
          <w:p w:rsidR="0013067B" w:rsidP="0013067B" w:rsidRDefault="0013067B">
            <w:pPr>
              <w:pStyle w:val="Tabulkatext"/>
              <w:rPr>
                <w:b/>
                <w:bCs/>
                <w:i/>
              </w:rPr>
            </w:pPr>
          </w:p>
          <w:p w:rsidRPr="0013067B" w:rsidR="0013067B" w:rsidP="0013067B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13067B">
              <w:rPr>
                <w:i/>
              </w:rPr>
              <w:t xml:space="preserve">Vedení dokumentace ochrany a záznamů o útocích v </w:t>
            </w:r>
            <w:r w:rsidR="00D61F4C">
              <w:rPr>
                <w:i/>
              </w:rPr>
              <w:t>IS</w:t>
            </w:r>
          </w:p>
          <w:p w:rsidRPr="0013067B" w:rsidR="0013067B" w:rsidP="0013067B" w:rsidRDefault="00D61F4C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>
              <w:rPr>
                <w:i/>
              </w:rPr>
              <w:t xml:space="preserve">Nástroje pro týmovou spolupráci </w:t>
            </w:r>
          </w:p>
          <w:p w:rsidR="00D61F4C" w:rsidP="00C66D6A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D61F4C">
              <w:rPr>
                <w:i/>
              </w:rPr>
              <w:t xml:space="preserve">Monitorovací </w:t>
            </w:r>
            <w:r w:rsidRPr="00D61F4C" w:rsidR="00D61F4C">
              <w:rPr>
                <w:i/>
              </w:rPr>
              <w:t xml:space="preserve">a dohledové </w:t>
            </w:r>
            <w:r w:rsidRPr="00D61F4C">
              <w:rPr>
                <w:i/>
              </w:rPr>
              <w:t>systém</w:t>
            </w:r>
            <w:r w:rsidRPr="00D61F4C" w:rsidR="00D61F4C">
              <w:rPr>
                <w:i/>
              </w:rPr>
              <w:t>y</w:t>
            </w:r>
          </w:p>
          <w:p w:rsidRPr="00D61F4C" w:rsidR="0013067B" w:rsidP="00C66D6A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D61F4C">
              <w:rPr>
                <w:i/>
              </w:rPr>
              <w:t>Metodika scénářů pro bezpečnost a řešení útoků</w:t>
            </w:r>
          </w:p>
          <w:p w:rsidRPr="0013067B" w:rsidR="0013067B" w:rsidP="0013067B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13067B">
              <w:rPr>
                <w:i/>
              </w:rPr>
              <w:t xml:space="preserve">Metodika autentifikace </w:t>
            </w:r>
          </w:p>
          <w:p w:rsidRPr="0013067B" w:rsidR="0013067B" w:rsidP="0013067B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13067B">
              <w:rPr>
                <w:i/>
              </w:rPr>
              <w:t>Metodika šifrování dat</w:t>
            </w:r>
          </w:p>
          <w:p w:rsidRPr="0013067B" w:rsidR="0013067B" w:rsidP="0013067B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13067B">
              <w:rPr>
                <w:i/>
              </w:rPr>
              <w:t>Zálohovací systémy</w:t>
            </w:r>
          </w:p>
          <w:p w:rsidRPr="0013067B" w:rsidR="0013067B" w:rsidP="0013067B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13067B">
              <w:rPr>
                <w:i/>
              </w:rPr>
              <w:t>Správa hardwarových firewallů a VPN</w:t>
            </w:r>
          </w:p>
          <w:p w:rsidRPr="0013067B" w:rsidR="0013067B" w:rsidP="0013067B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13067B">
              <w:rPr>
                <w:i/>
              </w:rPr>
              <w:t>Metodika zabezpečení počítačových sítí</w:t>
            </w:r>
          </w:p>
          <w:p w:rsidR="00C04865" w:rsidP="00D92737" w:rsidRDefault="00C04865">
            <w:pPr>
              <w:pStyle w:val="Tabulkatext"/>
              <w:rPr>
                <w:i/>
              </w:rPr>
            </w:pPr>
          </w:p>
          <w:p w:rsidR="00D61F4C" w:rsidP="00D92737" w:rsidRDefault="0013067B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 xml:space="preserve">Celkový rozsah </w:t>
            </w:r>
            <w:r w:rsidRPr="00D61F4C" w:rsidR="00D61F4C">
              <w:rPr>
                <w:b/>
                <w:bCs/>
                <w:i/>
              </w:rPr>
              <w:t>vyučování:</w:t>
            </w:r>
            <w:r w:rsidR="00D61F4C">
              <w:rPr>
                <w:i/>
              </w:rPr>
              <w:t xml:space="preserve"> 88 hodin</w:t>
            </w:r>
          </w:p>
          <w:p w:rsidR="00D61F4C" w:rsidP="00D92737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Celkový rozsah závěrečné zkoušky:</w:t>
            </w:r>
            <w:r>
              <w:rPr>
                <w:i/>
              </w:rPr>
              <w:t xml:space="preserve"> 2 hodiny</w:t>
            </w:r>
            <w:r w:rsidR="00F84CAF">
              <w:rPr>
                <w:i/>
              </w:rPr>
              <w:t xml:space="preserve"> za všechny tři bloky</w:t>
            </w:r>
          </w:p>
          <w:p w:rsidR="00D61F4C" w:rsidP="00D92737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Délka vyučující hodiny:</w:t>
            </w:r>
            <w:r>
              <w:rPr>
                <w:i/>
              </w:rPr>
              <w:t xml:space="preserve"> 60 minut</w:t>
            </w:r>
          </w:p>
          <w:p w:rsidR="00D61F4C" w:rsidP="00D92737" w:rsidRDefault="00D61F4C">
            <w:pPr>
              <w:pStyle w:val="Tabulkatext"/>
              <w:rPr>
                <w:i/>
              </w:rPr>
            </w:pPr>
          </w:p>
          <w:p w:rsidR="00D61F4C" w:rsidP="00D92737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Počet absolventů kurzu:</w:t>
            </w:r>
            <w:r>
              <w:rPr>
                <w:i/>
              </w:rPr>
              <w:t xml:space="preserve"> 3</w:t>
            </w:r>
          </w:p>
          <w:p w:rsidR="00D61F4C" w:rsidP="00D92737" w:rsidRDefault="00D61F4C">
            <w:pPr>
              <w:pStyle w:val="Tabulkatext"/>
              <w:rPr>
                <w:b/>
                <w:bCs/>
                <w:i/>
              </w:rPr>
            </w:pPr>
          </w:p>
          <w:p w:rsidR="00D61F4C" w:rsidP="00D92737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Úroveň kurzů:</w:t>
            </w:r>
            <w:r>
              <w:rPr>
                <w:i/>
              </w:rPr>
              <w:t xml:space="preserve"> požadujeme vysokou úroveň kurzů určené pro IT specialisty, kteří administrují každodenně počítačové sítě v oblasti zdravotnictví, školství, průmyslu, obchodu a služeb.</w:t>
            </w:r>
          </w:p>
          <w:p w:rsidR="00D61F4C" w:rsidP="00D92737" w:rsidRDefault="00D61F4C">
            <w:pPr>
              <w:pStyle w:val="Tabulkatext"/>
              <w:rPr>
                <w:i/>
              </w:rPr>
            </w:pPr>
          </w:p>
          <w:p w:rsidRPr="00E50090" w:rsidR="008B0C1F" w:rsidP="005469B1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Forma výuky:</w:t>
            </w:r>
            <w:r>
              <w:rPr>
                <w:i/>
              </w:rPr>
              <w:t xml:space="preserve"> </w:t>
            </w:r>
            <w:r w:rsidR="005469B1">
              <w:rPr>
                <w:i/>
              </w:rPr>
              <w:t xml:space="preserve">prezenční, pro každého </w:t>
            </w:r>
            <w:r w:rsidR="008B0C1F">
              <w:rPr>
                <w:i/>
              </w:rPr>
              <w:t xml:space="preserve">absolventa </w:t>
            </w:r>
            <w:r w:rsidR="005469B1">
              <w:rPr>
                <w:i/>
              </w:rPr>
              <w:t xml:space="preserve">požadujeme </w:t>
            </w:r>
            <w:r w:rsidR="008B0C1F">
              <w:rPr>
                <w:i/>
              </w:rPr>
              <w:t xml:space="preserve">samostatný vzdělávací LAB.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8B0C1F" w:rsidP="00D92737" w:rsidRDefault="008B0C1F">
            <w:pPr>
              <w:pStyle w:val="Tabulkatext"/>
              <w:rPr>
                <w:i/>
              </w:rPr>
            </w:pPr>
            <w:r>
              <w:rPr>
                <w:i/>
              </w:rPr>
              <w:t>Na základě průzkumu trhu je předpokládaná hodnota zakázky</w:t>
            </w:r>
          </w:p>
          <w:p w:rsidR="008B0C1F" w:rsidP="00D92737" w:rsidRDefault="008B0C1F">
            <w:pPr>
              <w:pStyle w:val="Tabulkatext"/>
              <w:rPr>
                <w:i/>
              </w:rPr>
            </w:pPr>
          </w:p>
          <w:p w:rsidRPr="00E50090" w:rsidR="005C6C32" w:rsidP="00D92737" w:rsidRDefault="008B0C1F">
            <w:pPr>
              <w:pStyle w:val="Tabulkatext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>205.140,- Kč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5C6C32" w:rsidP="00D92737" w:rsidRDefault="008B0C1F">
            <w:pPr>
              <w:pStyle w:val="Tabulkatext"/>
            </w:pPr>
            <w:r>
              <w:t>Předpokládaný termín realizace:</w:t>
            </w:r>
          </w:p>
          <w:p w:rsidRPr="00E50090" w:rsidR="008B0C1F" w:rsidP="00D92737" w:rsidRDefault="005469B1">
            <w:pPr>
              <w:pStyle w:val="Tabulkatext"/>
            </w:pPr>
            <w:r>
              <w:t>18</w:t>
            </w:r>
            <w:r w:rsidR="008B0C1F">
              <w:t>.</w:t>
            </w:r>
            <w:r>
              <w:t>5</w:t>
            </w:r>
            <w:r w:rsidR="008B0C1F">
              <w:t>. – 3</w:t>
            </w:r>
            <w:r>
              <w:t>0</w:t>
            </w:r>
            <w:r w:rsidR="008B0C1F">
              <w:t>.</w:t>
            </w:r>
            <w:r>
              <w:t>9</w:t>
            </w:r>
            <w:r w:rsidR="008B0C1F">
              <w:t>.2020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3E1695">
            <w:pPr>
              <w:pStyle w:val="Tabulkatext"/>
            </w:pPr>
            <w:r>
              <w:t>eABM, Dvořákova 730, 738 01 Frýdek-Místek</w:t>
            </w:r>
            <w:r w:rsidR="006664B9">
              <w:t>, případně školící centrum v okolí maximálně 30 km</w:t>
            </w:r>
            <w:r>
              <w:t xml:space="preserve">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3E1695">
            <w:pPr>
              <w:pStyle w:val="Tabulkatext"/>
              <w:numPr>
                <w:ilvl w:val="0"/>
                <w:numId w:val="24"/>
              </w:numPr>
            </w:pPr>
            <w:r>
              <w:t>Jediným kritériem je nejnižší n</w:t>
            </w:r>
            <w:r w:rsidRPr="00E50090" w:rsidR="00E14E40">
              <w:t>abídková cena</w:t>
            </w:r>
          </w:p>
          <w:p w:rsidRPr="00E50090" w:rsidR="00E14E40" w:rsidP="00DB5DBD" w:rsidRDefault="00E14E40">
            <w:pPr>
              <w:pStyle w:val="Tabulkatext"/>
              <w:rPr>
                <w:i/>
                <w:iCs/>
                <w:u w:val="single"/>
              </w:rPr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Povinně:</w:t>
            </w:r>
          </w:p>
          <w:p w:rsidR="00E14E40" w:rsidP="00DB5DBD" w:rsidRDefault="00201111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 w:rsidRPr="00E50090">
              <w:rPr>
                <w:i/>
              </w:rPr>
              <w:t>Č</w:t>
            </w:r>
            <w:r w:rsidRPr="00E50090" w:rsidR="00E14E40">
              <w:rPr>
                <w:i/>
              </w:rPr>
              <w:t xml:space="preserve">estné prohlášení o tom, že </w:t>
            </w:r>
            <w:r w:rsidRPr="00E50090" w:rsidR="001A735A">
              <w:rPr>
                <w:i/>
              </w:rPr>
              <w:t xml:space="preserve">subjekt </w:t>
            </w:r>
            <w:r w:rsidRPr="00E50090" w:rsidR="00E14E40">
              <w:rPr>
                <w:i/>
              </w:rPr>
              <w:t xml:space="preserve">nemá daňové nedoplatky, nedoplatky na pojistném či penále na veřejné zdravotní pojištění nebo na sociální zabezpečení nebo na příspěvku na státní politiku zaměstnanosti </w:t>
            </w:r>
          </w:p>
          <w:p w:rsidR="003E1695" w:rsidP="00DB5DBD" w:rsidRDefault="003E1695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>
              <w:rPr>
                <w:i/>
              </w:rPr>
              <w:t>Praxe v odborných IT školeních nejméně 5 let</w:t>
            </w:r>
          </w:p>
          <w:p w:rsidR="003E1695" w:rsidP="00DB5DBD" w:rsidRDefault="003E1695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>
              <w:rPr>
                <w:i/>
              </w:rPr>
              <w:t xml:space="preserve">Dodavatel musí mít AEP certifikaci </w:t>
            </w:r>
          </w:p>
          <w:p w:rsidRPr="00DB5DBD" w:rsidR="00665FC9" w:rsidP="00665FC9" w:rsidRDefault="00665FC9">
            <w:pPr>
              <w:pStyle w:val="Tabulkatext"/>
              <w:ind w:left="777"/>
              <w:rPr>
                <w:i/>
              </w:rPr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B5DBD" w:rsidR="00E14E40" w:rsidP="00DB5DBD" w:rsidRDefault="003E1695">
            <w:pPr>
              <w:pStyle w:val="Tabulkatext"/>
              <w:rPr>
                <w:i/>
              </w:rPr>
            </w:pPr>
            <w:r>
              <w:rPr>
                <w:i/>
              </w:rPr>
              <w:t>Nabídky požadujeme zpracovat do přílohy č. 1 „</w:t>
            </w:r>
            <w:r w:rsidR="006664B9">
              <w:rPr>
                <w:i/>
              </w:rPr>
              <w:t>Krycí list k podání nabídky</w:t>
            </w:r>
            <w:r>
              <w:rPr>
                <w:i/>
              </w:rPr>
              <w:t>“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B5DBD" w:rsidRDefault="006664B9">
            <w:pPr>
              <w:pStyle w:val="Tabulkatext"/>
              <w:keepNext/>
              <w:rPr>
                <w:i/>
              </w:rPr>
            </w:pPr>
            <w:r>
              <w:rPr>
                <w:i/>
              </w:rPr>
              <w:t>Uchazeč vyplní krycí list nabídky, která musí obsahovat jednotlivé ceny jednotlivých bloků a celkovou cenu za tři osoby. Ceny budou uvedeny bez DPH.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6664B9" w:rsidRDefault="005C6C32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Nabídka musí být zadavateli podána v listinné podobě</w:t>
            </w:r>
            <w:r w:rsidRPr="00E50090" w:rsidR="00DA7A8F">
              <w:rPr>
                <w:i/>
              </w:rPr>
              <w:t xml:space="preserve"> v řádně uzavřené obálce označené názvem zakázky a nápisem „Neotevírat“, na níž je uvedena kontaktní adresa uchazeče</w:t>
            </w:r>
            <w:r w:rsidRPr="00E50090">
              <w:rPr>
                <w:i/>
              </w:rPr>
              <w:t xml:space="preserve">. </w:t>
            </w:r>
            <w:r w:rsidRPr="00E50090" w:rsidR="00DA7A8F">
              <w:rPr>
                <w:i/>
              </w:rPr>
              <w:t>Nabídky musí být podepsány dodavatelem či osobou oprávněnou zastupovat dodavatele.</w:t>
            </w:r>
            <w:r w:rsidRPr="00E50090" w:rsidR="00DA7A8F">
              <w:rPr>
                <w:rStyle w:val="Znakapoznpodarou"/>
                <w:rFonts w:ascii="Arial" w:hAnsi="Arial" w:cs="Arial"/>
                <w:i/>
              </w:rPr>
              <w:footnoteReference w:id="2"/>
            </w:r>
            <w:r w:rsidRPr="00E50090" w:rsidR="00DA7A8F">
              <w:rPr>
                <w:i/>
              </w:rPr>
              <w:t xml:space="preserve"> </w:t>
            </w:r>
          </w:p>
        </w:tc>
      </w:tr>
      <w:tr w:rsidRPr="00E50090" w:rsidR="00DA7A8F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D92737" w:rsidRDefault="00667155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Dodavatel</w:t>
            </w:r>
            <w:r w:rsidRPr="00E50090" w:rsidR="00DA7A8F">
              <w:rPr>
                <w:i/>
              </w:rPr>
              <w:t xml:space="preserve"> ve své nabídce uvede kontaktní osobu ve věci zakázky, její telefon a e-mailovou adresu.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Del="002D0D04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 xml:space="preserve">Každý </w:t>
            </w:r>
            <w:r w:rsidRPr="00E50090" w:rsidR="00667155">
              <w:rPr>
                <w:i/>
              </w:rPr>
              <w:t xml:space="preserve">dodavatel </w:t>
            </w:r>
            <w:r w:rsidRPr="00E50090">
              <w:rPr>
                <w:i/>
              </w:rPr>
              <w:t>může podat pouze jednu nabídku</w:t>
            </w:r>
            <w:r w:rsidRPr="00E50090" w:rsidR="00667155">
              <w:rPr>
                <w:i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B5DBD" w:rsidRDefault="00E14E40">
            <w:pPr>
              <w:pStyle w:val="Tabulkatext"/>
              <w:keepNext/>
              <w:rPr>
                <w:i/>
              </w:rPr>
            </w:pPr>
            <w:r w:rsidRPr="00E50090">
              <w:rPr>
                <w:i/>
              </w:rPr>
              <w:t xml:space="preserve">Dodavatel je oprávněn po zadavateli požadovat </w:t>
            </w:r>
            <w:r w:rsidR="007E6E16">
              <w:rPr>
                <w:i/>
              </w:rPr>
              <w:t>vysvětlení zadávacích podmínek</w:t>
            </w:r>
            <w:r w:rsidRPr="00E50090">
              <w:rPr>
                <w:i/>
              </w:rPr>
              <w:t xml:space="preserve"> (odpovědi na dotaz). Písemná žádost musí být zadavateli doručena nejpozději </w:t>
            </w:r>
            <w:r w:rsidR="008C7EB7">
              <w:rPr>
                <w:i/>
              </w:rPr>
              <w:t>4</w:t>
            </w:r>
            <w:r w:rsidR="00D92737">
              <w:rPr>
                <w:i/>
              </w:rPr>
              <w:t xml:space="preserve"> </w:t>
            </w:r>
            <w:r w:rsidRPr="00E50090">
              <w:rPr>
                <w:i/>
              </w:rPr>
              <w:t xml:space="preserve">pracovní dny před uplynutím lhůty pro podání nabídek. </w:t>
            </w: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664B9" w:rsidR="00E14E40" w:rsidP="006664B9" w:rsidRDefault="00E14E40">
            <w:pPr>
              <w:pStyle w:val="Tabulkatext"/>
              <w:numPr>
                <w:ilvl w:val="0"/>
                <w:numId w:val="26"/>
              </w:numPr>
              <w:rPr>
                <w:i/>
              </w:rPr>
            </w:pPr>
            <w:r w:rsidRPr="00E50090">
              <w:rPr>
                <w:i/>
              </w:rPr>
              <w:t>Platební podmínky</w:t>
            </w:r>
            <w:r w:rsidRPr="00E50090" w:rsidR="009A66A1">
              <w:rPr>
                <w:i/>
              </w:rPr>
              <w:t>:</w:t>
            </w:r>
            <w:r w:rsidR="006664B9">
              <w:rPr>
                <w:i/>
              </w:rPr>
              <w:t xml:space="preserve"> požadujeme 30 dnů splatnost faktury po ukončení kurz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7E6E16" w:rsidRDefault="005C6C32">
            <w:pPr>
              <w:pStyle w:val="Tabulkatext"/>
              <w:rPr>
                <w:u w:val="single"/>
              </w:rPr>
            </w:pPr>
            <w:r w:rsidRPr="00E50090">
              <w:rPr>
                <w:i/>
              </w:rPr>
              <w:t xml:space="preserve">Obecnou částí pravidel pro žadatele a příjemce v rámci </w:t>
            </w:r>
            <w:r w:rsidRPr="00E50090" w:rsidR="0019708B">
              <w:rPr>
                <w:i/>
              </w:rPr>
              <w:t>Operačního programu Zaměstnanost</w:t>
            </w:r>
            <w:r w:rsidRPr="00E50090">
              <w:rPr>
                <w:i/>
              </w:rPr>
              <w:t xml:space="preserve">, na </w:t>
            </w:r>
            <w:r w:rsidRPr="00E50090" w:rsidR="0019708B">
              <w:rPr>
                <w:i/>
              </w:rPr>
              <w:t xml:space="preserve">toto </w:t>
            </w:r>
            <w:r w:rsidRPr="00E50090">
              <w:rPr>
                <w:i/>
              </w:rPr>
              <w:t>zadávací řízení se neaplikují ustanovení zákona č.</w:t>
            </w:r>
            <w:r w:rsidR="001D3B11">
              <w:rPr>
                <w:i/>
              </w:rPr>
              <w:t> </w:t>
            </w:r>
            <w:r w:rsidRPr="00E50090">
              <w:rPr>
                <w:i/>
              </w:rPr>
              <w:t>13</w:t>
            </w:r>
            <w:r w:rsidR="007E6E16">
              <w:rPr>
                <w:i/>
              </w:rPr>
              <w:t>4</w:t>
            </w:r>
            <w:r w:rsidRPr="00E50090">
              <w:rPr>
                <w:i/>
              </w:rPr>
              <w:t>/20</w:t>
            </w:r>
            <w:r w:rsidR="007E6E16">
              <w:rPr>
                <w:i/>
              </w:rPr>
              <w:t>1</w:t>
            </w:r>
            <w:r w:rsidRPr="00E50090">
              <w:rPr>
                <w:i/>
              </w:rPr>
              <w:t xml:space="preserve">6 Sb., o </w:t>
            </w:r>
            <w:r w:rsidR="007E6E16">
              <w:rPr>
                <w:i/>
              </w:rPr>
              <w:t xml:space="preserve">zadávání </w:t>
            </w:r>
            <w:r w:rsidRPr="00E50090">
              <w:rPr>
                <w:i/>
              </w:rPr>
              <w:t>veřejných zakáz</w:t>
            </w:r>
            <w:r w:rsidR="007E6E16">
              <w:rPr>
                <w:i/>
              </w:rPr>
              <w:t>e</w:t>
            </w:r>
            <w:r w:rsidRPr="00E50090">
              <w:rPr>
                <w:i/>
              </w:rPr>
              <w:t>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0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</w:t>
            </w:r>
            <w:r w:rsidR="006664B9">
              <w:rPr>
                <w:rFonts w:ascii="Arial" w:hAnsi="Arial" w:cs="Arial"/>
                <w:sz w:val="20"/>
                <w:szCs w:val="20"/>
              </w:rPr>
              <w:t>e Frýdku-Místku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469B1">
              <w:rPr>
                <w:rFonts w:ascii="Arial" w:hAnsi="Arial" w:cs="Arial"/>
                <w:sz w:val="20"/>
                <w:szCs w:val="20"/>
              </w:rPr>
              <w:t>16</w:t>
            </w:r>
            <w:r w:rsidR="006664B9">
              <w:rPr>
                <w:rFonts w:ascii="Arial" w:hAnsi="Arial" w:cs="Arial"/>
                <w:sz w:val="20"/>
                <w:szCs w:val="20"/>
              </w:rPr>
              <w:t>.4.2020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="006445B9" w:rsidP="00D92737" w:rsidRDefault="00BE7EA4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false" relativeHeight="251658240" behindDoc="false" locked="false" layoutInCell="true" allowOverlap="true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61595</wp:posOffset>
                  </wp:positionV>
                  <wp:extent cx="1933575" cy="1092548"/>
                  <wp:effectExtent l="0" t="0" r="0" b="0"/>
                  <wp:wrapNone/>
                  <wp:docPr id="1" name="Obrázek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razitko_podpi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09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7EA4" w:rsidP="00D92737" w:rsidRDefault="00BE7EA4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BE7EA4" w:rsidP="00D92737" w:rsidRDefault="00BE7EA4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BE7EA4" w:rsidP="00D92737" w:rsidRDefault="00BE7EA4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BE7EA4" w:rsidP="00D92737" w:rsidRDefault="00BE7EA4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BE7EA4" w:rsidP="00D92737" w:rsidRDefault="00BE7EA4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  <w:bookmarkStart w:name="_GoBack" w:id="0"/>
      <w:bookmarkEnd w:id="0"/>
    </w:p>
    <w:p w:rsidRPr="006445B9" w:rsidR="005C6C32" w:rsidP="002A7A8F" w:rsidRDefault="006445B9">
      <w:pPr>
        <w:spacing w:after="0"/>
        <w:rPr>
          <w:i/>
        </w:rPr>
      </w:pPr>
      <w:r w:rsidRPr="002A7A8F">
        <w:rPr>
          <w:rFonts w:ascii="Arial" w:hAnsi="Arial" w:eastAsia="Times New Roman" w:cs="Arial"/>
          <w:b/>
          <w:bCs/>
          <w:i/>
          <w:color w:val="auto"/>
          <w:lang w:eastAsia="cs-CZ"/>
        </w:rPr>
        <w:t>Přílohy</w:t>
      </w:r>
      <w:r w:rsidRPr="002A7A8F" w:rsidR="002A7A8F">
        <w:rPr>
          <w:rFonts w:ascii="Arial" w:hAnsi="Arial" w:eastAsia="Times New Roman" w:cs="Arial"/>
          <w:b/>
          <w:bCs/>
          <w:i/>
          <w:color w:val="auto"/>
          <w:lang w:eastAsia="cs-CZ"/>
        </w:rPr>
        <w:t>:</w:t>
      </w:r>
      <w:r w:rsidR="002A7A8F">
        <w:rPr>
          <w:rFonts w:ascii="Arial" w:hAnsi="Arial" w:eastAsia="Times New Roman" w:cs="Arial"/>
          <w:i/>
          <w:color w:val="auto"/>
          <w:lang w:eastAsia="cs-CZ"/>
        </w:rPr>
        <w:t xml:space="preserve"> Krycí list nabídky</w:t>
      </w:r>
      <w:r w:rsidRPr="00DB5DBD" w:rsidR="00E14E40">
        <w:t xml:space="preserve"> </w:t>
      </w:r>
    </w:p>
    <w:p w:rsidRPr="00E50090" w:rsidR="005C6C32" w:rsidP="00D92737" w:rsidRDefault="005C6C32"/>
    <w:sectPr w:rsidRPr="00E50090" w:rsidR="005C6C32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40D76" w:rsidP="00744469" w:rsidRDefault="00640D76">
      <w:pPr>
        <w:spacing w:after="0"/>
      </w:pPr>
      <w:r>
        <w:separator/>
      </w:r>
    </w:p>
  </w:endnote>
  <w:endnote w:type="continuationSeparator" w:id="0">
    <w:p w:rsidR="00640D76" w:rsidP="00744469" w:rsidRDefault="00640D7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40D76" w:rsidP="00744469" w:rsidRDefault="00640D76">
      <w:pPr>
        <w:spacing w:after="0"/>
      </w:pPr>
      <w:r>
        <w:separator/>
      </w:r>
    </w:p>
  </w:footnote>
  <w:footnote w:type="continuationSeparator" w:id="0">
    <w:p w:rsidR="00640D76" w:rsidP="00744469" w:rsidRDefault="00640D76">
      <w:pPr>
        <w:spacing w:after="0"/>
      </w:pPr>
      <w:r>
        <w:continuationSeparator/>
      </w:r>
    </w:p>
  </w:footnote>
  <w:footnote w:id="1">
    <w:p w:rsidR="005C6C32" w:rsidP="005C6C32" w:rsidRDefault="005C6C32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  <w:footnote w:id="2">
    <w:p w:rsidR="00DA7A8F" w:rsidP="00DA7A8F" w:rsidRDefault="00DA7A8F">
      <w:pPr>
        <w:pStyle w:val="Textpoznpodarou"/>
      </w:pPr>
      <w:r>
        <w:rPr>
          <w:rStyle w:val="Znakapoznpodarou"/>
        </w:rPr>
        <w:footnoteRef/>
      </w:r>
      <w:r>
        <w:t xml:space="preserve"> Osobou oprávněnou jednat za dodavatele se rozumí osoba jednající na základě plné moci od statutárního orgánu.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3A74494"/>
    <w:multiLevelType w:val="hybridMultilevel"/>
    <w:tmpl w:val="504A820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A2C34D8"/>
    <w:multiLevelType w:val="hybridMultilevel"/>
    <w:tmpl w:val="F920C82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2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3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79B84999"/>
    <w:multiLevelType w:val="hybridMultilevel"/>
    <w:tmpl w:val="714834E2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3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4"/>
  </w:num>
  <w:num w:numId="22">
    <w:abstractNumId w:val="12"/>
  </w:num>
  <w:num w:numId="23">
    <w:abstractNumId w:val="14"/>
  </w:num>
  <w:num w:numId="24">
    <w:abstractNumId w:val="15"/>
  </w:num>
  <w:num w:numId="25">
    <w:abstractNumId w:val="11"/>
  </w:num>
  <w:num w:numId="26">
    <w:abstractNumId w:val="16"/>
  </w:num>
  <w:num w:numId="27">
    <w:abstractNumId w:val="0"/>
  </w:num>
  <w:num w:numId="28">
    <w:abstractNumId w:val="9"/>
  </w:num>
  <w:num w:numId="2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3067B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A7A8F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1695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469B1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324F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5FC9"/>
    <w:rsid w:val="006664B9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757E4"/>
    <w:rsid w:val="00782D4C"/>
    <w:rsid w:val="00797E60"/>
    <w:rsid w:val="007A0075"/>
    <w:rsid w:val="007A59F7"/>
    <w:rsid w:val="007B1C3C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0C1F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1D7E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BE7EA4"/>
    <w:rsid w:val="00C04865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1F4C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198"/>
    <w:rsid w:val="00F4441B"/>
    <w:rsid w:val="00F543E8"/>
    <w:rsid w:val="00F61DB6"/>
    <w:rsid w:val="00F65E1C"/>
    <w:rsid w:val="00F84CAF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5FA31F1"/>
  <w15:docId w15:val="{73F30B7B-741C-489D-98D4-D90AC3BC77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59F7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97327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musil.tomas@eabm.cz" Type="http://schemas.openxmlformats.org/officeDocument/2006/relationships/hyperlink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media/image2.png" Type="http://schemas.openxmlformats.org/officeDocument/2006/relationships/imag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musil.tomas@eabm.cz" Type="http://schemas.openxmlformats.org/officeDocument/2006/relationships/hyperlink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54CD4DE-47FD-494C-8AB5-708E2661246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980</properties:Words>
  <properties:Characters>5784</properties:Characters>
  <properties:Lines>48</properties:Lines>
  <properties:Paragraphs>13</properties:Paragraphs>
  <properties:TotalTime>73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2020-04-07T04:02:00Z</dcterms:created>
  <dc:creator/>
  <cp:lastModifiedBy/>
  <dcterms:modified xmlns:xsi="http://www.w3.org/2001/XMLSchema-instance" xsi:type="dcterms:W3CDTF">2020-04-16T07:50:00Z</dcterms:modified>
  <cp:revision>9</cp:revision>
</cp:coreProperties>
</file>