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33B8D" w:rsidP="00E33B8D" w:rsidRDefault="00E33B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</w:p>
    <w:p w:rsidR="00E33B8D" w:rsidP="00E33B8D" w:rsidRDefault="00E33B8D">
      <w:pPr>
        <w:jc w:val="both"/>
        <w:rPr>
          <w:b/>
          <w:sz w:val="24"/>
          <w:szCs w:val="24"/>
        </w:rPr>
      </w:pPr>
    </w:p>
    <w:p w:rsidR="00E33B8D" w:rsidP="00E33B8D" w:rsidRDefault="00E33B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Technická specifikace předmětu plnění </w:t>
      </w:r>
    </w:p>
    <w:p w:rsidR="00707B4F" w:rsidP="00E33B8D" w:rsidRDefault="00707B4F">
      <w:pPr>
        <w:jc w:val="both"/>
        <w:rPr>
          <w:sz w:val="24"/>
          <w:szCs w:val="24"/>
        </w:rPr>
      </w:pPr>
    </w:p>
    <w:p w:rsidR="00E33B8D" w:rsidP="00E33B8D" w:rsidRDefault="00707B4F">
      <w:pPr>
        <w:jc w:val="both"/>
        <w:rPr>
          <w:sz w:val="24"/>
          <w:szCs w:val="24"/>
        </w:rPr>
      </w:pPr>
      <w:bookmarkStart w:name="_GoBack" w:id="0"/>
      <w:bookmarkEnd w:id="0"/>
      <w:r>
        <w:rPr>
          <w:sz w:val="24"/>
          <w:szCs w:val="24"/>
        </w:rPr>
        <w:t>Předmětem zakázky je:</w:t>
      </w:r>
    </w:p>
    <w:p w:rsidR="00707B4F" w:rsidP="00E33B8D" w:rsidRDefault="00707B4F">
      <w:pPr>
        <w:jc w:val="both"/>
        <w:rPr>
          <w:sz w:val="24"/>
          <w:szCs w:val="24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záznamů o činnostech zpracování osobních údajů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formou řízených pohovorů s vedoucími odborů a oddělení a obhlídky prostorů a technologií ve vazbě na zpracování osobních údajů. V minimálním rozsahu 2 hodin u jednotlivými odborů a oddělení v prostorách zadavatele.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zpracovávaných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relevance právního základu zpracování osobních údajů dle GDPR v jednotlivých agendách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oprávněnosti zpracování osobních údajů klasifikovaných jako oprávněný zájem správce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metodiky postupu při vzniku nového účelu zpracování dat a ověření souladu s požadavky GDPR (realizace zásad „By default“ a „By design“)</w:t>
      </w: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právní ochrany osobních údajů předávaných nebo zpřístupňovaných dalším subjektům dle platné legislativy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stavu přijatých organizačních a technických opatření k 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vnitřních předpisů vztahujících se ke zpracování osobních údajů statutárním městem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komplexnosti, praktické závaznosti a vymahatelnosti povinností stanovených vnitřními předpisy dle odst. a)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souladu vnitřních předpisů s metodikami, výklady a stanovisky dozorového úřadu a resortních ministerstev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plnění poskytování informací o zpracování osobních údajů v podmínkách výkonu státní správy a samosprávy a v pracovněprávních vztazích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Zhodnocení obecných a dílčích informací s ohledem na jejich soulad s GDPR a zákonem č. 110/2019 Sb. – rozsah, úplnost, způsoby poskytování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dodržování zásad anonymizace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shody se zásadami stanovenými GDPR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Způsob anonymizace ve specifických případech – výkon povinností nebo uplatnění práv dle zvláštních právních předpisů, zejména s ohledem na zákony č. 340/2015 Sb., 106/1999 Sb. a č. 128/2000 Sb.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stavu přijatých opatření fyzické bezpečnosti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pravidel klíčového režimu (nastavení oprávnění, evidence a uložení klíčů atd.)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pravidel pro vstup zaměstnanců na pracoviště mimo pracovní dobu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pravidel pro pohyb návštěv v objektech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stanoveného režimu pro pracovníky úklidu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režimových opatření spisovny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Ověření vybavení pracovišť úschovnými uzamykatelnými objekty a pravidel pro jejich užívání 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způsobu a rozsahu zajištění fyzické a elektronické ostrahy objektu a vstupu do něj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úrovně zajištění ochrany dat při jejich zpracování externím zpracovatelem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provedení identifikace externích zpracovatelů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doložitelnosti smluv o zpracování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shody předložených smluv s požadavky GDPR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řízení přístupů do informačních systémů jiných správců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systému přidělování přístupových oprávnění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dodržování pravidel stanovených jiným správcem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stanovených postupů a právních základů při předávání osobních údajů do třetích zemí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Požadavek na realizaci: dle odstavce č. 1. technické specifikace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zpracování osobních údajů v personální oblasti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Zpracování osobní dat v rámci obsazování volných pracovních míst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Zpracování osobních dat v rámci pracovněprávního vztahu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Nakládání s osobními údaji v rámci ukončení pracovního procesu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Zpracování osobních údajů bývalých zaměstnanců – posouzení koherence rozsahu dat k identifikovaným účelům zpracování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a ev. revize pracovněprávní dokumentace 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souhlasů se zpracováním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relevance/absence souhlasů ve vztahu k jednotlivým agendám zpracování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souladu souhlasů s požadavky dle GDPR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Kontrola, ev. revize dokumentů obsahujících souhlas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ochrany osobních údajů při projednávání v orgánech města vč. přípravy podkladů pro rozhodování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předávání dokumentů obsahující osobní údaje orgánům města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zabezpečení ochrany osobních údajů při projednávání orgány města. (poučení, mlčenlivost – zastupitelé/nezastupitelné, úložiště apod.)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metodiky postupů při uplatnění a výkonu práv subjektů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způsobů přijetí žádostí pro uplatnění a výkonu práv subjektů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oprávněnosti požadavků na výkon práv subjektů údajů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metodiky postupů při porušení 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detekce narušení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Vyhodnocení porušení zabezpečení osobních údajů a ohlašování narušení bezpečnosti osobních dat dozorovému orgánu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Testování procesu zvládání bezpečnostních incidentů</w:t>
      </w:r>
    </w:p>
    <w:p w:rsidR="00E33B8D" w:rsidP="00E33B8D" w:rsidRDefault="00E33B8D">
      <w:pPr>
        <w:pStyle w:val="Odstavecseseznamem"/>
        <w:numPr>
          <w:ilvl w:val="3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Cílem je dodání služby spočívající v provedení cvičení zaměřeného na únik informací velkého rozsahu po napadení informačních technologií hackerem. Hlavním cílem cvičení bude ověření, zda stanovená prioritizace činností a komunikačních toků je efektivní a zajištuje informačně vitální funkce správy města a následně potřeby svých občanů a to zejména při úniku informací. Cvičení bude zaměřeno na procvičení vybraných procesů v rámci připravenosti zaměstnanců magistrátu a Městské policie Kladno. Cvičení bude provedeno štábní formou. Nedílnou součást přípravy budou představovat řízené pohovory s vedoucími odborů a oddělení, kteří popíší současnou praxi.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procesu odstranění zjištěných příčin zabezpečení osobních údajů do prostředí úřadu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zpracování osobních údajů ve vnitřním kamerovém systému objektu Magistrátu města Kladno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a zhodnocení stávajících pravidel pro užívání a manipulaci s kamerovým systémem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zavedeného řízení přístupu ke kamerovým záznamům včetně podmínek pro export záznamů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souladu provozu kamerového systému s platnými legislativními podmínkami a stanovisky dozorového orgánu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listinné a elektronické evidence a způsobů archivace a uložení dokumentů 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likvidace nosičů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Četnost reálně prováděných skartačních řízení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Organizační a právní zabezpečení likvidovaných nosičů osobních údajů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Audit zpracování osobních údajů u městské police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zpracovávaných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relevance právního základu zpracování osobních údajů dle GDPR v jednotlivých agendách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lastRenderedPageBreak/>
        <w:t>Kontrola organizačních a technických opatření k zabezpečení osobních údajů</w:t>
      </w:r>
    </w:p>
    <w:p w:rsidR="00E33B8D" w:rsidP="00E33B8D" w:rsidRDefault="00E33B8D">
      <w:pPr>
        <w:pStyle w:val="Odstavecseseznamem"/>
        <w:numPr>
          <w:ilvl w:val="2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Obecně při zajištění činnosti městské policie</w:t>
      </w:r>
    </w:p>
    <w:p w:rsidR="00E33B8D" w:rsidP="00E33B8D" w:rsidRDefault="00E33B8D">
      <w:pPr>
        <w:pStyle w:val="Odstavecseseznamem"/>
        <w:numPr>
          <w:ilvl w:val="2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Při výkonu služby strážníků městské policie a dalších zaměstnanců zařazených do městské policie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rozsahu zpracování a zabezpečení osobních údajů v projektech ochrany majetku obyvatel města využívající Městský kamerový dohledový systém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povinnosti provedení posouzení vlivu na ochranu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a zhodnocení stávajících pravidel pro užívání a manipulaci s MKDS pro kontrolované projekty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zavedeného řízení přístupu ke kamerovým záznamům včetně podmínek pro export záznamů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výkonu kontrolní činnosti správce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doložitelnosti kontrolní činnosti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Prověření a posouzení vydaného plánu kontrol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procesu implementace zjištěných nedostatků z kontrolní činnosti do prostředí úřadu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systému vzdělávání pracovníků magistrátu v 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systému pravidelného zvyšování bezpečnostního povědomí uživatelů k ochraně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zajištění informovanosti o aktuálních bezpečnostních hrozbách pro osobní údaje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Namátková kontrola dodržování pravidel ochrany osobních údajů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Revize použité metodiky a výsledků analýzy rizik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katalogu zpracovávaných osobních údajů dle odst. 1)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použitého katalogu hrozeb a zranitelností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a použití hodnotících škál analýzy rizik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celkového průběhu a jednotlivých závěrů analýzy rizik, včetně navržených opatření pro zajištění bezpečnosti osobních údajů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řízení přístupů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Přezkoumání vhodnosti systému řízení přístupů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prokazatelnosti přidělování, změny a odebírání přístupových oprávnění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rozsahu přidělených přístupových oprávnění k uživatelským stanicím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přidělených přístupových oprávnění k jednotlivým aplikacím a informačním systémům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auditování přístupových oprávnění v aplikacích magistrátu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procesu přezkoumání přístupových oprávnění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způsobů ochrany sítí magistrátů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zavedení jednotných přístupových bodů do vnitřní sítě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ochrany vnitřní sítě magistrátu proti různým druhům základních útoků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způsobů sledování nestandardních situací sítě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ochrany zařízení magistrátu vynášených mimo prostory magistrátu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ochrany uživatelských účtů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zabezpečení uživatelských účtů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nastavení, vhodnosti a vymáhání politiky hesel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dodržování pravidel „neobsluhovaných zařízení“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ukládání a ochrany dat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systému ukládání dat zaměstnanců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metod pro sdílení dat a využití cloudových řešení a způsobů zabezpečení dat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Prověření zabezpečení dat na externích discích či jiným přenosných zařízení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technických a organizačních opatření k zabezpečení dat při práci mimo perimetr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Zhodnocení míry zabezpečení mobilních zařízení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zálohování dat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Posouzení způsobů zajištění fyzické bezpečnosti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 dalších klíčových míst pro chod IT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fyzické bezpečnosti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či dalších klíčových míst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systému přístupových oprávnění do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apod.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vybavení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apod. prostředky ochrany (kamery, detektory pohybu, hasící systémy, klíčový režim apod.) v porovnání s možnými riziky pro danou lokalitu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způsobů zvyšování odolnosti prostředků zpracování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realizace zvyšování odolnosti prostředků zpracování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provádění patch-managementu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Ověřování postupů pro sledování a nápravu objevených zranitelností prostředků zpracování osobních údajů</w:t>
      </w:r>
    </w:p>
    <w:p w:rsidR="00E33B8D" w:rsidP="00E33B8D" w:rsidRDefault="00E33B8D">
      <w:pPr>
        <w:rPr>
          <w:rFonts w:cs="Arial"/>
          <w:b/>
          <w:bCs/>
        </w:rPr>
      </w:pP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Výstupy: </w:t>
      </w:r>
    </w:p>
    <w:p w:rsidR="00E33B8D" w:rsidP="00E33B8D" w:rsidRDefault="00E33B8D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Písemná zpráva o provedení auditu obsahující: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zjištění nesouladu zpracování a ochrany osobních údajů s aktuální legislativou,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klasifikaci závažnosti konkrétních nedostatků,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návrhy opatření k odstranění identifikovaných neshod, včetně provedení potřebných změnových řízení v příslušných vnitřních předpisech zadavatele.</w:t>
      </w:r>
    </w:p>
    <w:p w:rsidR="00E33B8D" w:rsidP="00E33B8D" w:rsidRDefault="00E33B8D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Školení zaměstnanců města v oblastech ochrany osobních údajů zaměřené na závěry auditu.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Uchazeč bude realizovat vzdělávání pro cca 440 uživatelů magistrátu a Městské policie Kladno. Cílem je zvýšit jejich povědomí v oblasti ochrany osobních údajů a představení nálezů z auditu. </w:t>
      </w: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>Způsob realizace: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Audit bude proveden formou:</w:t>
      </w:r>
    </w:p>
    <w:p w:rsidR="00E33B8D" w:rsidP="00E33B8D" w:rsidRDefault="00E33B8D">
      <w:pPr>
        <w:pStyle w:val="Odstavecseseznamem"/>
        <w:numPr>
          <w:ilvl w:val="1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osobního pohovoru s odpovědnými pracovníky určenými zadavatelem,</w:t>
      </w:r>
    </w:p>
    <w:p w:rsidR="00E33B8D" w:rsidP="00E33B8D" w:rsidRDefault="00E33B8D">
      <w:pPr>
        <w:pStyle w:val="Odstavecseseznamem"/>
        <w:numPr>
          <w:ilvl w:val="1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formou namátkových kontrol během auditu určených pracovišť.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Auditní zpráva bude vyhotovena v sídle dodavatele.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Prezentace závěrů z auditu zadavateli.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Validace auditní zprávy ze strany zadavatele.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Školení zaměstnanců města ve čtyřech kurzech o délce 2 hodin v prostorách zadavatele.</w:t>
      </w: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>Další požadavky:</w:t>
      </w:r>
    </w:p>
    <w:p w:rsidR="00E33B8D" w:rsidP="00E33B8D" w:rsidRDefault="00E33B8D">
      <w:pPr>
        <w:pStyle w:val="Odstavecseseznamem"/>
        <w:numPr>
          <w:ilvl w:val="0"/>
          <w:numId w:val="5"/>
        </w:numPr>
        <w:spacing w:after="120" w:line="256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Zadavatel </w:t>
      </w:r>
      <w:r>
        <w:rPr>
          <w:rFonts w:cs="Arial"/>
          <w:b/>
          <w:bCs/>
          <w:u w:val="single"/>
        </w:rPr>
        <w:t xml:space="preserve">požaduje výkon činnosti v rozsahu minimálně 250 člověkohodin v prostorách zadavatele </w:t>
      </w:r>
      <w:r>
        <w:rPr>
          <w:rFonts w:cs="Arial"/>
          <w:b/>
          <w:bCs/>
        </w:rPr>
        <w:t>za účelem provedení pohovorů, obhlídek a zjištění současného stavu v auditovaných oblastech.</w:t>
      </w:r>
    </w:p>
    <w:p w:rsidR="00E33B8D" w:rsidP="00E33B8D" w:rsidRDefault="00E33B8D">
      <w:pPr>
        <w:pStyle w:val="Odstavecseseznamem"/>
        <w:numPr>
          <w:ilvl w:val="0"/>
          <w:numId w:val="5"/>
        </w:numPr>
        <w:spacing w:after="120" w:line="256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Vítězný uchazeč obdrží po podpisu smlouvy veškeré relevantní vnitřní předpisy, podklady a záznamy související s oblastí osobních údajů a bezpečnosti informací.</w:t>
      </w:r>
    </w:p>
    <w:p w:rsidR="005C1D4A" w:rsidRDefault="005C1D4A"/>
    <w:sectPr w:rsidR="005C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7E41E23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411CC7"/>
    <w:multiLevelType w:val="hybridMultilevel"/>
    <w:tmpl w:val="DEF021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8646EE6"/>
    <w:multiLevelType w:val="hybridMultilevel"/>
    <w:tmpl w:val="4E2692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F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26218A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FC1"/>
    <w:rsid w:val="0038087F"/>
    <w:rsid w:val="005C1D4A"/>
    <w:rsid w:val="00707B4F"/>
    <w:rsid w:val="00772E9D"/>
    <w:rsid w:val="00BB1FC1"/>
    <w:rsid w:val="00E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C104756"/>
  <w15:docId w15:val="{1FA64CC6-FB58-4BAC-9129-88B730F8911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33B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33B8D"/>
    <w:pPr>
      <w:widowControl w:val="false"/>
      <w:suppressAutoHyphens/>
    </w:pPr>
    <w:rPr>
      <w:rFonts w:ascii="Liberation Serif" w:hAnsi="Liberation Serif" w:eastAsia="DejaVu Sans" w:cs="Mangal"/>
      <w:kern w:val="2"/>
      <w:szCs w:val="18"/>
      <w:lang w:eastAsia="zh-CN" w:bidi="hi-IN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33B8D"/>
    <w:rPr>
      <w:rFonts w:ascii="Liberation Serif" w:hAnsi="Liberation Serif" w:eastAsia="DejaVu Sans" w:cs="Mangal"/>
      <w:kern w:val="2"/>
      <w:sz w:val="20"/>
      <w:szCs w:val="18"/>
      <w:lang w:eastAsia="zh-CN" w:bidi="hi-IN"/>
    </w:rPr>
  </w:style>
  <w:style w:type="character" w:styleId="BezmezerChar" w:customStyle="true">
    <w:name w:val="Bez mezer Char"/>
    <w:basedOn w:val="Standardnpsmoodstavce"/>
    <w:link w:val="Bezmezer"/>
    <w:uiPriority w:val="1"/>
    <w:locked/>
    <w:rsid w:val="00E33B8D"/>
    <w:rPr>
      <w:rFonts w:ascii="Times New Roman" w:hAnsi="Times New Roman" w:cs="Times New Roman" w:eastAsiaTheme="minorEastAsia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E33B8D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cs-CZ"/>
    </w:r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33B8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E33B8D"/>
    <w:pPr>
      <w:ind w:left="720"/>
      <w:contextualSpacing/>
    </w:pPr>
  </w:style>
  <w:style w:type="character" w:styleId="Odkaznakoment">
    <w:name w:val="annotation reference"/>
    <w:semiHidden/>
    <w:unhideWhenUsed/>
    <w:rsid w:val="00E33B8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B8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33B8D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8440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Statutární město Kladno</properties:Company>
  <properties:Pages>4</properties:Pages>
  <properties:Words>1661</properties:Words>
  <properties:Characters>9800</properties:Characters>
  <properties:Lines>81</properties:Lines>
  <properties:Paragraphs>22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2020-05-19T07:45:00Z</dcterms:created>
  <dc:creator/>
  <cp:lastModifiedBy/>
  <dcterms:modified xmlns:xsi="http://www.w3.org/2001/XMLSchema-instance" xsi:type="dcterms:W3CDTF">2020-08-26T11:07:00Z</dcterms:modified>
  <cp:revision>4</cp:revision>
</cp:coreProperties>
</file>