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43BDF" w:rsidR="00E43BDF" w:rsidRDefault="00E43BDF" w14:paraId="2C4A25E8" w14:textId="70655BFC">
      <w:pPr>
        <w:rPr>
          <w:sz w:val="24"/>
          <w:szCs w:val="24"/>
        </w:rPr>
      </w:pPr>
      <w:r w:rsidRPr="00E43BDF">
        <w:rPr>
          <w:sz w:val="24"/>
          <w:szCs w:val="24"/>
        </w:rPr>
        <w:t xml:space="preserve">Příloha č. </w:t>
      </w:r>
      <w:r w:rsidR="00F342B2">
        <w:rPr>
          <w:sz w:val="24"/>
          <w:szCs w:val="24"/>
        </w:rPr>
        <w:t>1</w:t>
      </w:r>
      <w:r w:rsidRPr="00E43BDF">
        <w:rPr>
          <w:sz w:val="24"/>
          <w:szCs w:val="24"/>
        </w:rPr>
        <w:t xml:space="preserve"> </w:t>
      </w:r>
    </w:p>
    <w:p w:rsidR="00E43BDF" w:rsidRDefault="00E43BDF" w14:paraId="339CEE4E" w14:textId="77777777"/>
    <w:p w:rsidRPr="001B4512" w:rsidR="00E43BDF" w:rsidP="00E43BDF" w:rsidRDefault="00E43BDF" w14:paraId="266EE295" w14:textId="77777777">
      <w:pPr>
        <w:jc w:val="center"/>
        <w:rPr>
          <w:b/>
          <w:bCs/>
          <w:sz w:val="36"/>
          <w:szCs w:val="36"/>
        </w:rPr>
      </w:pPr>
      <w:r w:rsidRPr="001B4512">
        <w:rPr>
          <w:b/>
          <w:bCs/>
          <w:sz w:val="36"/>
          <w:szCs w:val="36"/>
        </w:rPr>
        <w:t>Vymezení předmětu zakázky</w:t>
      </w:r>
    </w:p>
    <w:p w:rsidR="00E43BDF" w:rsidP="00E43BDF" w:rsidRDefault="00E43BDF" w14:paraId="06F7231B" w14:textId="77777777">
      <w:pPr>
        <w:jc w:val="center"/>
        <w:rPr>
          <w:b/>
          <w:bCs/>
          <w:sz w:val="32"/>
          <w:szCs w:val="32"/>
        </w:rPr>
      </w:pPr>
    </w:p>
    <w:p w:rsidR="00E43BDF" w:rsidP="00E43BDF" w:rsidRDefault="00E43BDF" w14:paraId="09FA0F7F" w14:textId="77777777">
      <w:pPr>
        <w:rPr>
          <w:b/>
        </w:rPr>
      </w:pPr>
    </w:p>
    <w:p w:rsidRPr="00950E22" w:rsidR="00E43BDF" w:rsidP="00E43BDF" w:rsidRDefault="00E43BDF" w14:paraId="59312E63" w14:textId="7B86B779">
      <w:pPr>
        <w:rPr>
          <w:b/>
          <w:sz w:val="28"/>
          <w:szCs w:val="28"/>
        </w:rPr>
      </w:pPr>
      <w:r w:rsidRPr="00950E22">
        <w:rPr>
          <w:b/>
          <w:sz w:val="28"/>
          <w:szCs w:val="28"/>
        </w:rPr>
        <w:t>Koncepce krizového řízení</w:t>
      </w:r>
      <w:r w:rsidR="005733C7">
        <w:rPr>
          <w:b/>
          <w:sz w:val="28"/>
          <w:szCs w:val="28"/>
        </w:rPr>
        <w:t>:</w:t>
      </w:r>
    </w:p>
    <w:p w:rsidRPr="00C079A5" w:rsidR="00E43BDF" w:rsidP="00E43BDF" w:rsidRDefault="00E43BDF" w14:paraId="4ECD6F18" w14:textId="77777777">
      <w:pPr>
        <w:rPr>
          <w:b/>
        </w:rPr>
      </w:pPr>
      <w:r w:rsidRPr="00D5358D">
        <w:t xml:space="preserve">jednoduchá koncepce Krizového řízení </w:t>
      </w:r>
      <w:r>
        <w:t>obce</w:t>
      </w:r>
      <w:r w:rsidRPr="00D5358D">
        <w:t xml:space="preserve"> Bílovice nad Svitavou, která by měla být nedílnou součástí řízení </w:t>
      </w:r>
      <w:r>
        <w:t>obce</w:t>
      </w:r>
      <w:r w:rsidRPr="00D5358D">
        <w:t xml:space="preserve">. Jejím cílem bude předcházení vzniku možných kritických situací, zajištění všeobecné přípravy na zvládnutí potenciálně možných kritických situací, zajištění jejich zvládnutí v rámci vlastní působnosti orgánu krizového řízení a úkolů uložených vyššími orgány krizového řízení, nastartovat obnovu a další rozvoj. </w:t>
      </w:r>
    </w:p>
    <w:p w:rsidRPr="00D5358D" w:rsidR="00E43BDF" w:rsidP="00E43BDF" w:rsidRDefault="00E43BDF" w14:paraId="3A2BD179" w14:textId="77777777">
      <w:r w:rsidRPr="00D5358D">
        <w:t xml:space="preserve">Koncepce tak popíše nutnou činnost </w:t>
      </w:r>
      <w:r w:rsidR="00041E08">
        <w:t>Obecního</w:t>
      </w:r>
      <w:r w:rsidRPr="00D5358D">
        <w:t xml:space="preserve"> úřadu Bílovice nad Svitavou v této oblasti, která se bude týkat především:</w:t>
      </w:r>
    </w:p>
    <w:p w:rsidRPr="00D5358D" w:rsidR="00E43BDF" w:rsidP="00E43BDF" w:rsidRDefault="00E43BDF" w14:paraId="3E0FDC0F" w14:textId="77777777">
      <w:pPr>
        <w:pStyle w:val="Odstavecseseznamem"/>
        <w:numPr>
          <w:ilvl w:val="0"/>
          <w:numId w:val="5"/>
        </w:numPr>
        <w:spacing w:before="120" w:after="120" w:line="280" w:lineRule="atLeast"/>
        <w:jc w:val="left"/>
      </w:pPr>
      <w:r w:rsidRPr="00D5358D">
        <w:t>plnění úkolů na úseku krizového plánování,</w:t>
      </w:r>
    </w:p>
    <w:p w:rsidRPr="00D5358D" w:rsidR="00E43BDF" w:rsidP="00E43BDF" w:rsidRDefault="00E43BDF" w14:paraId="017A01C5" w14:textId="77777777">
      <w:pPr>
        <w:pStyle w:val="Odstavecseseznamem"/>
        <w:numPr>
          <w:ilvl w:val="0"/>
          <w:numId w:val="5"/>
        </w:numPr>
        <w:spacing w:before="120" w:after="120" w:line="280" w:lineRule="atLeast"/>
        <w:jc w:val="left"/>
      </w:pPr>
      <w:r w:rsidRPr="00D5358D">
        <w:t>přípravy na činnost při krizových situacích a v oblasti branné politiky státu.</w:t>
      </w:r>
    </w:p>
    <w:p w:rsidR="00E43BDF" w:rsidP="00E43BDF" w:rsidRDefault="00E43BDF" w14:paraId="40A29FA2" w14:textId="77777777">
      <w:r w:rsidRPr="00D5358D">
        <w:t xml:space="preserve">Výstupem by tak mělo být jasné sdělení jak vytváření podmínek pro činnost bezpečnostní rady, jak vypadá příprava pro činnost krizového štábu, jak se provádí celková koordinace při vytváření a aktualizaci havarijní a krizové dokumentace </w:t>
      </w:r>
      <w:r>
        <w:t>obce</w:t>
      </w:r>
      <w:r w:rsidRPr="00D5358D">
        <w:t>, jak vypadá spolupráce se základními i ostatními složkami integrovaného záchranného systému včetně Armády České republiky a jak vypadá spolupráce na úseku havarijní a krizové připravenosti s právnickými a fyzickými osobami a další.</w:t>
      </w:r>
    </w:p>
    <w:p w:rsidRPr="00950E22" w:rsidR="00950E22" w:rsidP="00950E22" w:rsidRDefault="00950E22" w14:paraId="3164F374" w14:textId="4F14D779">
      <w:pPr>
        <w:spacing w:before="100" w:beforeAutospacing="true" w:after="100" w:afterAutospacing="true" w:line="240" w:lineRule="auto"/>
        <w:rPr>
          <w:rFonts w:eastAsia="Times New Roman" w:cstheme="minorHAnsi"/>
          <w:b/>
          <w:bCs/>
          <w:lang w:eastAsia="cs-CZ"/>
        </w:rPr>
      </w:pPr>
      <w:r w:rsidRPr="00950E22">
        <w:rPr>
          <w:rFonts w:eastAsia="Times New Roman" w:cstheme="minorHAnsi"/>
          <w:b/>
          <w:bCs/>
          <w:lang w:eastAsia="cs-CZ"/>
        </w:rPr>
        <w:t>Specifikace Strategií krizového řízení obce</w:t>
      </w:r>
    </w:p>
    <w:p w:rsidRPr="00950E22" w:rsidR="00950E22" w:rsidP="00950E22" w:rsidRDefault="00950E22" w14:paraId="08DC82E9" w14:textId="0C7CDBE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Požaduje se vypracovat strategie krizového řízení obce Bílovice nad Svitavou</w:t>
      </w:r>
      <w:r>
        <w:rPr>
          <w:rFonts w:eastAsia="Times New Roman" w:cstheme="minorHAnsi"/>
          <w:lang w:eastAsia="cs-CZ"/>
        </w:rPr>
        <w:t xml:space="preserve"> v tomto formátu:</w:t>
      </w:r>
    </w:p>
    <w:p w:rsidRPr="00950E22" w:rsidR="00950E22" w:rsidP="00950E22" w:rsidRDefault="00950E22" w14:paraId="0E96C8FD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1.         ÚVODNÍ INFORMACE  </w:t>
      </w:r>
    </w:p>
    <w:p w:rsidRPr="00950E22" w:rsidR="00950E22" w:rsidP="00950E22" w:rsidRDefault="00950E22" w14:paraId="49A9490F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           Informace o zpracovateli</w:t>
      </w:r>
    </w:p>
    <w:p w:rsidRPr="00950E22" w:rsidR="00950E22" w:rsidP="00950E22" w:rsidRDefault="00950E22" w14:paraId="7E64924C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2.         ZÁKLADNÍ INFORMACE O OBCI         </w:t>
      </w:r>
    </w:p>
    <w:p w:rsidR="00950E22" w:rsidP="00950E22" w:rsidRDefault="00950E22" w14:paraId="6482B0A6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3.         CHARAKTERISTIKA DOKUMENTU A JEHO SOULAD SE ZÁKONNÝMI NORMAMI ČR</w:t>
      </w:r>
    </w:p>
    <w:p w:rsidRPr="00950E22" w:rsidR="00950E22" w:rsidP="00950E22" w:rsidRDefault="00950E22" w14:paraId="7AE5489E" w14:textId="04BFABB9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3.1 Popis cílů strategického dokumentu           </w:t>
      </w:r>
    </w:p>
    <w:p w:rsidRPr="00950E22" w:rsidR="00950E22" w:rsidP="00950E22" w:rsidRDefault="00950E22" w14:paraId="491FC26B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3.2 Popis vazeb dokumentu na zákonné normy a předpisy       </w:t>
      </w:r>
    </w:p>
    <w:p w:rsidRPr="00950E22" w:rsidR="00950E22" w:rsidP="00950E22" w:rsidRDefault="00950E22" w14:paraId="627267CC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3.3 Popis souladu dokumentu s nadřazenými strategickými dokumenty</w:t>
      </w:r>
    </w:p>
    <w:p w:rsidRPr="00950E22" w:rsidR="00950E22" w:rsidP="00950E22" w:rsidRDefault="00950E22" w14:paraId="5A04F0A6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3.4 Popis souladu dokumentu s krizovým řízením ORP </w:t>
      </w:r>
    </w:p>
    <w:p w:rsidRPr="00950E22" w:rsidR="00950E22" w:rsidP="00950E22" w:rsidRDefault="00950E22" w14:paraId="0A90ED98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</w:t>
      </w:r>
    </w:p>
    <w:p w:rsidRPr="00950E22" w:rsidR="00950E22" w:rsidP="00950E22" w:rsidRDefault="00950E22" w14:paraId="74F79929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lastRenderedPageBreak/>
        <w:t>4.         ZÁKLADNÍ POJMY V KRIZOVÉM ŘÍZENÍ         </w:t>
      </w:r>
    </w:p>
    <w:p w:rsidRPr="00950E22" w:rsidR="00950E22" w:rsidP="00950E22" w:rsidRDefault="00950E22" w14:paraId="59BBBBE5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4.1 Definice základních pojmů v krizovém řízení</w:t>
      </w:r>
    </w:p>
    <w:p w:rsidRPr="00950E22" w:rsidR="00950E22" w:rsidP="00950E22" w:rsidRDefault="00950E22" w14:paraId="12241FBA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4.2 Integrovaný záchranný systém a jeho složky           </w:t>
      </w:r>
    </w:p>
    <w:p w:rsidRPr="00950E22" w:rsidR="00950E22" w:rsidP="00950E22" w:rsidRDefault="00950E22" w14:paraId="0C4454D9" w14:textId="482B7C66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5.         VÝCHOZÍ STAV KRIZOVÉHO ŘÍZENÍ   </w:t>
      </w:r>
    </w:p>
    <w:p w:rsidRPr="00950E22" w:rsidR="00950E22" w:rsidP="00950E22" w:rsidRDefault="00950E22" w14:paraId="3477CD2B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5.1 Popis stávající situace v oblasti krizového řízení     </w:t>
      </w:r>
    </w:p>
    <w:p w:rsidRPr="00950E22" w:rsidR="00950E22" w:rsidP="00950E22" w:rsidRDefault="00950E22" w14:paraId="7306B745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5.2 Popis cílových skupin        </w:t>
      </w:r>
    </w:p>
    <w:p w:rsidRPr="00950E22" w:rsidR="00950E22" w:rsidP="00950E22" w:rsidRDefault="00950E22" w14:paraId="63B1CB4C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5.3 Identifikace dopadů a přínosů krizového řízení pro cílovou skupinu </w:t>
      </w:r>
    </w:p>
    <w:p w:rsidRPr="00950E22" w:rsidR="00950E22" w:rsidP="00950E22" w:rsidRDefault="00950E22" w14:paraId="0F9BDDF6" w14:textId="475024A1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6.         KLÍČOVÉ SUBJEKTY V OBLASTI KRIZOVÉHO ŘÍZENÍ, JEJICH PRÁVA A POVINNOSTI</w:t>
      </w:r>
    </w:p>
    <w:p w:rsidRPr="00950E22" w:rsidR="00950E22" w:rsidP="00950E22" w:rsidRDefault="00950E22" w14:paraId="699EEFDF" w14:textId="67AF2952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6.1 Hejtman Jihomoravského kraje          </w:t>
      </w:r>
    </w:p>
    <w:p w:rsidRPr="00950E22" w:rsidR="00950E22" w:rsidP="00950E22" w:rsidRDefault="00950E22" w14:paraId="11651F1F" w14:textId="31A5A2C3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6.2 Hasičský záchranný sbor Jihomoravského kraje         </w:t>
      </w:r>
    </w:p>
    <w:p w:rsidRPr="00950E22" w:rsidR="00950E22" w:rsidP="00950E22" w:rsidRDefault="00950E22" w14:paraId="6F67AB52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6.3 Policie České republiky      </w:t>
      </w:r>
    </w:p>
    <w:p w:rsidRPr="00950E22" w:rsidR="00950E22" w:rsidP="00950E22" w:rsidRDefault="00950E22" w14:paraId="7724586E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6.4 Orgány obce s rozšířenou působností        </w:t>
      </w:r>
    </w:p>
    <w:p w:rsidRPr="00950E22" w:rsidR="00950E22" w:rsidP="00950E22" w:rsidRDefault="00950E22" w14:paraId="486166AD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6.5 Starosta obce        </w:t>
      </w:r>
    </w:p>
    <w:p w:rsidRPr="00950E22" w:rsidR="00950E22" w:rsidP="00950E22" w:rsidRDefault="00950E22" w14:paraId="5BACD848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6.6 Obecní úřad</w:t>
      </w:r>
    </w:p>
    <w:p w:rsidRPr="00950E22" w:rsidR="00950E22" w:rsidP="00950E22" w:rsidRDefault="00950E22" w14:paraId="10F22F68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6.7 Práva a povinnosti právnických osob a podnikajících fyzických osob         </w:t>
      </w:r>
    </w:p>
    <w:p w:rsidRPr="00950E22" w:rsidR="00950E22" w:rsidP="00950E22" w:rsidRDefault="00950E22" w14:paraId="361155D0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6.8 Fyzické osoby – občané obce a sídel v jejím katastrálním území     </w:t>
      </w:r>
    </w:p>
    <w:p w:rsidRPr="00950E22" w:rsidR="00950E22" w:rsidP="00950E22" w:rsidRDefault="00950E22" w14:paraId="2E292419" w14:textId="689A0A94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7.         ANALÝZA MIMOŘÁDNÝCH UDÁLOSTÍ A KRIZOVÝCH SITUACÍ, S NIMIŽ SE OBYVATELSTVO MŮŽE SETKAT</w:t>
      </w:r>
    </w:p>
    <w:p w:rsidRPr="00950E22" w:rsidR="00950E22" w:rsidP="00950E22" w:rsidRDefault="00950E22" w14:paraId="7B5AA773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7.1 Charakteristika rizik a indikace krizových situací</w:t>
      </w:r>
    </w:p>
    <w:p w:rsidRPr="00950E22" w:rsidR="00950E22" w:rsidP="00950E22" w:rsidRDefault="00950E22" w14:paraId="5FD6D4D8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7.2 Výpis z přehledu možných zdrojů rizik a analýzy ohrožení    </w:t>
      </w:r>
    </w:p>
    <w:p w:rsidRPr="00950E22" w:rsidR="00950E22" w:rsidP="00950E22" w:rsidRDefault="00950E22" w14:paraId="3BCEFD47" w14:textId="7894C4A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8.         VŠEOBECNÉ ZÁSADY CHOVÁNÍ PŘI VZNIKU MIMOŘÁDNÉ UDÁLOSTI, EVAKUACE</w:t>
      </w:r>
    </w:p>
    <w:p w:rsidRPr="00950E22" w:rsidR="00950E22" w:rsidP="00950E22" w:rsidRDefault="00950E22" w14:paraId="0ED76F54" w14:textId="3A9CBF5E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8.1 Příprava obce na řešení mimořádných událostí</w:t>
      </w:r>
    </w:p>
    <w:p w:rsidRPr="00950E22" w:rsidR="00950E22" w:rsidP="00950E22" w:rsidRDefault="00950E22" w14:paraId="79D69785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8.2 Obecné zásady pro obyvatele        </w:t>
      </w:r>
    </w:p>
    <w:p w:rsidRPr="00950E22" w:rsidR="00950E22" w:rsidP="00950E22" w:rsidRDefault="00950E22" w14:paraId="387FB763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8.3 Co dělat při mimořádných událostech</w:t>
      </w:r>
    </w:p>
    <w:p w:rsidRPr="00950E22" w:rsidR="00950E22" w:rsidP="00950E22" w:rsidRDefault="00950E22" w14:paraId="16AB245D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8.4 Evakuace – pokyny pro občany     </w:t>
      </w:r>
    </w:p>
    <w:p w:rsidRPr="00950E22" w:rsidR="00950E22" w:rsidP="00950E22" w:rsidRDefault="00950E22" w14:paraId="3E9EBDA1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 </w:t>
      </w:r>
    </w:p>
    <w:p w:rsidRPr="00950E22" w:rsidR="00950E22" w:rsidP="00950E22" w:rsidRDefault="00950E22" w14:paraId="6ADDAC04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lastRenderedPageBreak/>
        <w:t>9.         ZPŮSOB VAROVÁNÍ, EVAKUACE OBYVATELSTVA A EVIDENCE PŘECHODNÉHO POBYTU, INFORMAČNÍ KANÁLY          </w:t>
      </w:r>
    </w:p>
    <w:p w:rsidRPr="00950E22" w:rsidR="00950E22" w:rsidP="00950E22" w:rsidRDefault="00950E22" w14:paraId="551D102F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9.1. Způsob varování – varovný signál a zvuk sirény, co dělat při signálu „všeobecná výstraha“</w:t>
      </w:r>
    </w:p>
    <w:p w:rsidRPr="00950E22" w:rsidR="00950E22" w:rsidP="00950E22" w:rsidRDefault="00950E22" w14:paraId="5702C94B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9.2 Evakuace a evidence přechodného pobytu ohrožených osob         </w:t>
      </w:r>
    </w:p>
    <w:p w:rsidRPr="00950E22" w:rsidR="00950E22" w:rsidP="00950E22" w:rsidRDefault="00950E22" w14:paraId="20F12381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9.3 Evidence údajů o přechodných změnách pobytu osob       </w:t>
      </w:r>
    </w:p>
    <w:p w:rsidRPr="00950E22" w:rsidR="00950E22" w:rsidP="00950E22" w:rsidRDefault="00950E22" w14:paraId="5DEBDCDC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9.4 Informační kanály   </w:t>
      </w:r>
    </w:p>
    <w:p w:rsidRPr="00950E22" w:rsidR="00950E22" w:rsidP="00950E22" w:rsidRDefault="00950E22" w14:paraId="3C84CB53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9.5 Checklisty pro evakuaci     </w:t>
      </w:r>
    </w:p>
    <w:p w:rsidRPr="00950E22" w:rsidR="00950E22" w:rsidP="00950E22" w:rsidRDefault="00950E22" w14:paraId="356C6031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10.       Seznam použitých zkratek</w:t>
      </w:r>
    </w:p>
    <w:p w:rsidRPr="00950E22" w:rsidR="00950E22" w:rsidP="00950E22" w:rsidRDefault="00950E22" w14:paraId="19B2FD1D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11.       Seznam tabulek</w:t>
      </w:r>
    </w:p>
    <w:p w:rsidRPr="00950E22" w:rsidR="00950E22" w:rsidP="00950E22" w:rsidRDefault="00950E22" w14:paraId="02A4F5B0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12.       Seznam obrázků</w:t>
      </w:r>
    </w:p>
    <w:p w:rsidRPr="00950E22" w:rsidR="00950E22" w:rsidP="00950E22" w:rsidRDefault="00950E22" w14:paraId="0D72249A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13.       Seznam příloh</w:t>
      </w:r>
    </w:p>
    <w:p w:rsidRPr="00950E22" w:rsidR="00950E22" w:rsidP="00950E22" w:rsidRDefault="00950E22" w14:paraId="6EF2DC3F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Povinnými přílohami je text pro 2 samostatné příručky pro obyvatele:</w:t>
      </w:r>
    </w:p>
    <w:p w:rsidRPr="00950E22" w:rsidR="00950E22" w:rsidP="00950E22" w:rsidRDefault="00950E22" w14:paraId="75F8457C" w14:textId="7A399091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 xml:space="preserve">„Jak se zachovat při vzniku mimořádné události“ </w:t>
      </w:r>
    </w:p>
    <w:p w:rsidRPr="00950E22" w:rsidR="00950E22" w:rsidP="00950E22" w:rsidRDefault="00950E22" w14:paraId="508E95C4" w14:textId="067C9962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„Stručné zásady první pomoci při vzniku mimořádných událostí“</w:t>
      </w:r>
    </w:p>
    <w:p w:rsidRPr="00950E22" w:rsidR="00950E22" w:rsidP="00950E22" w:rsidRDefault="00950E22" w14:paraId="09145374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14.       ZDROJE </w:t>
      </w:r>
    </w:p>
    <w:p w:rsidRPr="00950E22" w:rsidR="00950E22" w:rsidP="00950E22" w:rsidRDefault="00950E22" w14:paraId="6BD2350C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>Technické údaje k dokumentaci:</w:t>
      </w:r>
    </w:p>
    <w:p w:rsidRPr="00950E22" w:rsidR="00950E22" w:rsidP="00950E22" w:rsidRDefault="00950E22" w14:paraId="41F0929F" w14:textId="0222A970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 xml:space="preserve">Příručky pro obyvatele budou samostatnými brožurami. Dokumentace bude předána v elektronické podobě na CD. Minimální rozsah </w:t>
      </w:r>
      <w:r w:rsidR="00F342B2">
        <w:rPr>
          <w:rFonts w:eastAsia="Times New Roman" w:cstheme="minorHAnsi"/>
          <w:lang w:eastAsia="cs-CZ"/>
        </w:rPr>
        <w:t>základního</w:t>
      </w:r>
      <w:r w:rsidRPr="00950E22">
        <w:rPr>
          <w:rFonts w:eastAsia="Times New Roman" w:cstheme="minorHAnsi"/>
          <w:lang w:eastAsia="cs-CZ"/>
        </w:rPr>
        <w:t xml:space="preserve"> dokumentu bude 50 normostran, minimální rozsah každé brožury bude 10 stran.</w:t>
      </w:r>
    </w:p>
    <w:p w:rsidRPr="00950E22" w:rsidR="00950E22" w:rsidP="00950E22" w:rsidRDefault="00950E22" w14:paraId="462086D3" w14:textId="4535C23E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 xml:space="preserve">Strategie musí být projednána s vedením obce, zápis z projednání bude přílohou předávacího protokolu k příslušné strategii. </w:t>
      </w:r>
    </w:p>
    <w:p w:rsidRPr="00950E22" w:rsidR="00950E22" w:rsidP="00950E22" w:rsidRDefault="00950E22" w14:paraId="68E123F1" w14:textId="64DC46EE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lang w:eastAsia="cs-CZ"/>
        </w:rPr>
        <w:t xml:space="preserve">Předpokládaná doba plnění zakázky </w:t>
      </w:r>
      <w:r w:rsidR="00F342B2">
        <w:rPr>
          <w:rFonts w:eastAsia="Times New Roman" w:cstheme="minorHAnsi"/>
          <w:lang w:eastAsia="cs-CZ"/>
        </w:rPr>
        <w:t>2</w:t>
      </w:r>
      <w:r w:rsidRPr="00950E22">
        <w:rPr>
          <w:rFonts w:eastAsia="Times New Roman" w:cstheme="minorHAnsi"/>
          <w:lang w:eastAsia="cs-CZ"/>
        </w:rPr>
        <w:t>/202</w:t>
      </w:r>
      <w:r w:rsidR="00F342B2">
        <w:rPr>
          <w:rFonts w:eastAsia="Times New Roman" w:cstheme="minorHAnsi"/>
          <w:lang w:eastAsia="cs-CZ"/>
        </w:rPr>
        <w:t xml:space="preserve">1 </w:t>
      </w:r>
      <w:bookmarkStart w:name="_GoBack" w:id="0"/>
      <w:bookmarkEnd w:id="0"/>
      <w:r w:rsidRPr="00950E22">
        <w:rPr>
          <w:rFonts w:eastAsia="Times New Roman" w:cstheme="minorHAnsi"/>
          <w:lang w:eastAsia="cs-CZ"/>
        </w:rPr>
        <w:t>–</w:t>
      </w:r>
      <w:r w:rsidR="00F342B2">
        <w:rPr>
          <w:rFonts w:eastAsia="Times New Roman" w:cstheme="minorHAnsi"/>
          <w:lang w:eastAsia="cs-CZ"/>
        </w:rPr>
        <w:t xml:space="preserve"> 4</w:t>
      </w:r>
      <w:r w:rsidRPr="00950E22">
        <w:rPr>
          <w:rFonts w:eastAsia="Times New Roman" w:cstheme="minorHAnsi"/>
          <w:lang w:eastAsia="cs-CZ"/>
        </w:rPr>
        <w:t xml:space="preserve">/2021 </w:t>
      </w:r>
    </w:p>
    <w:p w:rsidRPr="00950E22" w:rsidR="00950E22" w:rsidP="00950E22" w:rsidRDefault="00950E22" w14:paraId="202CC5D8" w14:textId="77777777">
      <w:p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50E22">
        <w:rPr>
          <w:rFonts w:eastAsia="Times New Roman" w:cstheme="minorHAnsi"/>
          <w:b/>
          <w:bCs/>
          <w:lang w:eastAsia="cs-CZ"/>
        </w:rPr>
        <w:t>Místo dodání / převzetí plnění:</w:t>
      </w:r>
      <w:r w:rsidRPr="00950E22">
        <w:rPr>
          <w:rFonts w:eastAsia="Times New Roman" w:cstheme="minorHAnsi"/>
          <w:lang w:eastAsia="cs-CZ"/>
        </w:rPr>
        <w:t xml:space="preserve"> </w:t>
      </w:r>
      <w:r w:rsidRPr="00950E22">
        <w:rPr>
          <w:rFonts w:eastAsia="Times New Roman" w:cstheme="minorHAnsi"/>
          <w:lang w:eastAsia="cs-CZ"/>
        </w:rPr>
        <w:br/>
        <w:t xml:space="preserve">sídlo zadavatele </w:t>
      </w:r>
    </w:p>
    <w:p w:rsidRPr="00E43BDF" w:rsidR="00E43BDF" w:rsidP="00E43BDF" w:rsidRDefault="00E43BDF" w14:paraId="39D2E51E" w14:textId="77777777">
      <w:pPr>
        <w:rPr>
          <w:b/>
          <w:bCs/>
          <w:sz w:val="24"/>
          <w:szCs w:val="24"/>
        </w:rPr>
      </w:pPr>
    </w:p>
    <w:sectPr w:rsidRPr="00E43BDF" w:rsidR="00E4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2E4DD65" w16cid:paraId="7583A7F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84992" w:rsidP="00A86314" w:rsidRDefault="00784992" w14:paraId="6BE32660" w14:textId="77777777">
      <w:pPr>
        <w:spacing w:after="0" w:line="240" w:lineRule="auto"/>
      </w:pPr>
      <w:r>
        <w:separator/>
      </w:r>
    </w:p>
  </w:endnote>
  <w:endnote w:type="continuationSeparator" w:id="0">
    <w:p w:rsidR="00784992" w:rsidP="00A86314" w:rsidRDefault="00784992" w14:paraId="434A49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84992" w:rsidP="00A86314" w:rsidRDefault="00784992" w14:paraId="2BD0D53A" w14:textId="77777777">
      <w:pPr>
        <w:spacing w:after="0" w:line="240" w:lineRule="auto"/>
      </w:pPr>
      <w:r>
        <w:separator/>
      </w:r>
    </w:p>
  </w:footnote>
  <w:footnote w:type="continuationSeparator" w:id="0">
    <w:p w:rsidR="00784992" w:rsidP="00A86314" w:rsidRDefault="00784992" w14:paraId="20923F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1415AC8"/>
    <w:multiLevelType w:val="hybridMultilevel"/>
    <w:tmpl w:val="5386BCD6"/>
    <w:lvl w:ilvl="0" w:tplc="7CDEA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0FB"/>
    <w:multiLevelType w:val="hybridMultilevel"/>
    <w:tmpl w:val="44E2E2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58A2129"/>
    <w:multiLevelType w:val="hybridMultilevel"/>
    <w:tmpl w:val="749E532E"/>
    <w:lvl w:ilvl="0" w:tplc="477A64C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B0335D"/>
    <w:multiLevelType w:val="hybridMultilevel"/>
    <w:tmpl w:val="56789E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E7626E"/>
    <w:multiLevelType w:val="hybridMultilevel"/>
    <w:tmpl w:val="B4687224"/>
    <w:lvl w:ilvl="0" w:tplc="E74E3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E532C"/>
    <w:multiLevelType w:val="hybridMultilevel"/>
    <w:tmpl w:val="17A0B9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7FA3487"/>
    <w:multiLevelType w:val="hybridMultilevel"/>
    <w:tmpl w:val="B4687224"/>
    <w:lvl w:ilvl="0" w:tplc="E74E3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77905"/>
    <w:multiLevelType w:val="hybridMultilevel"/>
    <w:tmpl w:val="84DA2D32"/>
    <w:lvl w:ilvl="0" w:tplc="0405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8">
    <w:nsid w:val="57AE6725"/>
    <w:multiLevelType w:val="multilevel"/>
    <w:tmpl w:val="A3628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3A2566"/>
    <w:multiLevelType w:val="multilevel"/>
    <w:tmpl w:val="0B9A5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8B6253"/>
    <w:multiLevelType w:val="multilevel"/>
    <w:tmpl w:val="BC5E0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DF"/>
    <w:rsid w:val="000134C4"/>
    <w:rsid w:val="00041E08"/>
    <w:rsid w:val="0012607D"/>
    <w:rsid w:val="00177F6C"/>
    <w:rsid w:val="001B4512"/>
    <w:rsid w:val="001F2BF4"/>
    <w:rsid w:val="00264DAB"/>
    <w:rsid w:val="002C6EC1"/>
    <w:rsid w:val="00321CF2"/>
    <w:rsid w:val="00510B41"/>
    <w:rsid w:val="005733C7"/>
    <w:rsid w:val="00784992"/>
    <w:rsid w:val="00845A33"/>
    <w:rsid w:val="00950E22"/>
    <w:rsid w:val="009A713F"/>
    <w:rsid w:val="00A051AD"/>
    <w:rsid w:val="00A4492A"/>
    <w:rsid w:val="00A86314"/>
    <w:rsid w:val="00BD6AEC"/>
    <w:rsid w:val="00C8541C"/>
    <w:rsid w:val="00CD19D5"/>
    <w:rsid w:val="00D329E1"/>
    <w:rsid w:val="00DB0039"/>
    <w:rsid w:val="00E43BDF"/>
    <w:rsid w:val="00E47DB9"/>
    <w:rsid w:val="00E9241F"/>
    <w:rsid w:val="00EB562F"/>
    <w:rsid w:val="00F342B2"/>
    <w:rsid w:val="00F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857337B"/>
  <w15:docId w15:val="{D9F477D7-5AC6-4556-A507-8721D3DC81F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E43BD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43BDF"/>
    <w:rPr>
      <w:color w:val="080808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43BDF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43BDF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86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631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863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31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863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8631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50E2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0E2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D19D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9D5"/>
    <w:pPr>
      <w:widowControl w:val="false"/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cs-CZ" w:bidi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D19D5"/>
    <w:rPr>
      <w:rFonts w:ascii="Times New Roman" w:hAnsi="Times New Roman" w:eastAsia="Times New Roman" w:cs="Times New Roman"/>
      <w:color w:val="000000"/>
      <w:sz w:val="20"/>
      <w:szCs w:val="20"/>
      <w:lang w:eastAsia="cs-CZ" w:bidi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D19D5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3893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764481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6551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6752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commentsIds.xml" Type="http://schemas.microsoft.com/office/2016/09/relationships/commentsIds" Id="rId13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612</properties:Words>
  <properties:Characters>3615</properties:Characters>
  <properties:Lines>30</properties:Lines>
  <properties:Paragraphs>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2021-01-08T10:19:00Z</dcterms:created>
  <dc:creator/>
  <dc:description/>
  <cp:keywords/>
  <cp:lastModifiedBy/>
  <dcterms:modified xmlns:xsi="http://www.w3.org/2001/XMLSchema-instance" xsi:type="dcterms:W3CDTF">2021-01-08T10:25:00Z</dcterms:modified>
  <cp:revision>3</cp:revision>
  <dc:subject/>
  <dc:title/>
</cp:coreProperties>
</file>