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B4B68" w:rsidR="007B4B68" w:rsidP="001D3FF8" w:rsidRDefault="007B4B68" w14:paraId="2E540C48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hAnsi="Palatino Linotype" w:cs="Arial" w:eastAsiaTheme="minorEastAsia"/>
          <w:b/>
          <w:bCs/>
          <w:sz w:val="20"/>
          <w:szCs w:val="20"/>
        </w:rPr>
        <w:t>6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1D3FF8" w:rsidRDefault="007B4B68" w14:paraId="6967FA99" w14:textId="77777777">
      <w:pPr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627C0D" w14:paraId="2AEAE4FC" w14:textId="77777777">
        <w:tc>
          <w:tcPr>
            <w:tcW w:w="1470" w:type="pct"/>
            <w:shd w:val="pct10" w:color="auto" w:fill="auto"/>
            <w:vAlign w:val="center"/>
          </w:tcPr>
          <w:p w:rsidRPr="00627C0D" w:rsidR="00C0169B" w:rsidP="001D3FF8" w:rsidRDefault="00C0169B" w14:paraId="5505B49E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30" w:type="pct"/>
          </w:tcPr>
          <w:p w:rsidRPr="00627C0D" w:rsidR="00C0169B" w:rsidP="001D3FF8" w:rsidRDefault="0046196E" w14:paraId="56EF06F6" w14:textId="56A14012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46196E">
              <w:rPr>
                <w:rFonts w:ascii="Palatino Linotype" w:hAnsi="Palatino Linotype" w:cs="Arial" w:eastAsiaTheme="minorEastAsia"/>
                <w:b/>
                <w:bCs/>
              </w:rPr>
              <w:t>Komunikační strategie a Vizuální identita města</w:t>
            </w:r>
            <w:bookmarkStart w:name="_GoBack" w:id="0"/>
            <w:bookmarkEnd w:id="0"/>
          </w:p>
        </w:tc>
      </w:tr>
      <w:tr w:rsidRPr="007B4B68" w:rsidR="00C0169B" w:rsidTr="00627C0D" w14:paraId="0C9F2D08" w14:textId="77777777">
        <w:tc>
          <w:tcPr>
            <w:tcW w:w="1470" w:type="pct"/>
            <w:shd w:val="pct10" w:color="auto" w:fill="auto"/>
            <w:vAlign w:val="center"/>
          </w:tcPr>
          <w:p w:rsidRPr="007B4B68" w:rsidR="00C0169B" w:rsidP="001D3FF8" w:rsidRDefault="00C0169B" w14:paraId="105F5451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:rsidRPr="007B4B68" w:rsidR="00C0169B" w:rsidP="001D3FF8" w:rsidRDefault="00C0169B" w14:paraId="343266D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1D3FF8" w:rsidRDefault="00C0169B" w14:paraId="518F3BDC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7054"/>
      </w:tblGrid>
      <w:tr w:rsidRPr="007B4B68" w:rsidR="00F44337" w:rsidTr="001D3FF8" w14:paraId="12414F23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7EF84A59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164939F6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F44337" w:rsidTr="001D3FF8" w14:paraId="7A033209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6E85B11A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19E825EA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F44337" w:rsidTr="001D3FF8" w14:paraId="0783BDB3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67A36DAA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03B31044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F44337" w:rsidTr="001D3FF8" w14:paraId="2D497A40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641129F5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0183831C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F44337" w:rsidTr="001D3FF8" w14:paraId="3EFF909D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D3FF8" w:rsidRDefault="00F44337" w14:paraId="76E3C21D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:rsidRPr="007B4B68" w:rsidR="00F44337" w:rsidP="001D3FF8" w:rsidRDefault="00F44337" w14:paraId="1A9AC836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</w:tbl>
    <w:p w:rsidRPr="00C31308" w:rsidR="007B4B68" w:rsidP="001D3FF8" w:rsidRDefault="007B4B68" w14:paraId="6D5BBE6F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897"/>
        <w:gridCol w:w="6957"/>
      </w:tblGrid>
      <w:tr w:rsidRPr="00627C0D" w:rsidR="00C0169B" w:rsidTr="00842314" w14:paraId="3350AB09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1D3FF8" w:rsidRDefault="00627C0D" w14:paraId="73A59BA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627C0D" w14:paraId="2B433C8A" w14:textId="77777777">
        <w:tc>
          <w:tcPr>
            <w:tcW w:w="1470" w:type="pct"/>
            <w:shd w:val="clear" w:color="auto" w:fill="F2F2F2" w:themeFill="background1" w:themeFillShade="F2"/>
            <w:vAlign w:val="center"/>
          </w:tcPr>
          <w:p w:rsidRPr="007B4B68" w:rsidR="00C0169B" w:rsidP="001D3FF8" w:rsidRDefault="00C0169B" w14:paraId="38BE449F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:rsidRPr="007B4B68" w:rsidR="00C0169B" w:rsidP="001D3FF8" w:rsidRDefault="00C0169B" w14:paraId="765B651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1B41E7A9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1D3FF8" w:rsidRDefault="00627C0D" w14:paraId="4D7651B9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7B4B68" w:rsidR="00627C0D" w:rsidP="001D3FF8" w:rsidRDefault="00627C0D" w14:paraId="4F2A0D0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49D4B755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1D3FF8" w:rsidRDefault="00627C0D" w14:paraId="4A61016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:rsidRPr="00627C0D" w:rsidR="00627C0D" w:rsidP="001D3FF8" w:rsidRDefault="00627C0D" w14:paraId="067ECEEB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79FDBE16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1D3FF8" w:rsidRDefault="00627C0D" w14:paraId="008A06E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:rsidRPr="007B4B68" w:rsidR="00627C0D" w:rsidP="001D3FF8" w:rsidRDefault="00627C0D" w14:paraId="4A38A42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627C0D" w14:paraId="33D402F7" w14:textId="77777777">
        <w:tc>
          <w:tcPr>
            <w:tcW w:w="1470" w:type="pct"/>
            <w:shd w:val="clear" w:color="auto" w:fill="F2F2F2" w:themeFill="background1" w:themeFillShade="F2"/>
          </w:tcPr>
          <w:p w:rsidRPr="007B4B68" w:rsidR="00627C0D" w:rsidP="001D3FF8" w:rsidRDefault="00627C0D" w14:paraId="1672427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:rsidRPr="00627C0D" w:rsidR="00627C0D" w:rsidP="001D3FF8" w:rsidRDefault="00627C0D" w14:paraId="386C751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C51E08" w:rsidR="00C51E08" w:rsidP="001D3FF8" w:rsidRDefault="00627C0D" w14:paraId="678285E2" w14:textId="77777777">
      <w:pPr>
        <w:autoSpaceDE w:val="false"/>
        <w:autoSpaceDN w:val="false"/>
        <w:adjustRightInd w:val="false"/>
        <w:rPr>
          <w:rFonts w:ascii="Palatino Linotype" w:hAnsi="Palatino Linotype" w:cs="Arial"/>
          <w:b/>
          <w:sz w:val="10"/>
          <w:szCs w:val="1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5F0FDE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CF178F" w:rsidR="00627C0D" w:rsidP="001D3FF8" w:rsidRDefault="005F0FDE" w14:paraId="15572C3C" w14:textId="77777777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>:</w:t>
      </w:r>
    </w:p>
    <w:p w:rsidR="00C0169B" w:rsidP="001D3FF8" w:rsidRDefault="00C0169B" w14:paraId="4C48BA4F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hAnsi="Palatino Linotype" w:cs="Arial" w:eastAsiaTheme="minorEastAsia"/>
          <w:bCs/>
          <w:sz w:val="20"/>
          <w:szCs w:val="20"/>
        </w:rPr>
        <w:t>výběrového</w:t>
      </w: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hAnsi="Palatino Linotype" w:cs="Arial" w:eastAsiaTheme="minorEastAsia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:rsidRPr="007B4B68" w:rsidR="00881B18" w:rsidP="001D3FF8" w:rsidRDefault="00881B18" w14:paraId="1D20519A" w14:textId="77777777">
      <w:pPr>
        <w:ind w:left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1D3FF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:rsidRPr="00881B18" w:rsidR="00881B18" w:rsidP="001D3FF8" w:rsidRDefault="00881B18" w14:paraId="7BE73FCF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:rsidRPr="00881B18" w:rsidR="00881B18" w:rsidP="001D3FF8" w:rsidRDefault="00881B18" w14:paraId="7187D13F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:rsidRPr="00A61F69" w:rsidR="00881B18" w:rsidP="001D3FF8" w:rsidRDefault="00881B18" w14:paraId="02735135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:rsidRPr="001D3FF8" w:rsidR="00A61F69" w:rsidP="001D3FF8" w:rsidRDefault="00A61F69" w14:paraId="1CFF0059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false" relativeHeight="251660288" behindDoc="false" locked="true" layoutInCell="true" allowOverlap="true" wp14:anchorId="046E6B73" wp14:editId="1B1CC4A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33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1D3FF8" w:rsidTr="009F4BFA" w14:paraId="5BE5A811" w14:textId="77777777"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1D3FF8" w:rsidP="009F4BFA" w:rsidRDefault="001D3FF8" w14:paraId="7DBD229C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1D3FF8" w:rsidTr="009F4BFA" w14:paraId="361FE15A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1D3FF8" w:rsidP="009F4BFA" w:rsidRDefault="001D3FF8" w14:paraId="146D758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1D3FF8" w:rsidP="009F4BFA" w:rsidRDefault="001D3FF8" w14:paraId="4641D43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1D3FF8" w:rsidP="009F4BFA" w:rsidRDefault="001D3FF8" w14:paraId="66763F1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1D3FF8" w:rsidP="009F4BFA" w:rsidRDefault="001D3FF8" w14:paraId="615ED5F4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1D3FF8" w:rsidP="009F4BFA" w:rsidRDefault="001D3FF8" w14:paraId="0E42DCD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1D3FF8" w:rsidTr="009F4BFA" w14:paraId="5B5E18B9" w14:textId="77777777">
        <w:tc>
          <w:tcPr>
            <w:tcW w:w="2574" w:type="pct"/>
            <w:shd w:val="clear" w:color="auto" w:fill="F2F2F2" w:themeFill="background1" w:themeFillShade="F2"/>
          </w:tcPr>
          <w:p w:rsidRPr="00214F5A" w:rsidR="001D3FF8" w:rsidP="009F4BFA" w:rsidRDefault="001D3FF8" w14:paraId="0015161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1D3FF8" w:rsidP="009F4BFA" w:rsidRDefault="001D3FF8" w14:paraId="43FCFC0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1D3FF8" w:rsidTr="009F4BFA" w14:paraId="7EF9D1C1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1D3FF8" w:rsidP="009F4BFA" w:rsidRDefault="001D3FF8" w14:paraId="43E759CF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:rsidRPr="007B4B68" w:rsidR="001D3FF8" w:rsidP="009F4BFA" w:rsidRDefault="001D3FF8" w14:paraId="1D6D238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1D3FF8" w:rsidTr="005427F7" w14:paraId="5A759B8D" w14:textId="77777777">
        <w:trPr>
          <w:trHeight w:val="757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1D3FF8" w:rsidP="009F4BFA" w:rsidRDefault="001D3FF8" w14:paraId="50F0CAC7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1D3FF8" w:rsidP="009F4BFA" w:rsidRDefault="001D3FF8" w14:paraId="40A0234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</w:tbl>
    <w:p w:rsidRPr="005427F7" w:rsidR="00881B18" w:rsidP="001D3FF8" w:rsidRDefault="00881B18" w14:paraId="6CDD64BC" w14:textId="77777777">
      <w:pPr>
        <w:jc w:val="both"/>
        <w:rPr>
          <w:rFonts w:ascii="Palatino Linotype" w:hAnsi="Palatino Linotype" w:cs="Arial"/>
          <w:sz w:val="2"/>
          <w:szCs w:val="2"/>
        </w:rPr>
      </w:pPr>
    </w:p>
    <w:sectPr w:rsidRPr="005427F7" w:rsidR="00881B18" w:rsidSect="00782EA8">
      <w:headerReference w:type="default" r:id="rId11"/>
      <w:footerReference w:type="default" r:id="rId12"/>
      <w:pgSz w:w="11906" w:h="16838"/>
      <w:pgMar w:top="1418" w:right="1134" w:bottom="284" w:left="1134" w:header="0" w:footer="89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D5F1F" w:rsidP="00193245" w:rsidRDefault="001D5F1F" w14:paraId="7A181619" w14:textId="77777777">
      <w:r>
        <w:separator/>
      </w:r>
    </w:p>
  </w:endnote>
  <w:endnote w:type="continuationSeparator" w:id="0">
    <w:p w:rsidR="001D5F1F" w:rsidP="00193245" w:rsidRDefault="001D5F1F" w14:paraId="789DAEA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E4914" w:rsidR="00CE4914" w:rsidP="00A05FA8" w:rsidRDefault="001D3FF8" w14:paraId="31E65FCB" w14:textId="77777777">
    <w:pPr>
      <w:pStyle w:val="Zpat"/>
      <w:spacing w:before="120"/>
      <w:rPr>
        <w:rFonts w:ascii="Arial" w:hAnsi="Arial" w:cs="Arial"/>
        <w:sz w:val="20"/>
        <w:szCs w:val="20"/>
      </w:rPr>
    </w:pPr>
    <w:r w:rsidRPr="001D3FF8"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6CDDE880" wp14:editId="182D5DC1">
          <wp:simplePos x="0" y="0"/>
          <wp:positionH relativeFrom="column">
            <wp:posOffset>1565910</wp:posOffset>
          </wp:positionH>
          <wp:positionV relativeFrom="paragraph">
            <wp:posOffset>78740</wp:posOffset>
          </wp:positionV>
          <wp:extent cx="2627630" cy="542925"/>
          <wp:effectExtent l="19050" t="0" r="1270" b="0"/>
          <wp:wrapNone/>
          <wp:docPr id="2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D5F1F" w:rsidP="00193245" w:rsidRDefault="001D5F1F" w14:paraId="6E6F3ED3" w14:textId="77777777">
      <w:r>
        <w:separator/>
      </w:r>
    </w:p>
  </w:footnote>
  <w:footnote w:type="continuationSeparator" w:id="0">
    <w:p w:rsidR="001D5F1F" w:rsidP="00193245" w:rsidRDefault="001D5F1F" w14:paraId="2E6E1FE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D3FF8" w:rsidP="001D3FF8" w:rsidRDefault="001D3FF8" w14:paraId="127DAD2F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1"/>
    <w:bookmarkStart w:name="_Hlk38637175" w:id="2"/>
    <w:bookmarkStart w:name="_Hlk38637177" w:id="3"/>
    <w:bookmarkStart w:name="_Hlk38637178" w:id="4"/>
    <w:bookmarkStart w:name="_Hlk42280854" w:id="5"/>
    <w:bookmarkStart w:name="_Hlk42280855" w:id="6"/>
    <w:bookmarkStart w:name="_Hlk42280856" w:id="7"/>
    <w:bookmarkStart w:name="_Hlk42280857" w:id="8"/>
    <w:bookmarkStart w:name="_Hlk42280825" w:id="9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04065EE4" wp14:editId="0372F998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1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162879" w:rsidR="001D3FF8" w:rsidP="001D3FF8" w:rsidRDefault="001D3FF8" w14:paraId="7A69B0F3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 w:rsidRPr="00162879">
      <w:rPr>
        <w:rFonts w:ascii="Century Gothic" w:hAnsi="Century Gothic"/>
        <w:color w:val="1F497D"/>
        <w:sz w:val="20"/>
      </w:rPr>
      <w:t>Veřejná zakázka:</w:t>
    </w:r>
  </w:p>
  <w:p w:rsidRPr="00162879" w:rsidR="001D3FF8" w:rsidP="001D3FF8" w:rsidRDefault="001D3FF8" w14:paraId="43B6420E" w14:textId="5E9B9CDA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162879">
      <w:rPr>
        <w:rFonts w:ascii="Century Gothic" w:hAnsi="Century Gothic"/>
        <w:b/>
        <w:bCs/>
        <w:color w:val="1F497D"/>
        <w:sz w:val="20"/>
      </w:rPr>
      <w:t>„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46196E" w:rsidR="0046196E">
      <w:rPr>
        <w:rFonts w:ascii="Century Gothic" w:hAnsi="Century Gothic"/>
        <w:b/>
        <w:bCs/>
        <w:color w:val="1F497D"/>
        <w:sz w:val="20"/>
      </w:rPr>
      <w:t>Komunikační strategie a Vizuální identita města</w:t>
    </w:r>
    <w:r w:rsidR="0046196E">
      <w:rPr>
        <w:rFonts w:ascii="Century Gothic" w:hAnsi="Century Gothic"/>
        <w:b/>
        <w:bCs/>
        <w:color w:val="1F497D"/>
        <w:sz w:val="20"/>
      </w:rPr>
      <w:t>“</w:t>
    </w:r>
  </w:p>
  <w:p w:rsidRPr="00943784" w:rsidR="001D3FF8" w:rsidP="001D3FF8" w:rsidRDefault="001D3FF8" w14:paraId="4210DC97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93245"/>
    <w:rsid w:val="001C676D"/>
    <w:rsid w:val="001D3FF8"/>
    <w:rsid w:val="001D5F1F"/>
    <w:rsid w:val="001E2C68"/>
    <w:rsid w:val="002B70EF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6196E"/>
    <w:rsid w:val="004A1C74"/>
    <w:rsid w:val="004C066C"/>
    <w:rsid w:val="004D36BC"/>
    <w:rsid w:val="004F4787"/>
    <w:rsid w:val="005427F7"/>
    <w:rsid w:val="00565256"/>
    <w:rsid w:val="00587FD6"/>
    <w:rsid w:val="005C026C"/>
    <w:rsid w:val="005E3917"/>
    <w:rsid w:val="005E4916"/>
    <w:rsid w:val="005F0FDE"/>
    <w:rsid w:val="00605C20"/>
    <w:rsid w:val="00627C0D"/>
    <w:rsid w:val="006335C5"/>
    <w:rsid w:val="006B6E53"/>
    <w:rsid w:val="007425B3"/>
    <w:rsid w:val="00765701"/>
    <w:rsid w:val="00782EA8"/>
    <w:rsid w:val="00795F2B"/>
    <w:rsid w:val="007B4B68"/>
    <w:rsid w:val="007C1442"/>
    <w:rsid w:val="007E4D1B"/>
    <w:rsid w:val="00853BDB"/>
    <w:rsid w:val="00881B18"/>
    <w:rsid w:val="00890E88"/>
    <w:rsid w:val="00905516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52F52"/>
    <w:rsid w:val="00BB5E5D"/>
    <w:rsid w:val="00C0169B"/>
    <w:rsid w:val="00C200E5"/>
    <w:rsid w:val="00C31308"/>
    <w:rsid w:val="00C31F4A"/>
    <w:rsid w:val="00C51E08"/>
    <w:rsid w:val="00CE4914"/>
    <w:rsid w:val="00D05E4A"/>
    <w:rsid w:val="00D067A0"/>
    <w:rsid w:val="00D144D0"/>
    <w:rsid w:val="00D55A51"/>
    <w:rsid w:val="00D92DBF"/>
    <w:rsid w:val="00D94210"/>
    <w:rsid w:val="00DE0EF4"/>
    <w:rsid w:val="00E0558A"/>
    <w:rsid w:val="00E25A3A"/>
    <w:rsid w:val="00E31AE7"/>
    <w:rsid w:val="00E550A5"/>
    <w:rsid w:val="00E81513"/>
    <w:rsid w:val="00EE66D2"/>
    <w:rsid w:val="00F05BC4"/>
    <w:rsid w:val="00F44337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04E3A65B"/>
  <w15:docId w15:val="{BB489561-F33B-4A7D-BBE1-BC80DA7FD9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F44337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media/image1.jpeg" Type="http://schemas.openxmlformats.org/officeDocument/2006/relationships/image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_rels/foot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477</properties:Words>
  <properties:Characters>2817</properties:Characters>
  <properties:Lines>23</properties:Lines>
  <properties:Paragraphs>6</properties:Paragraphs>
  <properties:TotalTime>56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3288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2020-12-10T14:06:00Z</dcterms:modified>
  <cp:revision>26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