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F2507" w:rsidR="00AB1224" w:rsidP="00AB1224" w:rsidRDefault="00AB1224">
      <w:pPr>
        <w:spacing w:after="160" w:line="259" w:lineRule="auto"/>
        <w:jc w:val="center"/>
        <w:rPr>
          <w:rFonts w:ascii="Calibri" w:hAnsi="Calibri" w:cs="Calibri"/>
          <w:b/>
          <w:sz w:val="28"/>
        </w:rPr>
      </w:pPr>
      <w:r w:rsidRPr="00FF2507">
        <w:rPr>
          <w:rFonts w:ascii="Calibri" w:hAnsi="Calibri" w:cs="Calibri"/>
        </w:rPr>
        <w:t xml:space="preserve">Příloha č. </w:t>
      </w:r>
      <w:r>
        <w:rPr>
          <w:rFonts w:ascii="Calibri" w:hAnsi="Calibri" w:cs="Calibri"/>
        </w:rPr>
        <w:t xml:space="preserve">3 </w:t>
      </w:r>
      <w:r w:rsidRPr="00FF2507">
        <w:rPr>
          <w:rFonts w:ascii="Calibri" w:hAnsi="Calibri" w:cs="Calibri"/>
        </w:rPr>
        <w:t>výběrového řízení s názvem „Sušičky na zemědělské produkty (Pořízení lyofilizátorů s příslušenstvím)“ na zakázku malého rozsahu na dodávku</w:t>
      </w:r>
    </w:p>
    <w:p w:rsidRPr="00101560" w:rsidR="00AB1224" w:rsidP="00AB1224" w:rsidRDefault="00AB1224">
      <w:pPr>
        <w:pStyle w:val="Zhlav"/>
        <w:ind w:left="720"/>
        <w:jc w:val="center"/>
        <w:rPr>
          <w:rFonts w:ascii="Calibri" w:hAnsi="Calibri" w:cs="Calibri"/>
          <w:b/>
          <w:sz w:val="26"/>
          <w:szCs w:val="26"/>
          <w:lang w:val="cs-CZ"/>
        </w:rPr>
      </w:pPr>
      <w:r w:rsidRPr="00101560">
        <w:rPr>
          <w:rFonts w:ascii="Calibri" w:hAnsi="Calibri" w:cs="Calibri"/>
          <w:b/>
          <w:sz w:val="26"/>
          <w:szCs w:val="26"/>
          <w:lang w:val="cs-CZ"/>
        </w:rPr>
        <w:t>Čestné prohlášení o naplnění zásad sociálně a environmentálně odpovědného  zadávání a inovací</w:t>
      </w:r>
    </w:p>
    <w:p w:rsidRPr="008F1532" w:rsidR="00AB1224" w:rsidP="00AB1224" w:rsidRDefault="00AB1224">
      <w:pPr>
        <w:pStyle w:val="Default"/>
        <w:spacing w:after="250"/>
        <w:jc w:val="both"/>
        <w:rPr>
          <w:rFonts w:asciiTheme="minorHAnsi" w:hAnsiTheme="minorHAnsi" w:cstheme="minorHAnsi"/>
          <w:sz w:val="22"/>
          <w:szCs w:val="22"/>
        </w:rPr>
      </w:pPr>
      <w:r w:rsidRPr="008F1532">
        <w:rPr>
          <w:rFonts w:asciiTheme="minorHAnsi" w:hAnsiTheme="minorHAnsi" w:cstheme="minorHAnsi"/>
          <w:sz w:val="22"/>
          <w:szCs w:val="22"/>
        </w:rPr>
        <w:t>Za níže podepsaného uchazeče prohlašuji, že</w:t>
      </w:r>
    </w:p>
    <w:p w:rsidR="00AB1224" w:rsidP="00AB1224" w:rsidRDefault="00AB1224">
      <w:pPr>
        <w:pStyle w:val="Default"/>
        <w:numPr>
          <w:ilvl w:val="0"/>
          <w:numId w:val="1"/>
        </w:numPr>
        <w:spacing w:after="2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8F1532">
        <w:rPr>
          <w:rFonts w:asciiTheme="minorHAnsi" w:hAnsiTheme="minorHAnsi" w:cstheme="minorHAnsi"/>
          <w:sz w:val="22"/>
          <w:szCs w:val="22"/>
        </w:rPr>
        <w:t xml:space="preserve">chazeč </w:t>
      </w:r>
      <w:r w:rsidRPr="00FC2E77">
        <w:rPr>
          <w:rFonts w:asciiTheme="minorHAnsi" w:hAnsiTheme="minorHAnsi" w:cstheme="minorHAnsi"/>
          <w:i/>
          <w:sz w:val="22"/>
          <w:szCs w:val="22"/>
          <w:u w:val="single"/>
        </w:rPr>
        <w:t>zaměstnává / nezaměstnává</w:t>
      </w:r>
      <w:r w:rsidRPr="008F1532">
        <w:rPr>
          <w:rFonts w:asciiTheme="minorHAnsi" w:hAnsiTheme="minorHAnsi" w:cstheme="minorHAnsi"/>
          <w:sz w:val="22"/>
          <w:szCs w:val="22"/>
        </w:rPr>
        <w:t xml:space="preserve"> osoby znevýhodněné na trhu práce</w:t>
      </w:r>
      <w:r>
        <w:rPr>
          <w:rFonts w:asciiTheme="minorHAnsi" w:hAnsiTheme="minorHAnsi" w:cstheme="minorHAnsi"/>
          <w:sz w:val="22"/>
          <w:szCs w:val="22"/>
        </w:rPr>
        <w:t xml:space="preserve"> (uchazeči o </w:t>
      </w:r>
      <w:r w:rsidRPr="00293681">
        <w:rPr>
          <w:rFonts w:asciiTheme="minorHAnsi" w:hAnsiTheme="minorHAnsi" w:cstheme="minorHAnsi"/>
          <w:sz w:val="22"/>
          <w:szCs w:val="22"/>
        </w:rPr>
        <w:t>zaměstnání evidovaní na Úřadu práce ČR déle než 1 rok; či uchazeči o zaměstnání, kteří mají opakovaně problém s uplatněním na trhu práce, jejichž doba evidence na Úřadu práce ČR dosáhla v posledních dvou letech v součtu délky minimálně 12 měsíců; osoby, které opustily výkon trestu do 12 měsíců od ukončení výkonu trestu, a osoby vykonávající trest odnětí svobody formou domácího vězení; osoby, které opustily zařízení pro výkon ústavní nebo ochranné výchovy do 12 měsíců od opuštění zařízení; osoby s</w:t>
      </w:r>
      <w:r>
        <w:rPr>
          <w:rFonts w:asciiTheme="minorHAnsi" w:hAnsiTheme="minorHAnsi" w:cstheme="minorHAnsi"/>
          <w:sz w:val="22"/>
          <w:szCs w:val="22"/>
        </w:rPr>
        <w:t>e zdravotním postižením podle § </w:t>
      </w:r>
      <w:r w:rsidRPr="00293681">
        <w:rPr>
          <w:rFonts w:asciiTheme="minorHAnsi" w:hAnsiTheme="minorHAnsi" w:cstheme="minorHAnsi"/>
          <w:sz w:val="22"/>
          <w:szCs w:val="22"/>
        </w:rPr>
        <w:t>67 zákona č. 435/2004 Sb., o zaměstnanosti, ve znění pozdějších předpisů, azylanti do 12 měsíců od získání azylu, kteří jsou současně uchazeči o zaměstnání evidovanými na Úřadu práce ČR apod.)</w:t>
      </w:r>
      <w:r>
        <w:rPr>
          <w:rFonts w:asciiTheme="minorHAnsi" w:hAnsiTheme="minorHAnsi" w:cstheme="minorHAnsi"/>
          <w:sz w:val="22"/>
          <w:szCs w:val="22"/>
        </w:rPr>
        <w:t>. Jedná se o ...</w:t>
      </w:r>
      <w:r w:rsidRPr="00FC2E77">
        <w:rPr>
          <w:rFonts w:asciiTheme="minorHAnsi" w:hAnsiTheme="minorHAnsi" w:cstheme="minorHAnsi"/>
          <w:i/>
          <w:sz w:val="22"/>
          <w:szCs w:val="22"/>
          <w:u w:val="single"/>
        </w:rPr>
        <w:t>doplňte počet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 daných pracovníků</w:t>
      </w:r>
      <w:r>
        <w:rPr>
          <w:rFonts w:asciiTheme="minorHAnsi" w:hAnsiTheme="minorHAnsi" w:cstheme="minorHAnsi"/>
          <w:sz w:val="22"/>
          <w:szCs w:val="22"/>
        </w:rPr>
        <w:t>… pracovníka / pracovníky, jejichž pracovněprávní vztah s uchazečem trvá a jehož / jejichž výše úvazku v měsíci předcházejícím podání nabídky činila …</w:t>
      </w:r>
      <w:r w:rsidRPr="00FC2E77">
        <w:rPr>
          <w:rFonts w:asciiTheme="minorHAnsi" w:hAnsiTheme="minorHAnsi" w:cstheme="minorHAnsi"/>
          <w:i/>
          <w:sz w:val="22"/>
          <w:szCs w:val="22"/>
          <w:u w:val="single"/>
        </w:rPr>
        <w:t>doplňte celkovou výši úvazku daného pracovníka / daných pracovníků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Pr="00AB1224" w:rsidR="00AB1224" w:rsidP="00AB1224" w:rsidRDefault="00AB1224">
      <w:pPr>
        <w:pStyle w:val="Default"/>
        <w:numPr>
          <w:ilvl w:val="0"/>
          <w:numId w:val="1"/>
        </w:numPr>
        <w:spacing w:after="250"/>
        <w:jc w:val="both"/>
        <w:rPr>
          <w:rFonts w:asciiTheme="minorHAnsi" w:hAnsiTheme="minorHAnsi" w:cstheme="minorHAnsi"/>
          <w:sz w:val="22"/>
          <w:szCs w:val="22"/>
        </w:rPr>
      </w:pPr>
      <w:r w:rsidRPr="00AB1224">
        <w:rPr>
          <w:rFonts w:asciiTheme="minorHAnsi" w:hAnsiTheme="minorHAnsi" w:cstheme="minorHAnsi"/>
          <w:sz w:val="22"/>
          <w:szCs w:val="22"/>
        </w:rPr>
        <w:t>Uchazeč zajistí dodání předmětu zakázky buď do sídla zadavatele vozidlem splňujícím emisní normu EURO 6, nebo prostřednictvím železniční přepravy z místa umožňujícího nakládku na železnici, které je nejblíže místu, ze kterého bude předmět zaká</w:t>
      </w:r>
      <w:r>
        <w:rPr>
          <w:rFonts w:asciiTheme="minorHAnsi" w:hAnsiTheme="minorHAnsi" w:cstheme="minorHAnsi"/>
          <w:sz w:val="22"/>
          <w:szCs w:val="22"/>
        </w:rPr>
        <w:t>zky distribuován, do Jičína. Ve </w:t>
      </w:r>
      <w:r w:rsidRPr="00AB1224">
        <w:rPr>
          <w:rFonts w:asciiTheme="minorHAnsi" w:hAnsiTheme="minorHAnsi" w:cstheme="minorHAnsi"/>
          <w:sz w:val="22"/>
          <w:szCs w:val="22"/>
        </w:rPr>
        <w:t xml:space="preserve">vlakové stanici Jičín bude předmět zakázky převzat zadavatelem, jeho převoz do sídla zadavatele zajistí sám zadavatel. Uchazeč následně zajistí instalaci předmětu zakázky v sídle zadavatele.  </w:t>
      </w:r>
    </w:p>
    <w:p w:rsidRPr="00BC0D82" w:rsidR="00AB1224" w:rsidP="00AB1224" w:rsidRDefault="00AB1224">
      <w:pPr>
        <w:pStyle w:val="Default"/>
        <w:numPr>
          <w:ilvl w:val="0"/>
          <w:numId w:val="1"/>
        </w:numPr>
        <w:spacing w:after="250"/>
        <w:jc w:val="both"/>
        <w:rPr>
          <w:rFonts w:ascii="Calibri" w:hAnsi="Calibri" w:cs="Calibri"/>
          <w:b/>
          <w:color w:val="auto"/>
          <w:sz w:val="28"/>
        </w:rPr>
      </w:pPr>
      <w:r w:rsidRPr="004315A3">
        <w:rPr>
          <w:rFonts w:asciiTheme="minorHAnsi" w:hAnsiTheme="minorHAnsi" w:cstheme="minorHAnsi"/>
          <w:sz w:val="22"/>
          <w:szCs w:val="22"/>
        </w:rPr>
        <w:t xml:space="preserve">Uchazeč </w:t>
      </w:r>
      <w:r>
        <w:rPr>
          <w:rFonts w:asciiTheme="minorHAnsi" w:hAnsiTheme="minorHAnsi" w:cstheme="minorHAnsi"/>
          <w:sz w:val="22"/>
          <w:szCs w:val="22"/>
        </w:rPr>
        <w:t xml:space="preserve">zdarma </w:t>
      </w:r>
      <w:r w:rsidRPr="004315A3">
        <w:rPr>
          <w:rFonts w:asciiTheme="minorHAnsi" w:hAnsiTheme="minorHAnsi" w:cstheme="minorHAnsi"/>
          <w:sz w:val="22"/>
          <w:szCs w:val="22"/>
        </w:rPr>
        <w:t>zajistí v záruční době průběžné zaškolování vybraných pracovníků zadavatele (pracovníci znevýhodnění na trhu práce - osoby se zdravotním omezením) v oblasti obsluhy, údržby a oprav předmětu zakázky</w:t>
      </w:r>
      <w:r>
        <w:rPr>
          <w:rFonts w:asciiTheme="minorHAnsi" w:hAnsiTheme="minorHAnsi" w:cstheme="minorHAnsi"/>
          <w:sz w:val="22"/>
          <w:szCs w:val="22"/>
        </w:rPr>
        <w:t>. Tím dojde k</w:t>
      </w:r>
      <w:r w:rsidRPr="004315A3">
        <w:rPr>
          <w:rFonts w:asciiTheme="minorHAnsi" w:hAnsiTheme="minorHAnsi" w:cstheme="minorHAnsi"/>
          <w:sz w:val="22"/>
          <w:szCs w:val="22"/>
        </w:rPr>
        <w:t xml:space="preserve"> předání know-how uchazeče a ke zvýšení schopností zaměstnanců zadavatele v oblasti údržby a možností oprav předmětu zakázky vlastními silami po skončení záruční doby a tedy ke zvýšení jejich kvalifikace a uplatnitelnosti na trhu práce. Vzdělávání bude poskytnuto ve výši 16 hodi</w:t>
      </w:r>
      <w:r>
        <w:rPr>
          <w:rFonts w:asciiTheme="minorHAnsi" w:hAnsiTheme="minorHAnsi" w:cstheme="minorHAnsi"/>
          <w:sz w:val="22"/>
          <w:szCs w:val="22"/>
        </w:rPr>
        <w:t>n v každém kalendářním roce, ve </w:t>
      </w:r>
      <w:r w:rsidRPr="004315A3">
        <w:rPr>
          <w:rFonts w:asciiTheme="minorHAnsi" w:hAnsiTheme="minorHAnsi" w:cstheme="minorHAnsi"/>
          <w:sz w:val="22"/>
          <w:szCs w:val="22"/>
        </w:rPr>
        <w:t xml:space="preserve">kterém běží záruka na předmět zakázky.   </w:t>
      </w:r>
    </w:p>
    <w:p w:rsidR="00AB1224" w:rsidP="00AB1224" w:rsidRDefault="00AB1224">
      <w:pPr>
        <w:pStyle w:val="Default"/>
        <w:spacing w:after="25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61DD9" w:rsidP="00061DD9" w:rsidRDefault="00061DD9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 ………. dne……..</w:t>
      </w:r>
    </w:p>
    <w:p w:rsidR="00061DD9" w:rsidP="00AB1224" w:rsidRDefault="00061DD9">
      <w:pPr>
        <w:pStyle w:val="Default"/>
        <w:spacing w:after="250"/>
        <w:ind w:left="720"/>
        <w:jc w:val="both"/>
        <w:rPr>
          <w:rFonts w:ascii="Calibri" w:hAnsi="Calibri" w:cs="Tahoma"/>
          <w:sz w:val="22"/>
          <w:szCs w:val="22"/>
        </w:rPr>
      </w:pPr>
    </w:p>
    <w:p w:rsidR="00061DD9" w:rsidP="00AB1224" w:rsidRDefault="00061DD9">
      <w:pPr>
        <w:pStyle w:val="Default"/>
        <w:spacing w:after="250"/>
        <w:ind w:left="720"/>
        <w:jc w:val="both"/>
        <w:rPr>
          <w:rFonts w:ascii="Calibri" w:hAnsi="Calibri" w:cs="Tahoma"/>
          <w:sz w:val="22"/>
          <w:szCs w:val="22"/>
        </w:rPr>
      </w:pPr>
    </w:p>
    <w:p w:rsidRPr="00061DD9" w:rsidR="00061DD9" w:rsidP="00AB1224" w:rsidRDefault="00061DD9">
      <w:pPr>
        <w:pStyle w:val="Default"/>
        <w:spacing w:after="250"/>
        <w:ind w:left="720"/>
        <w:jc w:val="both"/>
        <w:rPr>
          <w:rFonts w:ascii="Calibri" w:hAnsi="Calibri" w:cs="Tahoma"/>
          <w:sz w:val="22"/>
          <w:szCs w:val="22"/>
        </w:rPr>
      </w:pPr>
    </w:p>
    <w:p w:rsidR="00AB1224" w:rsidP="00061DD9" w:rsidRDefault="00AB1224">
      <w:pPr>
        <w:pStyle w:val="Default"/>
        <w:spacing w:after="250"/>
        <w:ind w:left="2136" w:firstLine="696"/>
        <w:jc w:val="both"/>
        <w:rPr>
          <w:rFonts w:asciiTheme="minorHAnsi" w:hAnsiTheme="minorHAnsi" w:cstheme="minorHAnsi"/>
          <w:sz w:val="22"/>
          <w:szCs w:val="22"/>
        </w:rPr>
      </w:pPr>
      <w:bookmarkStart w:name="_GoBack" w:id="0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Pr="00FC2E77" w:rsidR="00AB1224" w:rsidP="00061DD9" w:rsidRDefault="00AB1224">
      <w:pPr>
        <w:pStyle w:val="Default"/>
        <w:spacing w:after="250"/>
        <w:ind w:left="2136" w:firstLine="696"/>
        <w:jc w:val="both"/>
        <w:rPr>
          <w:rFonts w:ascii="Calibri" w:hAnsi="Calibri" w:cs="Calibri"/>
          <w:b/>
          <w:color w:val="auto"/>
          <w:sz w:val="28"/>
        </w:rPr>
      </w:pPr>
      <w:r w:rsidRPr="00D515F2">
        <w:rPr>
          <w:rFonts w:ascii="Calibri" w:hAnsi="Calibri" w:cs="Tahoma"/>
          <w:sz w:val="22"/>
          <w:szCs w:val="22"/>
        </w:rPr>
        <w:t>podpis osoby oprávněné jednat jménem či za uchazeče</w:t>
      </w:r>
    </w:p>
    <w:p w:rsidR="004525AC" w:rsidRDefault="004525AC"/>
    <w:sectPr w:rsidR="0045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E884F2A"/>
    <w:multiLevelType w:val="hybridMultilevel"/>
    <w:tmpl w:val="C38A04E2"/>
    <w:lvl w:ilvl="0" w:tplc="D626EB10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sz w:val="24"/>
        <w:szCs w:val="24"/>
      </w:rPr>
    </w:lvl>
    <w:lvl w:ilvl="1" w:tplc="37ECEA6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eastAsiaTheme="minorHAnsi" w:cstheme="minorHAnsi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05EF8"/>
    <w:multiLevelType w:val="hybridMultilevel"/>
    <w:tmpl w:val="3A16A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24"/>
    <w:rsid w:val="00061DD9"/>
    <w:rsid w:val="004525AC"/>
    <w:rsid w:val="00A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57F75CC"/>
  <w15:docId w15:val="{2E51555B-9FD8-4736-BA7A-50446DAFCF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B12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AB1224"/>
    <w:pPr>
      <w:autoSpaceDE w:val="false"/>
      <w:autoSpaceDN w:val="false"/>
      <w:adjustRightInd w:val="false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1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2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B1224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B1224"/>
    <w:pPr>
      <w:tabs>
        <w:tab w:val="center" w:pos="4536"/>
        <w:tab w:val="right" w:pos="9072"/>
      </w:tabs>
      <w:spacing w:before="100" w:beforeAutospacing="true" w:after="100" w:afterAutospacing="true"/>
      <w:ind w:left="1701" w:right="1134"/>
      <w:contextualSpacing/>
    </w:pPr>
    <w:rPr>
      <w:rFonts w:ascii="Arial" w:hAnsi="Arial" w:eastAsia="MS Mincho"/>
      <w:sz w:val="20"/>
      <w:lang w:val="x-none" w:eastAsia="ja-JP"/>
    </w:rPr>
  </w:style>
  <w:style w:type="character" w:styleId="ZhlavChar" w:customStyle="true">
    <w:name w:val="Záhlaví Char"/>
    <w:basedOn w:val="Standardnpsmoodstavce"/>
    <w:link w:val="Zhlav"/>
    <w:uiPriority w:val="99"/>
    <w:rsid w:val="00AB1224"/>
    <w:rPr>
      <w:rFonts w:ascii="Arial" w:hAnsi="Arial" w:eastAsia="MS Mincho" w:cs="Times New Roman"/>
      <w:sz w:val="20"/>
      <w:szCs w:val="24"/>
      <w:lang w:val="x-none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22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122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363</properties:Words>
  <properties:Characters>2145</properties:Characters>
  <properties:Lines>17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2021-03-12T15:11:00Z</dcterms:created>
  <dc:creator/>
  <dc:description/>
  <cp:keywords/>
  <cp:lastModifiedBy/>
  <dcterms:modified xmlns:xsi="http://www.w3.org/2001/XMLSchema-instance" xsi:type="dcterms:W3CDTF">2021-06-02T08:42:00Z</dcterms:modified>
  <cp:revision>2</cp:revision>
  <dc:subject/>
  <dc:title/>
</cp:coreProperties>
</file>