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830"/>
        </w:tabs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Formulář pro nabídkovou cenu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předkládaný v rámci poptávkového řízení s názvem „Zajišťování odborných školení v oblasti srozumitelné komunikace“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0"/>
        <w:gridCol w:w="4530"/>
        <w:tblGridChange w:id="0">
          <w:tblGrid>
            <w:gridCol w:w="4530"/>
            <w:gridCol w:w="4530"/>
          </w:tblGrid>
        </w:tblGridChange>
      </w:tblGrid>
      <w:tr>
        <w:trPr>
          <w:cantSplit w:val="0"/>
          <w:trHeight w:val="518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spacing w:before="120"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Údaj doplněný dodavatelem</w:t>
            </w:r>
          </w:p>
        </w:tc>
      </w:tr>
      <w:tr>
        <w:trPr>
          <w:cantSplit w:val="0"/>
          <w:trHeight w:val="554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Nabídková cena za školící jednotku (= 4 hodiny, 1 hodina = 60 minut) včetně DPH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[DOPLNIT cenu]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Nabídková cena za školící jednotku (= 4 hodiny, 1 hodina =  60 minut) bez DPH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[DOPLNIT cenu]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Dodavatel je plátcem DPH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before="12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[ANO / NE]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after="240" w:line="276" w:lineRule="auto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2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V ………………… dne:</w:t>
      </w:r>
    </w:p>
    <w:p w:rsidR="00000000" w:rsidDel="00000000" w:rsidP="00000000" w:rsidRDefault="00000000" w:rsidRPr="00000000" w14:paraId="00000011">
      <w:pPr>
        <w:ind w:left="5400" w:hanging="708.0000000000001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2">
      <w:pPr>
        <w:ind w:left="57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dodavatel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1134" w:top="2268" w:left="1418" w:right="1418" w:header="709" w:footer="48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tabs>
        <w:tab w:val="center" w:pos="4536"/>
        <w:tab w:val="right" w:pos="9072"/>
      </w:tabs>
      <w:jc w:val="right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tabs>
        <w:tab w:val="center" w:pos="4536"/>
        <w:tab w:val="right" w:pos="9072"/>
      </w:tabs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ab/>
      <w:t xml:space="preserve">Strana </w:t>
    </w:r>
    <w:r w:rsidDel="00000000" w:rsidR="00000000" w:rsidRPr="00000000">
      <w:rPr>
        <w:rFonts w:ascii="Calibri" w:cs="Calibri" w:eastAsia="Calibri" w:hAnsi="Calibri"/>
        <w:b w:val="1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 ze </w:t>
    </w:r>
    <w:r w:rsidDel="00000000" w:rsidR="00000000" w:rsidRPr="00000000">
      <w:rPr>
        <w:rFonts w:ascii="Calibri" w:cs="Calibri" w:eastAsia="Calibri" w:hAnsi="Calibri"/>
        <w:b w:val="1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1"/>
        <w:sz w:val="16"/>
        <w:szCs w:val="16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tabs>
        <w:tab w:val="center" w:pos="4536"/>
        <w:tab w:val="right" w:pos="9072"/>
      </w:tabs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tabs>
        <w:tab w:val="center" w:pos="4536"/>
        <w:tab w:val="right" w:pos="9072"/>
      </w:tabs>
      <w:ind w:right="360"/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 Nabídková cena za 1 školící jednotku nesmí přesáhnout 12 000 Kč bez DPH, v případě překročení této ceny bude nabídka dodavatele vyloučena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line="360" w:lineRule="auto"/>
      <w:jc w:val="right"/>
      <w:rPr/>
    </w:pPr>
    <w:r w:rsidDel="00000000" w:rsidR="00000000" w:rsidRPr="00000000">
      <w:rPr>
        <w:rtl w:val="0"/>
      </w:rPr>
      <w:tab/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-876290</wp:posOffset>
          </wp:positionH>
          <wp:positionV relativeFrom="paragraph">
            <wp:posOffset>-470527</wp:posOffset>
          </wp:positionV>
          <wp:extent cx="1439545" cy="1439545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spacing w:line="36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spacing w:line="36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spacing w:line="36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tabs>
        <w:tab w:val="center" w:pos="4536"/>
        <w:tab w:val="right" w:pos="9072"/>
      </w:tabs>
      <w:rPr/>
    </w:pPr>
    <w:r w:rsidDel="00000000" w:rsidR="00000000" w:rsidRPr="00000000">
      <w:rPr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="276" w:lineRule="auto"/>
    </w:pPr>
    <w:rPr>
      <w:rFonts w:ascii="Cambria" w:cs="Cambria" w:eastAsia="Cambria" w:hAnsi="Cambria"/>
      <w:smallCaps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