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AD050D" w:rsidR="00AD050D" w:rsidP="00AD050D" w:rsidRDefault="00AD050D">
      <w:pPr>
        <w:spacing w:after="0" w:line="276" w:lineRule="auto"/>
        <w:jc w:val="center"/>
        <w:rPr>
          <w:rFonts w:ascii="Tahoma" w:hAnsi="Tahoma" w:eastAsia="Times New Roman" w:cs="Tahoma"/>
          <w:b/>
          <w:sz w:val="24"/>
          <w:szCs w:val="24"/>
          <w:lang w:eastAsia="cs-CZ"/>
        </w:rPr>
      </w:pPr>
      <w:r w:rsidRPr="00AD050D">
        <w:rPr>
          <w:rFonts w:ascii="Tahoma" w:hAnsi="Tahoma" w:eastAsia="Times New Roman" w:cs="Tahoma"/>
          <w:b/>
          <w:sz w:val="24"/>
          <w:szCs w:val="24"/>
          <w:lang w:eastAsia="cs-CZ"/>
        </w:rPr>
        <w:t>KUPNÍ SMLOUVA</w:t>
      </w:r>
    </w:p>
    <w:p w:rsidRPr="00AD050D" w:rsidR="00AD050D" w:rsidP="00AD050D" w:rsidRDefault="00AD050D">
      <w:pPr>
        <w:spacing w:before="120" w:after="0" w:line="276" w:lineRule="auto"/>
        <w:jc w:val="center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 xml:space="preserve">uzavřená dle ust. § </w:t>
      </w:r>
      <w:smartTag w:uri="urn:schemas-microsoft-com:office:smarttags" w:element="metricconverter">
        <w:smartTagPr>
          <w:attr w:name="ProductID" w:val="2079 a"/>
        </w:smartTagPr>
        <w:r w:rsidRPr="00AD050D">
          <w:rPr>
            <w:rFonts w:ascii="Tahoma" w:hAnsi="Tahoma" w:eastAsia="Times New Roman" w:cs="Tahoma"/>
            <w:sz w:val="20"/>
            <w:szCs w:val="20"/>
            <w:lang w:eastAsia="cs-CZ"/>
          </w:rPr>
          <w:t>2079 a</w:t>
        </w:r>
      </w:smartTag>
      <w:r w:rsidRPr="00AD050D">
        <w:rPr>
          <w:rFonts w:ascii="Tahoma" w:hAnsi="Tahoma" w:eastAsia="Times New Roman" w:cs="Tahoma"/>
          <w:sz w:val="20"/>
          <w:szCs w:val="20"/>
          <w:lang w:eastAsia="cs-CZ"/>
        </w:rPr>
        <w:t xml:space="preserve"> násl. zák. č. 89/2012 Sb., občanský zákoník, ve znění pozdějších předpisů (dále jen „</w:t>
      </w: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občanský zákoník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“ a „</w:t>
      </w: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smlouva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“), mezi smluvními stranami:</w:t>
      </w:r>
    </w:p>
    <w:p w:rsidRPr="00AD050D" w:rsidR="00AD050D" w:rsidP="00AD050D" w:rsidRDefault="00AD050D">
      <w:pPr>
        <w:spacing w:before="600" w:after="0" w:line="240" w:lineRule="auto"/>
        <w:rPr>
          <w:rFonts w:ascii="Tahoma" w:hAnsi="Tahoma" w:eastAsia="Times New Roman" w:cs="Tahoma"/>
          <w:b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Městská část Praha 14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se sídlem: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  <w:t xml:space="preserve">Bratří Venclíků 1073, Praha 9 – Černý Most 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IČO: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  <w:t>00231312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DIČ: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  <w:t xml:space="preserve">CZ00231312 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zastoupená: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  <w:t>Jiřím Zajacem, starostou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bankovní spojení: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  <w:t>PPF banka, a. s., Praha 6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číslo účtu: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  <w:t>27–9800050998/6000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kontaktní osoba: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  <w:t>Ing. Martin Dušek, vedoucí OIKT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e-mail / tel.: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hyperlink w:history="true" r:id="rId5">
        <w:r w:rsidRPr="00AD050D">
          <w:rPr>
            <w:rFonts w:ascii="Tahoma" w:hAnsi="Tahoma" w:eastAsia="Times New Roman" w:cs="Tahoma"/>
            <w:color w:val="0563C1" w:themeColor="hyperlink"/>
            <w:sz w:val="20"/>
            <w:szCs w:val="20"/>
            <w:u w:val="single"/>
            <w:lang w:eastAsia="cs-CZ"/>
          </w:rPr>
          <w:t>Martin.Dusek@praha14.cz</w:t>
        </w:r>
      </w:hyperlink>
      <w:r w:rsidRPr="00AD050D">
        <w:rPr>
          <w:rFonts w:ascii="Tahoma" w:hAnsi="Tahoma" w:eastAsia="Times New Roman" w:cs="Tahoma"/>
          <w:sz w:val="20"/>
          <w:szCs w:val="20"/>
          <w:lang w:eastAsia="cs-CZ"/>
        </w:rPr>
        <w:t xml:space="preserve"> / 281005203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(dále jen „</w:t>
      </w: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kupující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“)</w:t>
      </w:r>
    </w:p>
    <w:p w:rsidRPr="00AD050D" w:rsidR="00AD050D" w:rsidP="00AD050D" w:rsidRDefault="00AD050D">
      <w:pPr>
        <w:spacing w:before="240" w:after="24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a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b/>
          <w:bCs/>
          <w:sz w:val="20"/>
          <w:szCs w:val="20"/>
          <w:highlight w:val="yellow"/>
          <w:lang w:eastAsia="cs-CZ"/>
        </w:rPr>
      </w:pPr>
      <w:r w:rsidRPr="00AD050D">
        <w:rPr>
          <w:rFonts w:ascii="Tahoma" w:hAnsi="Tahoma" w:eastAsia="Times New Roman" w:cs="Tahoma"/>
          <w:b/>
          <w:bCs/>
          <w:sz w:val="20"/>
          <w:szCs w:val="20"/>
          <w:highlight w:val="yellow"/>
          <w:lang w:eastAsia="cs-CZ"/>
        </w:rPr>
        <w:t>SUBJEKT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zapsaný/á v: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highlight w:val="yellow"/>
          <w:lang w:eastAsia="cs-CZ"/>
        </w:rPr>
        <w:t>………………………………………………………………….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highlight w:val="yellow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se sídlem: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highlight w:val="yellow"/>
          <w:lang w:eastAsia="cs-CZ"/>
        </w:rPr>
        <w:t>………………………………………………………………….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highlight w:val="yellow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IČO: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highlight w:val="yellow"/>
          <w:lang w:eastAsia="cs-CZ"/>
        </w:rPr>
        <w:t>………………………………………………………………….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highlight w:val="yellow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DIČ: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highlight w:val="yellow"/>
          <w:lang w:eastAsia="cs-CZ"/>
        </w:rPr>
        <w:t>………………………………………………………………….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highlight w:val="yellow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zastoupený/á: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highlight w:val="yellow"/>
          <w:lang w:eastAsia="cs-CZ"/>
        </w:rPr>
        <w:t>………………………………………………………………….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highlight w:val="yellow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bankovní spojení: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highlight w:val="yellow"/>
          <w:lang w:eastAsia="cs-CZ"/>
        </w:rPr>
        <w:t>………………………………………………………………….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highlight w:val="yellow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číslo účtu: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highlight w:val="yellow"/>
          <w:lang w:eastAsia="cs-CZ"/>
        </w:rPr>
        <w:t>………………………………………………………………….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highlight w:val="yellow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kontaktní osoba: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highlight w:val="yellow"/>
          <w:lang w:eastAsia="cs-CZ"/>
        </w:rPr>
        <w:t>………………………………………………………………….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e-mail / tel.: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highlight w:val="yellow"/>
          <w:lang w:eastAsia="cs-CZ"/>
        </w:rPr>
        <w:t>................................. /.................................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(dále jen „</w:t>
      </w: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prodávající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“)</w:t>
      </w:r>
    </w:p>
    <w:p w:rsidRPr="00AD050D" w:rsidR="00AD050D" w:rsidP="00AD050D" w:rsidRDefault="00AD050D">
      <w:pPr>
        <w:spacing w:before="240"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(kupující a prodávající společně dále též jako „</w:t>
      </w: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smluvní strany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“)</w:t>
      </w:r>
    </w:p>
    <w:p w:rsidRPr="00AD050D" w:rsidR="00AD050D" w:rsidP="00AD050D" w:rsidRDefault="00AD050D">
      <w:pPr>
        <w:keepNext/>
        <w:overflowPunct w:val="false"/>
        <w:autoSpaceDE w:val="false"/>
        <w:autoSpaceDN w:val="false"/>
        <w:adjustRightInd w:val="false"/>
        <w:spacing w:before="600" w:after="0" w:line="240" w:lineRule="auto"/>
        <w:ind w:left="851" w:hanging="851"/>
        <w:jc w:val="center"/>
        <w:outlineLvl w:val="0"/>
        <w:rPr>
          <w:rFonts w:ascii="Tahoma" w:hAnsi="Tahoma" w:eastAsia="Arial Unicode MS" w:cs="Tahoma"/>
          <w:b/>
          <w:color w:val="0D0D0D"/>
          <w:sz w:val="20"/>
          <w:szCs w:val="20"/>
          <w:lang w:eastAsia="x-none"/>
        </w:rPr>
      </w:pPr>
      <w:r w:rsidRPr="00AD050D">
        <w:rPr>
          <w:rFonts w:ascii="Tahoma" w:hAnsi="Tahoma" w:eastAsia="Arial Unicode MS" w:cs="Tahoma"/>
          <w:b/>
          <w:color w:val="0D0D0D"/>
          <w:sz w:val="20"/>
          <w:szCs w:val="20"/>
          <w:lang w:eastAsia="x-none"/>
        </w:rPr>
        <w:t>Úvodní ustanovení</w:t>
      </w:r>
    </w:p>
    <w:p w:rsidRPr="00AD050D" w:rsidR="00AD050D" w:rsidP="00AD050D" w:rsidRDefault="00AD050D">
      <w:pPr>
        <w:spacing w:before="120" w:after="120" w:line="240" w:lineRule="auto"/>
        <w:jc w:val="both"/>
        <w:rPr>
          <w:rFonts w:ascii="Tahoma" w:hAnsi="Tahoma" w:eastAsia="Calibri" w:cs="Tahoma"/>
          <w:color w:val="0D0D0D"/>
          <w:sz w:val="20"/>
          <w:szCs w:val="20"/>
        </w:rPr>
      </w:pPr>
      <w:r w:rsidRPr="00AD050D">
        <w:rPr>
          <w:rFonts w:ascii="Tahoma" w:hAnsi="Tahoma" w:eastAsia="Calibri" w:cs="Tahoma"/>
          <w:color w:val="0D0D0D"/>
          <w:sz w:val="20"/>
          <w:szCs w:val="20"/>
        </w:rPr>
        <w:t>Tato smlouva se uzavírá na základě veřejné zakázky „Dodávka a instalace elektronických úředních desek pro městskou část Praha 14“ (dále jen „</w:t>
      </w:r>
      <w:r w:rsidRPr="00AD050D">
        <w:rPr>
          <w:rFonts w:ascii="Tahoma" w:hAnsi="Tahoma" w:eastAsia="Calibri" w:cs="Tahoma"/>
          <w:b/>
          <w:color w:val="0D0D0D"/>
          <w:sz w:val="20"/>
          <w:szCs w:val="20"/>
        </w:rPr>
        <w:t>veřejná zakázka</w:t>
      </w:r>
      <w:r w:rsidRPr="00AD050D">
        <w:rPr>
          <w:rFonts w:ascii="Tahoma" w:hAnsi="Tahoma" w:eastAsia="Calibri" w:cs="Tahoma"/>
          <w:color w:val="0D0D0D"/>
          <w:sz w:val="20"/>
          <w:szCs w:val="20"/>
        </w:rPr>
        <w:t>“), která byla realizována jako veřejná zakázka malého rozsahu, v rámci projektu reg. č. </w:t>
      </w:r>
      <w:bookmarkStart w:name="_Hlk71808348" w:id="0"/>
      <w:r w:rsidRPr="00AD050D">
        <w:rPr>
          <w:rFonts w:ascii="Tahoma" w:hAnsi="Tahoma" w:eastAsia="Calibri" w:cs="Tahoma"/>
          <w:color w:val="0D0D0D"/>
          <w:sz w:val="20"/>
          <w:szCs w:val="20"/>
        </w:rPr>
        <w:t>CZ.03.4.74/0.0/0.0/19_120/0016837</w:t>
      </w:r>
      <w:bookmarkEnd w:id="0"/>
      <w:r w:rsidRPr="00AD050D">
        <w:rPr>
          <w:rFonts w:ascii="Tahoma" w:hAnsi="Tahoma" w:eastAsia="Calibri" w:cs="Tahoma"/>
          <w:color w:val="0D0D0D"/>
          <w:sz w:val="20"/>
          <w:szCs w:val="20"/>
        </w:rPr>
        <w:t xml:space="preserve"> - Optimalizace procesů a profesionalizace ÚMČ Praha 14 IV.</w:t>
      </w:r>
    </w:p>
    <w:p w:rsidRPr="00AD050D" w:rsidR="00AD050D" w:rsidP="00AD050D" w:rsidRDefault="00AD050D">
      <w:pPr>
        <w:spacing w:before="240" w:after="0" w:line="240" w:lineRule="auto"/>
        <w:jc w:val="center"/>
        <w:rPr>
          <w:rFonts w:ascii="Tahoma" w:hAnsi="Tahoma" w:eastAsia="Times New Roman" w:cs="Tahoma"/>
          <w:b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I.</w:t>
      </w:r>
    </w:p>
    <w:p w:rsidRPr="00AD050D" w:rsidR="00AD050D" w:rsidP="00AD050D" w:rsidRDefault="00AD050D">
      <w:pPr>
        <w:spacing w:after="120" w:line="240" w:lineRule="auto"/>
        <w:jc w:val="center"/>
        <w:rPr>
          <w:rFonts w:ascii="Tahoma" w:hAnsi="Tahoma" w:eastAsia="Times New Roman" w:cs="Tahoma"/>
          <w:b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Předmět smlouvy</w:t>
      </w:r>
    </w:p>
    <w:p w:rsidRPr="00AD050D" w:rsidR="00AD050D" w:rsidP="00AD050D" w:rsidRDefault="00AD050D">
      <w:pPr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eastAsia="Calibri" w:cs="Tahoma"/>
          <w:color w:val="0D0D0D"/>
          <w:sz w:val="20"/>
          <w:szCs w:val="20"/>
        </w:rPr>
      </w:pPr>
      <w:r w:rsidRPr="00AD050D">
        <w:rPr>
          <w:rFonts w:ascii="Tahoma" w:hAnsi="Tahoma" w:eastAsia="Calibri" w:cs="Tahoma"/>
          <w:color w:val="0D0D0D"/>
          <w:sz w:val="20"/>
          <w:szCs w:val="20"/>
        </w:rPr>
        <w:t>Předmětem této smlouvy je závazek prodávajícího dodat kupujícímu 2 ks elektronických (digitálních) úředních desek včetně zajištění SLA služeb dle technické specifikace uvedené v příloze č. 1 této smlouvy (dále jen „</w:t>
      </w:r>
      <w:r w:rsidRPr="00AD050D">
        <w:rPr>
          <w:rFonts w:ascii="Tahoma" w:hAnsi="Tahoma" w:eastAsia="Calibri" w:cs="Tahoma"/>
          <w:b/>
          <w:color w:val="0D0D0D"/>
          <w:sz w:val="20"/>
          <w:szCs w:val="20"/>
        </w:rPr>
        <w:t>dodávka</w:t>
      </w:r>
      <w:r w:rsidRPr="00AD050D">
        <w:rPr>
          <w:rFonts w:ascii="Tahoma" w:hAnsi="Tahoma" w:eastAsia="Calibri" w:cs="Tahoma"/>
          <w:color w:val="0D0D0D"/>
          <w:sz w:val="20"/>
          <w:szCs w:val="20"/>
        </w:rPr>
        <w:t>“ či „</w:t>
      </w:r>
      <w:r w:rsidRPr="00AD050D">
        <w:rPr>
          <w:rFonts w:ascii="Tahoma" w:hAnsi="Tahoma" w:eastAsia="Calibri" w:cs="Tahoma"/>
          <w:b/>
          <w:color w:val="0D0D0D"/>
          <w:sz w:val="20"/>
          <w:szCs w:val="20"/>
        </w:rPr>
        <w:t>předmět plnění</w:t>
      </w:r>
      <w:r w:rsidRPr="00AD050D">
        <w:rPr>
          <w:rFonts w:ascii="Tahoma" w:hAnsi="Tahoma" w:eastAsia="Calibri" w:cs="Tahoma"/>
          <w:color w:val="0D0D0D"/>
          <w:sz w:val="20"/>
          <w:szCs w:val="20"/>
        </w:rPr>
        <w:t>“), a závazek kupujícího dodávku převzít a zaplatit za ní dále sjednanou kupní cenu.</w:t>
      </w:r>
    </w:p>
    <w:p w:rsidRPr="00AD050D" w:rsidR="00AD050D" w:rsidP="00AD050D" w:rsidRDefault="00AD050D">
      <w:pPr>
        <w:numPr>
          <w:ilvl w:val="1"/>
          <w:numId w:val="1"/>
        </w:numPr>
        <w:spacing w:after="120" w:line="240" w:lineRule="auto"/>
        <w:ind w:left="567" w:hanging="567"/>
        <w:jc w:val="both"/>
        <w:rPr>
          <w:rFonts w:ascii="Tahoma" w:hAnsi="Tahoma" w:eastAsia="Calibri" w:cs="Tahoma"/>
          <w:color w:val="0D0D0D"/>
          <w:sz w:val="20"/>
          <w:szCs w:val="20"/>
        </w:rPr>
      </w:pPr>
      <w:r w:rsidRPr="00AD050D">
        <w:rPr>
          <w:rFonts w:ascii="Tahoma" w:hAnsi="Tahoma" w:eastAsia="Calibri" w:cs="Tahoma"/>
          <w:color w:val="0D0D0D"/>
          <w:sz w:val="20"/>
          <w:szCs w:val="20"/>
        </w:rPr>
        <w:t>Součástí dodávky je instalace (doprava, osazení na cílové místo, napojení na elektrické a datové rozvody) aplikačního vybavení, napojení na datový informační zdroj (spisová služba), oživení a nastavení dle specifikace popsané v zadávacích podmínkách veřejné zakázky (zadávacími podmínkami se rozumí Výzva k podání nabídky a její přílohy) a zaškolení způsobu obsluhy a správy obsahu elektronické úřední desky pro pracovníky Úřadu městské části Praha 14.</w:t>
      </w:r>
    </w:p>
    <w:p w:rsidRPr="00AD050D" w:rsidR="00AD050D" w:rsidP="00AD050D" w:rsidRDefault="00AD050D">
      <w:pPr>
        <w:spacing w:before="240" w:after="0" w:line="240" w:lineRule="auto"/>
        <w:jc w:val="center"/>
        <w:rPr>
          <w:rFonts w:ascii="Tahoma" w:hAnsi="Tahoma" w:eastAsia="Times New Roman" w:cs="Tahoma"/>
          <w:b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lastRenderedPageBreak/>
        <w:t>II.</w:t>
      </w:r>
    </w:p>
    <w:p w:rsidRPr="00AD050D" w:rsidR="00AD050D" w:rsidP="00AD050D" w:rsidRDefault="00AD050D">
      <w:pPr>
        <w:spacing w:after="120" w:line="240" w:lineRule="auto"/>
        <w:jc w:val="center"/>
        <w:rPr>
          <w:rFonts w:ascii="Tahoma" w:hAnsi="Tahoma" w:eastAsia="Times New Roman" w:cs="Tahoma"/>
          <w:b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Doba a místo plnění</w:t>
      </w:r>
    </w:p>
    <w:p w:rsidRPr="00AD050D" w:rsidR="00AD050D" w:rsidP="00AD050D" w:rsidRDefault="00AD050D">
      <w:pPr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="Tahoma" w:hAnsi="Tahoma" w:eastAsia="Calibri" w:cs="Tahoma"/>
          <w:color w:val="0D0D0D"/>
          <w:sz w:val="20"/>
          <w:szCs w:val="20"/>
        </w:rPr>
      </w:pPr>
      <w:r w:rsidRPr="00AD050D">
        <w:rPr>
          <w:rFonts w:ascii="Tahoma" w:hAnsi="Tahoma" w:eastAsia="Calibri" w:cs="Tahoma"/>
          <w:color w:val="0D0D0D"/>
          <w:sz w:val="20"/>
          <w:szCs w:val="20"/>
        </w:rPr>
        <w:t xml:space="preserve">Prodávající je povinen dodat předmět plnění do dne </w:t>
      </w:r>
      <w:r w:rsidRPr="00AD050D">
        <w:rPr>
          <w:rFonts w:ascii="Tahoma" w:hAnsi="Tahoma" w:eastAsia="Calibri" w:cs="Tahoma"/>
          <w:color w:val="0D0D0D"/>
          <w:sz w:val="20"/>
          <w:szCs w:val="20"/>
          <w:highlight w:val="yellow"/>
        </w:rPr>
        <w:t>[doplní účastník]</w:t>
      </w:r>
      <w:r w:rsidRPr="00AD050D">
        <w:rPr>
          <w:rFonts w:ascii="Tahoma" w:hAnsi="Tahoma" w:eastAsia="Calibri" w:cs="Tahoma"/>
          <w:color w:val="0D0D0D"/>
          <w:sz w:val="20"/>
          <w:szCs w:val="20"/>
        </w:rPr>
        <w:t>. Přesný termín dodání prodávající dohodne s kontaktní osobou kupujícího.</w:t>
      </w:r>
    </w:p>
    <w:p w:rsidRPr="00AD050D" w:rsidR="00AD050D" w:rsidP="00AD050D" w:rsidRDefault="00AD050D">
      <w:pPr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="Tahoma" w:hAnsi="Tahoma" w:eastAsia="Calibri" w:cs="Tahoma"/>
          <w:color w:val="0D0D0D"/>
          <w:sz w:val="20"/>
          <w:szCs w:val="20"/>
        </w:rPr>
      </w:pPr>
      <w:r w:rsidRPr="00AD050D">
        <w:rPr>
          <w:rFonts w:ascii="Tahoma" w:hAnsi="Tahoma" w:eastAsia="Calibri" w:cs="Tahoma"/>
          <w:color w:val="0D0D0D"/>
          <w:sz w:val="20"/>
          <w:szCs w:val="20"/>
        </w:rPr>
        <w:t>Místem plnění dodávky je sídlo kupujícího.</w:t>
      </w:r>
    </w:p>
    <w:p w:rsidRPr="00AD050D" w:rsidR="00AD050D" w:rsidP="00AD050D" w:rsidRDefault="00AD050D">
      <w:pPr>
        <w:spacing w:before="240" w:after="0" w:line="240" w:lineRule="auto"/>
        <w:jc w:val="center"/>
        <w:rPr>
          <w:rFonts w:ascii="Tahoma" w:hAnsi="Tahoma" w:eastAsia="Times New Roman" w:cs="Tahoma"/>
          <w:b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III.</w:t>
      </w:r>
    </w:p>
    <w:p w:rsidRPr="00AD050D" w:rsidR="00AD050D" w:rsidP="00AD050D" w:rsidRDefault="00AD050D">
      <w:pPr>
        <w:spacing w:after="120" w:line="240" w:lineRule="auto"/>
        <w:jc w:val="center"/>
        <w:rPr>
          <w:rFonts w:ascii="Tahoma" w:hAnsi="Tahoma" w:eastAsia="Times New Roman" w:cs="Tahoma"/>
          <w:b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Kupní cena a platební podmínky</w:t>
      </w:r>
    </w:p>
    <w:p w:rsidRPr="00AD050D" w:rsidR="00AD050D" w:rsidP="00AD050D" w:rsidRDefault="00AD050D">
      <w:pPr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Tahoma" w:hAnsi="Tahoma" w:eastAsia="Calibri" w:cs="Tahoma"/>
          <w:color w:val="0D0D0D"/>
          <w:sz w:val="20"/>
          <w:szCs w:val="20"/>
          <w:lang w:eastAsia="cs-CZ"/>
        </w:rPr>
      </w:pPr>
      <w:r w:rsidRPr="00AD050D">
        <w:rPr>
          <w:rFonts w:ascii="Tahoma" w:hAnsi="Tahoma" w:eastAsia="Calibri" w:cs="Tahoma"/>
          <w:color w:val="0D0D0D"/>
          <w:sz w:val="20"/>
          <w:szCs w:val="20"/>
        </w:rPr>
        <w:t>Kupní cena dodávky vychází z cenové nabídky prodávajícího v rámci veřejné zakázky (příloha č. 2 k této smlouvě):</w:t>
      </w:r>
    </w:p>
    <w:p w:rsidRPr="00AD050D" w:rsidR="00AD050D" w:rsidP="00AD050D" w:rsidRDefault="00AD050D">
      <w:pPr>
        <w:spacing w:before="120" w:after="120" w:line="240" w:lineRule="auto"/>
        <w:ind w:left="567"/>
        <w:jc w:val="both"/>
        <w:rPr>
          <w:rFonts w:ascii="Tahoma" w:hAnsi="Tahoma" w:eastAsia="Calibri" w:cs="Tahoma"/>
          <w:color w:val="0D0D0D"/>
          <w:sz w:val="20"/>
          <w:szCs w:val="20"/>
          <w:highlight w:val="yellow"/>
          <w:lang w:eastAsia="cs-CZ"/>
        </w:rPr>
      </w:pP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>celková cena bez DPH:</w:t>
      </w: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ab/>
      </w: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ab/>
      </w: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ab/>
      </w: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ab/>
      </w:r>
      <w:r w:rsidRPr="00AD050D">
        <w:rPr>
          <w:rFonts w:ascii="Tahoma" w:hAnsi="Tahoma" w:eastAsia="Calibri" w:cs="Tahoma"/>
          <w:color w:val="0D0D0D"/>
          <w:sz w:val="20"/>
          <w:szCs w:val="20"/>
          <w:highlight w:val="yellow"/>
          <w:lang w:eastAsia="cs-CZ"/>
        </w:rPr>
        <w:t>…………………..….. Kč,</w:t>
      </w:r>
    </w:p>
    <w:p w:rsidRPr="00AD050D" w:rsidR="00AD050D" w:rsidP="00AD050D" w:rsidRDefault="00AD050D">
      <w:pPr>
        <w:spacing w:before="120" w:after="120" w:line="240" w:lineRule="auto"/>
        <w:ind w:left="567"/>
        <w:jc w:val="both"/>
        <w:rPr>
          <w:rFonts w:ascii="Tahoma" w:hAnsi="Tahoma" w:eastAsia="Calibri" w:cs="Tahoma"/>
          <w:color w:val="0D0D0D"/>
          <w:sz w:val="20"/>
          <w:szCs w:val="20"/>
          <w:highlight w:val="yellow"/>
          <w:lang w:eastAsia="cs-CZ"/>
        </w:rPr>
      </w:pP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>sazba DPH:</w:t>
      </w: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ab/>
        <w:t xml:space="preserve"> </w:t>
      </w: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ab/>
      </w: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ab/>
      </w: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ab/>
      </w: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ab/>
      </w:r>
      <w:r w:rsidRPr="00AD050D">
        <w:rPr>
          <w:rFonts w:ascii="Tahoma" w:hAnsi="Tahoma" w:eastAsia="Calibri" w:cs="Tahoma"/>
          <w:color w:val="0D0D0D"/>
          <w:sz w:val="20"/>
          <w:szCs w:val="20"/>
          <w:highlight w:val="yellow"/>
          <w:lang w:eastAsia="cs-CZ"/>
        </w:rPr>
        <w:t>…………………..….. %,</w:t>
      </w:r>
    </w:p>
    <w:p w:rsidRPr="00AD050D" w:rsidR="00AD050D" w:rsidP="00AD050D" w:rsidRDefault="00AD050D">
      <w:pPr>
        <w:spacing w:before="120" w:after="120" w:line="240" w:lineRule="auto"/>
        <w:ind w:left="567"/>
        <w:jc w:val="both"/>
        <w:rPr>
          <w:rFonts w:ascii="Tahoma" w:hAnsi="Tahoma" w:eastAsia="Calibri" w:cs="Tahoma"/>
          <w:color w:val="0D0D0D"/>
          <w:sz w:val="20"/>
          <w:szCs w:val="20"/>
          <w:highlight w:val="yellow"/>
          <w:lang w:eastAsia="cs-CZ"/>
        </w:rPr>
      </w:pP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>výše DPH:</w:t>
      </w: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ab/>
      </w: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ab/>
      </w: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ab/>
      </w: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ab/>
      </w: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ab/>
      </w:r>
      <w:r w:rsidRPr="00AD050D">
        <w:rPr>
          <w:rFonts w:ascii="Tahoma" w:hAnsi="Tahoma" w:eastAsia="Calibri" w:cs="Tahoma"/>
          <w:color w:val="0D0D0D"/>
          <w:sz w:val="20"/>
          <w:szCs w:val="20"/>
          <w:highlight w:val="yellow"/>
          <w:lang w:eastAsia="cs-CZ"/>
        </w:rPr>
        <w:t>…………………..….. Kč,</w:t>
      </w:r>
    </w:p>
    <w:p w:rsidRPr="00AD050D" w:rsidR="00AD050D" w:rsidP="00AD050D" w:rsidRDefault="00AD050D">
      <w:pPr>
        <w:spacing w:before="120" w:after="120" w:line="240" w:lineRule="auto"/>
        <w:ind w:left="567"/>
        <w:jc w:val="both"/>
        <w:rPr>
          <w:rFonts w:ascii="Tahoma" w:hAnsi="Tahoma" w:eastAsia="Calibri" w:cs="Tahoma"/>
          <w:color w:val="0D0D0D"/>
          <w:sz w:val="20"/>
          <w:szCs w:val="20"/>
          <w:lang w:eastAsia="cs-CZ"/>
        </w:rPr>
      </w:pP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>celková cena včetně DPH:</w:t>
      </w: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ab/>
      </w: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ab/>
      </w: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ab/>
      </w:r>
      <w:r w:rsidRPr="00AD050D">
        <w:rPr>
          <w:rFonts w:ascii="Tahoma" w:hAnsi="Tahoma" w:eastAsia="Calibri" w:cs="Tahoma"/>
          <w:color w:val="0D0D0D"/>
          <w:sz w:val="20"/>
          <w:szCs w:val="20"/>
          <w:highlight w:val="yellow"/>
          <w:lang w:eastAsia="cs-CZ"/>
        </w:rPr>
        <w:t>…………………..….. Kč.</w:t>
      </w:r>
    </w:p>
    <w:p w:rsidRPr="00AD050D" w:rsidR="00AD050D" w:rsidP="00AD050D" w:rsidRDefault="00AD050D">
      <w:pPr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Tahoma" w:hAnsi="Tahoma" w:eastAsia="Calibri" w:cs="Tahoma"/>
          <w:color w:val="0D0D0D"/>
          <w:sz w:val="20"/>
          <w:szCs w:val="20"/>
          <w:lang w:eastAsia="cs-CZ"/>
        </w:rPr>
      </w:pP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>Prodávající vystaví kupujícímu daňový doklad (dále též „</w:t>
      </w:r>
      <w:r w:rsidRPr="00AD050D">
        <w:rPr>
          <w:rFonts w:ascii="Tahoma" w:hAnsi="Tahoma" w:eastAsia="Calibri" w:cs="Tahoma"/>
          <w:b/>
          <w:color w:val="0D0D0D"/>
          <w:sz w:val="20"/>
          <w:szCs w:val="20"/>
          <w:lang w:eastAsia="cs-CZ"/>
        </w:rPr>
        <w:t>faktura</w:t>
      </w: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>“) nejdříve ke dni dodání kompletního a bezvadného předmětu plnění. Přílohou této faktury bude kopie předávacího protokolu potvrzeného kupujícím.</w:t>
      </w:r>
    </w:p>
    <w:p w:rsidRPr="00AD050D" w:rsidR="00AD050D" w:rsidP="00AD050D" w:rsidRDefault="00AD050D">
      <w:pPr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Tahoma" w:hAnsi="Tahoma" w:eastAsia="Calibri" w:cs="Tahoma"/>
          <w:color w:val="0D0D0D"/>
          <w:sz w:val="20"/>
          <w:szCs w:val="20"/>
        </w:rPr>
      </w:pPr>
      <w:r w:rsidRPr="00AD050D">
        <w:rPr>
          <w:rFonts w:ascii="Tahoma" w:hAnsi="Tahoma" w:eastAsia="Calibri" w:cs="Tahoma"/>
          <w:color w:val="0D0D0D"/>
          <w:sz w:val="20"/>
          <w:szCs w:val="20"/>
        </w:rPr>
        <w:t>Splatnost faktury činí 30 kalendářních dnů ode dne jejího doručení do sídla kupujícího. Faktura je uhrazena dnem odepsání příslušné částky z účtu kupujícího ve prospěch účtu prodávajícího, uvedeného v záhlaví této smlouvy.</w:t>
      </w:r>
    </w:p>
    <w:p w:rsidRPr="00AD050D" w:rsidR="00AD050D" w:rsidP="00AD050D" w:rsidRDefault="00AD050D">
      <w:pPr>
        <w:numPr>
          <w:ilvl w:val="1"/>
          <w:numId w:val="3"/>
        </w:numPr>
        <w:spacing w:after="120" w:line="240" w:lineRule="auto"/>
        <w:ind w:left="567" w:hanging="567"/>
        <w:jc w:val="both"/>
        <w:rPr>
          <w:rFonts w:ascii="Tahoma" w:hAnsi="Tahoma" w:eastAsia="Calibri" w:cs="Tahoma"/>
          <w:color w:val="0D0D0D"/>
          <w:sz w:val="20"/>
          <w:szCs w:val="20"/>
        </w:rPr>
      </w:pPr>
      <w:r w:rsidRPr="00AD050D">
        <w:rPr>
          <w:rFonts w:ascii="Tahoma" w:hAnsi="Tahoma" w:eastAsia="Calibri" w:cs="Tahoma"/>
          <w:color w:val="0D0D0D"/>
          <w:sz w:val="20"/>
          <w:szCs w:val="20"/>
        </w:rPr>
        <w:t>Faktura musí obsahovat veškeré náležitosti dle zákona č. 235/2004 Sb., o dani z přidané hodnoty, ve znění pozdějších předpisů. V případě, že faktura nebude obsahovat požadované náležitosti, je kupující</w:t>
      </w:r>
      <w:r w:rsidRPr="00AD050D">
        <w:rPr>
          <w:rFonts w:ascii="Tahoma" w:hAnsi="Tahoma" w:eastAsia="Calibri" w:cs="Tahoma"/>
          <w:color w:val="0D0D0D"/>
          <w:sz w:val="20"/>
          <w:szCs w:val="20"/>
          <w:lang w:eastAsia="cs-CZ"/>
        </w:rPr>
        <w:t xml:space="preserve"> </w:t>
      </w:r>
      <w:r w:rsidRPr="00AD050D">
        <w:rPr>
          <w:rFonts w:ascii="Tahoma" w:hAnsi="Tahoma" w:eastAsia="Calibri" w:cs="Tahoma"/>
          <w:color w:val="0D0D0D"/>
          <w:sz w:val="20"/>
          <w:szCs w:val="20"/>
        </w:rPr>
        <w:t>oprávněn vrátit fakturu zpět prodávajícímu k doplnění, lhůta splatnosti počne běžet znovu od doručení řádně opraveného daňového dokladu.</w:t>
      </w:r>
    </w:p>
    <w:p w:rsidRPr="00AD050D" w:rsidR="00AD050D" w:rsidP="00AD050D" w:rsidRDefault="00AD050D">
      <w:pPr>
        <w:numPr>
          <w:ilvl w:val="1"/>
          <w:numId w:val="3"/>
        </w:numPr>
        <w:spacing w:after="200" w:line="276" w:lineRule="auto"/>
        <w:ind w:left="567" w:hanging="567"/>
        <w:jc w:val="both"/>
        <w:rPr>
          <w:rFonts w:ascii="Tahoma" w:hAnsi="Tahoma" w:eastAsia="Calibri" w:cs="Tahoma"/>
          <w:color w:val="0D0D0D"/>
          <w:sz w:val="20"/>
          <w:szCs w:val="20"/>
        </w:rPr>
      </w:pPr>
      <w:r w:rsidRPr="00AD050D">
        <w:rPr>
          <w:rFonts w:ascii="Tahoma" w:hAnsi="Tahoma" w:eastAsia="Calibri" w:cs="Tahoma"/>
          <w:color w:val="0D0D0D"/>
          <w:sz w:val="20"/>
          <w:szCs w:val="20"/>
        </w:rPr>
        <w:t>Na faktuře bude uvedeno, že předmět plnění je realizován v rámci projektu „Optimalizace procesů a profesionalizace ÚMČ Praha 14 IV“, vedeného pod reg. č.: CZ.03.4.74/0.0/0.0/19_120/0016837, který je spolufinancován z OP Zaměstnanost.</w:t>
      </w:r>
    </w:p>
    <w:p w:rsidRPr="00AD050D" w:rsidR="00AD050D" w:rsidP="00AD050D" w:rsidRDefault="00AD050D">
      <w:pPr>
        <w:spacing w:before="240" w:after="0" w:line="240" w:lineRule="auto"/>
        <w:jc w:val="center"/>
        <w:rPr>
          <w:rFonts w:ascii="Tahoma" w:hAnsi="Tahoma" w:eastAsia="Times New Roman" w:cs="Tahoma"/>
          <w:b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IV.</w:t>
      </w:r>
    </w:p>
    <w:p w:rsidRPr="00AD050D" w:rsidR="00AD050D" w:rsidP="00AD050D" w:rsidRDefault="00AD050D">
      <w:pPr>
        <w:spacing w:after="120" w:line="240" w:lineRule="auto"/>
        <w:jc w:val="center"/>
        <w:rPr>
          <w:rFonts w:ascii="Tahoma" w:hAnsi="Tahoma" w:eastAsia="Times New Roman" w:cs="Tahoma"/>
          <w:b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Předání a převzetí předmětu plnění</w:t>
      </w:r>
    </w:p>
    <w:p w:rsidRPr="00AD050D" w:rsidR="00AD050D" w:rsidP="00AD050D" w:rsidRDefault="00AD050D">
      <w:pPr>
        <w:numPr>
          <w:ilvl w:val="1"/>
          <w:numId w:val="4"/>
        </w:numPr>
        <w:spacing w:after="120" w:line="240" w:lineRule="auto"/>
        <w:ind w:left="567" w:hanging="567"/>
        <w:jc w:val="both"/>
        <w:rPr>
          <w:rFonts w:ascii="Tahoma" w:hAnsi="Tahoma" w:eastAsia="Times New Roman" w:cs="Tahoma"/>
          <w:sz w:val="20"/>
          <w:szCs w:val="20"/>
        </w:rPr>
      </w:pPr>
      <w:r w:rsidRPr="00AD050D">
        <w:rPr>
          <w:rFonts w:ascii="Tahoma" w:hAnsi="Tahoma" w:eastAsia="Times New Roman" w:cs="Tahoma"/>
          <w:sz w:val="20"/>
          <w:szCs w:val="20"/>
        </w:rPr>
        <w:t>Prodávající vyzve kupujícího k převzetí předmětu plnění nejpozději 3 pracovní dny přede dnem, kdy bude předmět plnění připraven k předání kupujícímu.</w:t>
      </w:r>
    </w:p>
    <w:p w:rsidRPr="00AD050D" w:rsidR="00AD050D" w:rsidP="00AD050D" w:rsidRDefault="00AD050D">
      <w:pPr>
        <w:numPr>
          <w:ilvl w:val="1"/>
          <w:numId w:val="4"/>
        </w:numPr>
        <w:spacing w:after="120" w:line="240" w:lineRule="auto"/>
        <w:ind w:left="567" w:hanging="567"/>
        <w:jc w:val="both"/>
        <w:rPr>
          <w:rFonts w:ascii="Tahoma" w:hAnsi="Tahoma" w:eastAsia="Times New Roman" w:cs="Tahoma"/>
          <w:sz w:val="20"/>
          <w:szCs w:val="20"/>
        </w:rPr>
      </w:pPr>
      <w:r w:rsidRPr="00AD050D">
        <w:rPr>
          <w:rFonts w:ascii="Tahoma" w:hAnsi="Tahoma" w:eastAsia="Times New Roman" w:cs="Tahoma"/>
          <w:sz w:val="20"/>
          <w:szCs w:val="20"/>
        </w:rPr>
        <w:t xml:space="preserve">Kupující je povinen převzít předmět plnění pouze v případě, že předmět plnění bude předáván bez vad a nedodělků. </w:t>
      </w:r>
    </w:p>
    <w:p w:rsidRPr="00AD050D" w:rsidR="00AD050D" w:rsidP="00AD050D" w:rsidRDefault="00AD050D">
      <w:pPr>
        <w:numPr>
          <w:ilvl w:val="1"/>
          <w:numId w:val="4"/>
        </w:numPr>
        <w:spacing w:after="120" w:line="240" w:lineRule="auto"/>
        <w:ind w:left="567" w:hanging="567"/>
        <w:jc w:val="both"/>
        <w:rPr>
          <w:rFonts w:ascii="Tahoma" w:hAnsi="Tahoma" w:eastAsia="Times New Roman" w:cs="Tahoma"/>
          <w:sz w:val="20"/>
          <w:szCs w:val="20"/>
        </w:rPr>
      </w:pPr>
      <w:r w:rsidRPr="00AD050D">
        <w:rPr>
          <w:rFonts w:ascii="Tahoma" w:hAnsi="Tahoma" w:eastAsia="Times New Roman" w:cs="Tahoma"/>
          <w:color w:val="0D0D0D"/>
          <w:sz w:val="20"/>
          <w:szCs w:val="20"/>
        </w:rPr>
        <w:t>Prodávající se zavazuje předat kupujícímu spolu s dodávkou i doklady, které se k jednotlivým součástem dodávky vztahují a jsou potřebné k jejich řádnému užívání.</w:t>
      </w:r>
    </w:p>
    <w:p w:rsidRPr="00AD050D" w:rsidR="00AD050D" w:rsidP="00AD050D" w:rsidRDefault="00AD050D">
      <w:pPr>
        <w:numPr>
          <w:ilvl w:val="1"/>
          <w:numId w:val="4"/>
        </w:numPr>
        <w:spacing w:after="120" w:line="240" w:lineRule="auto"/>
        <w:ind w:left="567" w:hanging="567"/>
        <w:jc w:val="both"/>
        <w:rPr>
          <w:rFonts w:ascii="Tahoma" w:hAnsi="Tahoma" w:eastAsia="Times New Roman" w:cs="Tahoma"/>
          <w:sz w:val="20"/>
          <w:szCs w:val="20"/>
        </w:rPr>
      </w:pPr>
      <w:r w:rsidRPr="00AD050D">
        <w:rPr>
          <w:rFonts w:ascii="Tahoma" w:hAnsi="Tahoma" w:eastAsia="Times New Roman" w:cs="Tahoma"/>
          <w:sz w:val="20"/>
          <w:szCs w:val="20"/>
        </w:rPr>
        <w:t>O předání a převzetí předmětu plnění sepíší smluvní strany předávací protokol, který bude vyhotoven ve dvou stejnopisech, z nichž jeden obdrží prodávající a jeden kupující.</w:t>
      </w:r>
    </w:p>
    <w:p w:rsidRPr="00AD050D" w:rsidR="00AD050D" w:rsidP="00AD050D" w:rsidRDefault="00AD050D">
      <w:pPr>
        <w:numPr>
          <w:ilvl w:val="1"/>
          <w:numId w:val="4"/>
        </w:numPr>
        <w:spacing w:after="120" w:line="240" w:lineRule="auto"/>
        <w:ind w:left="567" w:hanging="567"/>
        <w:jc w:val="both"/>
        <w:rPr>
          <w:rFonts w:ascii="Tahoma" w:hAnsi="Tahoma" w:eastAsia="Times New Roman" w:cs="Tahoma"/>
          <w:sz w:val="20"/>
          <w:szCs w:val="20"/>
        </w:rPr>
      </w:pPr>
      <w:r w:rsidRPr="00AD050D">
        <w:rPr>
          <w:rFonts w:ascii="Tahoma" w:hAnsi="Tahoma" w:eastAsia="Times New Roman" w:cs="Tahoma"/>
          <w:sz w:val="20"/>
          <w:szCs w:val="20"/>
        </w:rPr>
        <w:t>Vlastnické právo k předmětu plnění přechází z prodávajícího na kupujícího okamžikem podpisu předávacího protokolu oběma smluvními stranami a předáním předmětu plnění.</w:t>
      </w:r>
    </w:p>
    <w:p w:rsidRPr="00AD050D" w:rsidR="00AD050D" w:rsidP="00AD050D" w:rsidRDefault="00AD050D">
      <w:pPr>
        <w:spacing w:before="240" w:after="0" w:line="240" w:lineRule="auto"/>
        <w:jc w:val="center"/>
        <w:rPr>
          <w:rFonts w:ascii="Tahoma" w:hAnsi="Tahoma" w:eastAsia="Times New Roman" w:cs="Tahoma"/>
          <w:b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V.</w:t>
      </w:r>
    </w:p>
    <w:p w:rsidRPr="00AD050D" w:rsidR="00AD050D" w:rsidP="00AD050D" w:rsidRDefault="00AD050D">
      <w:pPr>
        <w:spacing w:after="120" w:line="240" w:lineRule="auto"/>
        <w:jc w:val="center"/>
        <w:rPr>
          <w:rFonts w:ascii="Tahoma" w:hAnsi="Tahoma" w:eastAsia="Times New Roman" w:cs="Tahoma"/>
          <w:b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Záruka</w:t>
      </w:r>
    </w:p>
    <w:p w:rsidRPr="00AD050D" w:rsidR="00AD050D" w:rsidP="00AD050D" w:rsidRDefault="00AD050D">
      <w:pPr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Tahoma" w:hAnsi="Tahoma" w:eastAsia="Times New Roman" w:cs="Tahoma"/>
          <w:b/>
          <w:bCs/>
          <w:color w:val="0D0D0D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color w:val="0D0D0D"/>
          <w:sz w:val="20"/>
          <w:szCs w:val="20"/>
          <w:lang w:eastAsia="cs-CZ"/>
        </w:rPr>
        <w:t>Záruční doba na dodávku je stanovena v délce 36 měsíců ode dne jejího uvedení do provozu v místě plnění.</w:t>
      </w:r>
    </w:p>
    <w:p w:rsidRPr="00AD050D" w:rsidR="00AD050D" w:rsidP="00AD050D" w:rsidRDefault="00AD050D">
      <w:pPr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Tahoma" w:hAnsi="Tahoma" w:eastAsia="Times New Roman" w:cs="Tahoma"/>
          <w:b/>
          <w:bCs/>
          <w:color w:val="0D0D0D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lastRenderedPageBreak/>
        <w:t xml:space="preserve">Práva z odpovědnosti za vady (reklamace) uplatňuje kupující přímo u prodávajícího písemnou formou (včetně e-mailu). Prodávající je povinen reagovat na uplatnění vad kupujícím nejpozději následující pracovní den. </w:t>
      </w:r>
    </w:p>
    <w:p w:rsidRPr="00AD050D" w:rsidR="00AD050D" w:rsidP="00AD050D" w:rsidRDefault="00AD050D">
      <w:pPr>
        <w:numPr>
          <w:ilvl w:val="1"/>
          <w:numId w:val="5"/>
        </w:numPr>
        <w:spacing w:after="120" w:line="240" w:lineRule="auto"/>
        <w:ind w:left="567" w:hanging="567"/>
        <w:jc w:val="both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Prodávající je povinen odstranit vady, na něž se vztahuje záruka (dále jen „</w:t>
      </w: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záruční vady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 xml:space="preserve">“), nejpozději do 10 kalendářních dnů ode dne doručení oznámení kupujícího o vadách, pokud se smluvní strany nedohodnou jinak. Za odstranění záruční vady se považuje stav, kdy je předmět plnění bez této vady předán zpět kupujícímu. </w:t>
      </w:r>
    </w:p>
    <w:p w:rsidRPr="00AD050D" w:rsidR="00AD050D" w:rsidP="00AD050D" w:rsidRDefault="00AD050D">
      <w:pPr>
        <w:spacing w:before="240" w:after="0" w:line="240" w:lineRule="auto"/>
        <w:jc w:val="center"/>
        <w:rPr>
          <w:rFonts w:ascii="Tahoma" w:hAnsi="Tahoma" w:eastAsia="Times New Roman" w:cs="Tahoma"/>
          <w:b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VI.</w:t>
      </w:r>
    </w:p>
    <w:p w:rsidRPr="00AD050D" w:rsidR="00AD050D" w:rsidP="00AD050D" w:rsidRDefault="00AD050D">
      <w:pPr>
        <w:spacing w:after="120" w:line="240" w:lineRule="auto"/>
        <w:jc w:val="center"/>
        <w:rPr>
          <w:rFonts w:ascii="Tahoma" w:hAnsi="Tahoma" w:eastAsia="Times New Roman" w:cs="Tahoma"/>
          <w:b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Sankce</w:t>
      </w:r>
    </w:p>
    <w:p w:rsidRPr="00AD050D" w:rsidR="00AD050D" w:rsidP="00AD050D" w:rsidRDefault="00AD050D">
      <w:pPr>
        <w:numPr>
          <w:ilvl w:val="1"/>
          <w:numId w:val="6"/>
        </w:numPr>
        <w:spacing w:after="120" w:line="240" w:lineRule="auto"/>
        <w:ind w:left="567" w:hanging="567"/>
        <w:jc w:val="both"/>
        <w:rPr>
          <w:rFonts w:ascii="Tahoma" w:hAnsi="Tahoma" w:eastAsia="Calibri" w:cs="Tahoma"/>
          <w:color w:val="0D0D0D"/>
          <w:sz w:val="20"/>
          <w:szCs w:val="20"/>
        </w:rPr>
      </w:pPr>
      <w:r w:rsidRPr="00AD050D">
        <w:rPr>
          <w:rFonts w:ascii="Tahoma" w:hAnsi="Tahoma" w:eastAsia="Calibri" w:cs="Tahoma"/>
          <w:color w:val="0D0D0D"/>
          <w:sz w:val="20"/>
          <w:szCs w:val="20"/>
        </w:rPr>
        <w:t>V případě prodlení prodávajícího s předáním bezvadné a kompletní dodávky je prodávající povinen zaplatit kupujícímu smluvní pokutu ve výši 1.000 Kč za každý započatý den prodlení.</w:t>
      </w:r>
    </w:p>
    <w:p w:rsidRPr="00AD050D" w:rsidR="00AD050D" w:rsidP="00AD050D" w:rsidRDefault="00AD050D">
      <w:pPr>
        <w:numPr>
          <w:ilvl w:val="1"/>
          <w:numId w:val="6"/>
        </w:numPr>
        <w:spacing w:after="120" w:line="240" w:lineRule="auto"/>
        <w:ind w:left="567" w:hanging="567"/>
        <w:jc w:val="both"/>
        <w:rPr>
          <w:rFonts w:ascii="Tahoma" w:hAnsi="Tahoma" w:eastAsia="Calibri" w:cs="Tahoma"/>
          <w:color w:val="0D0D0D"/>
          <w:sz w:val="20"/>
          <w:szCs w:val="20"/>
        </w:rPr>
      </w:pPr>
      <w:r w:rsidRPr="00AD050D">
        <w:rPr>
          <w:rFonts w:ascii="Tahoma" w:hAnsi="Tahoma" w:eastAsia="Calibri" w:cs="Tahoma"/>
          <w:color w:val="0D0D0D"/>
          <w:sz w:val="20"/>
          <w:szCs w:val="20"/>
        </w:rPr>
        <w:t>V případě, že je prodávající v prodlení s odstraněním vady či nedodělku dle předávacího protokolu, je povinen zaplatit kupujícímu 500 Kč za každou vadu či nedodělek a za každý den prodlení oproti sjednanému termínu odstranění.</w:t>
      </w:r>
    </w:p>
    <w:p w:rsidRPr="00AD050D" w:rsidR="00AD050D" w:rsidP="00AD050D" w:rsidRDefault="00AD050D">
      <w:pPr>
        <w:numPr>
          <w:ilvl w:val="1"/>
          <w:numId w:val="6"/>
        </w:numPr>
        <w:spacing w:after="120" w:line="240" w:lineRule="auto"/>
        <w:ind w:left="567" w:hanging="567"/>
        <w:jc w:val="both"/>
        <w:rPr>
          <w:rFonts w:ascii="Tahoma" w:hAnsi="Tahoma" w:eastAsia="Calibri" w:cs="Tahoma"/>
          <w:color w:val="0D0D0D"/>
          <w:sz w:val="20"/>
          <w:szCs w:val="20"/>
        </w:rPr>
      </w:pPr>
      <w:r w:rsidRPr="00AD050D">
        <w:rPr>
          <w:rFonts w:ascii="Tahoma" w:hAnsi="Tahoma" w:eastAsia="Calibri" w:cs="Tahoma"/>
          <w:color w:val="0D0D0D"/>
          <w:sz w:val="20"/>
          <w:szCs w:val="20"/>
        </w:rPr>
        <w:t>V případě, že je prodávající v prodlení s odstraněním vady v průběhu záruční doby, je povinen zaplatit kupujícímu 500 Kč za každou vadu a za každý den prodlení oproti termínu uvedenému v čl. V. odst. 5.3 této smlouvy nebo sjednanému termínu odstranění.</w:t>
      </w:r>
    </w:p>
    <w:p w:rsidRPr="00AD050D" w:rsidR="00AD050D" w:rsidP="00AD050D" w:rsidRDefault="00AD050D">
      <w:pPr>
        <w:numPr>
          <w:ilvl w:val="1"/>
          <w:numId w:val="6"/>
        </w:numPr>
        <w:spacing w:after="120" w:line="240" w:lineRule="auto"/>
        <w:ind w:left="567" w:hanging="567"/>
        <w:jc w:val="both"/>
        <w:rPr>
          <w:rFonts w:ascii="Tahoma" w:hAnsi="Tahoma" w:eastAsia="Calibri" w:cs="Tahoma"/>
          <w:b/>
          <w:bCs/>
          <w:color w:val="0D0D0D"/>
          <w:sz w:val="20"/>
          <w:szCs w:val="20"/>
        </w:rPr>
      </w:pPr>
      <w:r w:rsidRPr="00AD050D">
        <w:rPr>
          <w:rFonts w:ascii="Tahoma" w:hAnsi="Tahoma" w:eastAsia="Calibri" w:cs="Tahoma"/>
          <w:color w:val="0D0D0D"/>
          <w:sz w:val="20"/>
          <w:szCs w:val="20"/>
        </w:rPr>
        <w:t>Zaplacením jakékoli smluvní pokuty dle této smlouvy není dotčeno právo kupujícího domáhat se náhrady škody v plné výši.</w:t>
      </w:r>
    </w:p>
    <w:p w:rsidRPr="00AD050D" w:rsidR="00AD050D" w:rsidP="00AD050D" w:rsidRDefault="00AD050D">
      <w:pPr>
        <w:numPr>
          <w:ilvl w:val="1"/>
          <w:numId w:val="6"/>
        </w:numPr>
        <w:spacing w:after="120" w:line="240" w:lineRule="auto"/>
        <w:ind w:left="567" w:hanging="567"/>
        <w:jc w:val="both"/>
        <w:rPr>
          <w:rFonts w:ascii="Tahoma" w:hAnsi="Tahoma" w:eastAsia="Calibri" w:cs="Tahoma"/>
          <w:color w:val="0D0D0D"/>
          <w:sz w:val="20"/>
          <w:szCs w:val="20"/>
          <w:lang w:eastAsia="cs-CZ"/>
        </w:rPr>
      </w:pPr>
      <w:r w:rsidRPr="00AD050D">
        <w:rPr>
          <w:rFonts w:ascii="Tahoma" w:hAnsi="Tahoma" w:eastAsia="Calibri" w:cs="Tahoma"/>
          <w:color w:val="0D0D0D"/>
          <w:sz w:val="20"/>
          <w:szCs w:val="20"/>
        </w:rPr>
        <w:t>Splatnost smluvních pokut činí 30 kalendářních dnů ode dne obdržení písemného vyúčtování.</w:t>
      </w:r>
    </w:p>
    <w:p w:rsidRPr="00AD050D" w:rsidR="00AD050D" w:rsidP="00AD050D" w:rsidRDefault="00AD050D">
      <w:pPr>
        <w:numPr>
          <w:ilvl w:val="1"/>
          <w:numId w:val="6"/>
        </w:numPr>
        <w:spacing w:after="120" w:line="240" w:lineRule="auto"/>
        <w:ind w:left="567" w:hanging="567"/>
        <w:jc w:val="both"/>
        <w:rPr>
          <w:rFonts w:ascii="Tahoma" w:hAnsi="Tahoma" w:eastAsia="Calibri" w:cs="Tahoma"/>
          <w:sz w:val="20"/>
          <w:szCs w:val="20"/>
        </w:rPr>
      </w:pPr>
      <w:r w:rsidRPr="00AD050D">
        <w:rPr>
          <w:rFonts w:ascii="Tahoma" w:hAnsi="Tahoma" w:eastAsia="Calibri" w:cs="Tahoma"/>
          <w:sz w:val="20"/>
          <w:szCs w:val="20"/>
        </w:rPr>
        <w:t>Kupující je oprávněn započítat smluvní pokutu proti pohledávce prodávajícího.</w:t>
      </w:r>
    </w:p>
    <w:p w:rsidRPr="00AD050D" w:rsidR="00AD050D" w:rsidP="00AD050D" w:rsidRDefault="00AD050D">
      <w:pPr>
        <w:spacing w:before="240" w:after="0" w:line="240" w:lineRule="auto"/>
        <w:jc w:val="center"/>
        <w:rPr>
          <w:rFonts w:ascii="Tahoma" w:hAnsi="Tahoma" w:eastAsia="Times New Roman" w:cs="Tahoma"/>
          <w:b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VII.</w:t>
      </w:r>
    </w:p>
    <w:p w:rsidRPr="00AD050D" w:rsidR="00AD050D" w:rsidP="00AD050D" w:rsidRDefault="00AD050D">
      <w:pPr>
        <w:spacing w:after="120" w:line="240" w:lineRule="auto"/>
        <w:jc w:val="center"/>
        <w:rPr>
          <w:rFonts w:ascii="Tahoma" w:hAnsi="Tahoma" w:eastAsia="Times New Roman" w:cs="Tahoma"/>
          <w:b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Odstoupení od smlouvy</w:t>
      </w:r>
    </w:p>
    <w:p w:rsidRPr="00AD050D" w:rsidR="00AD050D" w:rsidP="00AD050D" w:rsidRDefault="00AD050D">
      <w:pPr>
        <w:numPr>
          <w:ilvl w:val="1"/>
          <w:numId w:val="7"/>
        </w:numPr>
        <w:spacing w:after="120" w:line="240" w:lineRule="auto"/>
        <w:ind w:left="567" w:hanging="567"/>
        <w:jc w:val="both"/>
        <w:rPr>
          <w:rFonts w:ascii="Tahoma" w:hAnsi="Tahoma" w:eastAsia="Calibri" w:cs="Tahoma"/>
          <w:color w:val="0D0D0D"/>
          <w:sz w:val="20"/>
          <w:szCs w:val="20"/>
        </w:rPr>
      </w:pPr>
      <w:r w:rsidRPr="00AD050D">
        <w:rPr>
          <w:rFonts w:ascii="Tahoma" w:hAnsi="Tahoma" w:eastAsia="Calibri" w:cs="Tahoma"/>
          <w:color w:val="0D0D0D"/>
          <w:sz w:val="20"/>
          <w:szCs w:val="20"/>
        </w:rPr>
        <w:t xml:space="preserve">Kupující si vyhrazuje právo odstoupit od smlouvy bez jakýchkoli sankcí, a to i bez udání důvodů. Veškeré účelně vynaložené náklady, které budou prokazatelně způsobeny kupujícím, a jejichž výše mu bude prodávajícím doložena, budou v takovém případě uhrazeny. To neplatí, bylo-li důvodem pro odstoupení od smlouvy prodlení prodávajícího s dodáním bezvadného předmětu plnění delší než 30 kalendářních dnů. </w:t>
      </w:r>
    </w:p>
    <w:p w:rsidRPr="00AD050D" w:rsidR="00AD050D" w:rsidP="00AD050D" w:rsidRDefault="00AD050D">
      <w:pPr>
        <w:numPr>
          <w:ilvl w:val="1"/>
          <w:numId w:val="7"/>
        </w:numPr>
        <w:spacing w:after="120" w:line="240" w:lineRule="auto"/>
        <w:ind w:left="567" w:hanging="567"/>
        <w:jc w:val="both"/>
        <w:rPr>
          <w:rFonts w:ascii="Tahoma" w:hAnsi="Tahoma" w:eastAsia="Calibri" w:cs="Tahoma"/>
          <w:color w:val="0D0D0D"/>
          <w:sz w:val="20"/>
          <w:szCs w:val="20"/>
        </w:rPr>
      </w:pPr>
      <w:r w:rsidRPr="00AD050D">
        <w:rPr>
          <w:rFonts w:ascii="Tahoma" w:hAnsi="Tahoma" w:eastAsia="Calibri" w:cs="Tahoma"/>
          <w:color w:val="0D0D0D"/>
          <w:sz w:val="20"/>
          <w:szCs w:val="20"/>
        </w:rPr>
        <w:t xml:space="preserve">Prodávající je oprávněn odstoupit od smlouvy v případě prodlení kupujícího s úhradou kupní ceny za předmět plnění, které bude delší než 30 kalendářních dnů. </w:t>
      </w:r>
    </w:p>
    <w:p w:rsidRPr="00AD050D" w:rsidR="00AD050D" w:rsidP="00AD050D" w:rsidRDefault="00AD050D">
      <w:pPr>
        <w:numPr>
          <w:ilvl w:val="1"/>
          <w:numId w:val="7"/>
        </w:numPr>
        <w:spacing w:after="120" w:line="240" w:lineRule="auto"/>
        <w:ind w:left="567" w:hanging="567"/>
        <w:jc w:val="both"/>
        <w:rPr>
          <w:rFonts w:ascii="Tahoma" w:hAnsi="Tahoma" w:eastAsia="Calibri" w:cs="Tahoma"/>
          <w:sz w:val="20"/>
          <w:szCs w:val="20"/>
        </w:rPr>
      </w:pPr>
      <w:r w:rsidRPr="00AD050D">
        <w:rPr>
          <w:rFonts w:ascii="Tahoma" w:hAnsi="Tahoma" w:eastAsia="Calibri" w:cs="Tahoma"/>
          <w:sz w:val="20"/>
          <w:szCs w:val="20"/>
        </w:rPr>
        <w:t>Odstoupením od smlouvy nejsou dotčena ustanovení této smlouvy týkající se smluvních pokut a těch práv a povinností, z jejichž povahy vyplývá, že mají trvat i po odstoupení.</w:t>
      </w:r>
    </w:p>
    <w:p w:rsidRPr="00AD050D" w:rsidR="00AD050D" w:rsidP="00AD050D" w:rsidRDefault="00AD050D">
      <w:pPr>
        <w:spacing w:before="240" w:after="0" w:line="240" w:lineRule="auto"/>
        <w:jc w:val="center"/>
        <w:rPr>
          <w:rFonts w:ascii="Tahoma" w:hAnsi="Tahoma" w:eastAsia="Times New Roman" w:cs="Tahoma"/>
          <w:b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VIII.</w:t>
      </w:r>
    </w:p>
    <w:p w:rsidRPr="00AD050D" w:rsidR="00AD050D" w:rsidP="00AD050D" w:rsidRDefault="00AD050D">
      <w:pPr>
        <w:spacing w:after="120" w:line="240" w:lineRule="auto"/>
        <w:jc w:val="center"/>
        <w:rPr>
          <w:rFonts w:ascii="Tahoma" w:hAnsi="Tahoma" w:eastAsia="Times New Roman" w:cs="Tahoma"/>
          <w:b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Závěrečná ustanovení</w:t>
      </w:r>
    </w:p>
    <w:p w:rsidRPr="00AD050D" w:rsidR="00AD050D" w:rsidP="00AD050D" w:rsidRDefault="00AD050D">
      <w:pPr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eastAsia="Times New Roman" w:cs="Tahoma"/>
          <w:sz w:val="20"/>
          <w:szCs w:val="20"/>
        </w:rPr>
      </w:pPr>
      <w:r w:rsidRPr="00AD050D">
        <w:rPr>
          <w:rFonts w:ascii="Tahoma" w:hAnsi="Tahoma" w:eastAsia="Times New Roman" w:cs="Tahoma"/>
          <w:sz w:val="20"/>
          <w:szCs w:val="20"/>
        </w:rPr>
        <w:t xml:space="preserve">Tato smlouva nabývá platnosti dnem podpisu oběma smluvními stranami a účinnosti dnem uveřejnění v registru smluv, </w:t>
      </w:r>
      <w:r w:rsidRPr="00AD050D">
        <w:rPr>
          <w:rFonts w:ascii="Tahoma" w:hAnsi="Tahoma" w:eastAsia="Times New Roman" w:cs="Tahoma"/>
          <w:sz w:val="20"/>
        </w:rPr>
        <w:t xml:space="preserve">v souladu se zákonem </w:t>
      </w:r>
      <w:r w:rsidRPr="00AD050D">
        <w:rPr>
          <w:rFonts w:ascii="Tahoma" w:hAnsi="Tahoma" w:eastAsia="Times New Roman" w:cs="Tahoma"/>
          <w:sz w:val="20"/>
          <w:szCs w:val="20"/>
        </w:rPr>
        <w:t>č. 340/2015 Sb., o registru smluv, ve znění pozdějších předpisů. Uveřejnění smlouvy v registru smluv zajistí kupující.</w:t>
      </w:r>
    </w:p>
    <w:p w:rsidRPr="00AD050D" w:rsidR="00AD050D" w:rsidP="00AD050D" w:rsidRDefault="00AD050D">
      <w:pPr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eastAsia="Times New Roman" w:cs="Tahoma"/>
          <w:sz w:val="20"/>
          <w:szCs w:val="20"/>
        </w:rPr>
      </w:pPr>
      <w:r w:rsidRPr="00AD050D">
        <w:rPr>
          <w:rFonts w:ascii="Tahoma" w:hAnsi="Tahoma" w:eastAsia="Times New Roman" w:cs="Tahoma"/>
          <w:sz w:val="20"/>
          <w:szCs w:val="20"/>
        </w:rPr>
        <w:t xml:space="preserve">Tato smlouva se řídí právním řádem České republiky, zejména občanským zákoníkem. </w:t>
      </w:r>
    </w:p>
    <w:p w:rsidRPr="00AD050D" w:rsidR="00AD050D" w:rsidP="00AD050D" w:rsidRDefault="00AD050D">
      <w:pPr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eastAsia="Times New Roman" w:cs="Tahoma"/>
          <w:sz w:val="20"/>
          <w:szCs w:val="20"/>
        </w:rPr>
      </w:pPr>
      <w:r w:rsidRPr="00AD050D">
        <w:rPr>
          <w:rFonts w:ascii="Tahoma" w:hAnsi="Tahoma" w:eastAsia="Times New Roman" w:cs="Tahoma"/>
          <w:sz w:val="20"/>
          <w:szCs w:val="20"/>
        </w:rPr>
        <w:t>Tuto smlouvu lze měnit pouze číslovanými dodatky, podepsanými oběma smluvními stranami.</w:t>
      </w:r>
    </w:p>
    <w:p w:rsidRPr="00AD050D" w:rsidR="00AD050D" w:rsidP="00AD050D" w:rsidRDefault="00AD050D">
      <w:pPr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eastAsia="Times New Roman" w:cs="Tahoma"/>
          <w:sz w:val="20"/>
          <w:szCs w:val="20"/>
        </w:rPr>
      </w:pPr>
      <w:r w:rsidRPr="00AD050D">
        <w:rPr>
          <w:rFonts w:ascii="Tahoma" w:hAnsi="Tahoma" w:eastAsia="Times New Roman" w:cs="Tahoma"/>
          <w:sz w:val="20"/>
          <w:szCs w:val="20"/>
        </w:rPr>
        <w:t xml:space="preserve">Případná neplatnost některého ustanovení této smlouvy nemá za následek neplatnost ostatních ustanovení. </w:t>
      </w:r>
    </w:p>
    <w:p w:rsidRPr="00AD050D" w:rsidR="00AD050D" w:rsidP="00AD050D" w:rsidRDefault="00AD050D">
      <w:pPr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eastAsia="Times New Roman" w:cs="Tahoma"/>
          <w:sz w:val="20"/>
          <w:szCs w:val="20"/>
        </w:rPr>
      </w:pPr>
      <w:r w:rsidRPr="00AD050D">
        <w:rPr>
          <w:rFonts w:ascii="Tahoma" w:hAnsi="Tahoma" w:eastAsia="Times New Roman" w:cs="Tahoma"/>
          <w:sz w:val="20"/>
          <w:szCs w:val="20"/>
        </w:rPr>
        <w:t>Smluvní strany se dohodly, že případné spory budou přednostně řešeny dohodou. V případě, že nedojde k dohodě smluvních stran, bude spor řešen místně a věcně příslušným soudem.</w:t>
      </w:r>
    </w:p>
    <w:p w:rsidRPr="00AD050D" w:rsidR="00AD050D" w:rsidP="00AD050D" w:rsidRDefault="00AD050D">
      <w:pPr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eastAsia="Times New Roman" w:cs="Tahoma"/>
          <w:sz w:val="20"/>
          <w:szCs w:val="20"/>
        </w:rPr>
      </w:pPr>
      <w:r w:rsidRPr="00AD050D">
        <w:rPr>
          <w:rFonts w:ascii="Tahoma" w:hAnsi="Tahoma" w:eastAsia="Times New Roman" w:cs="Tahoma"/>
          <w:sz w:val="20"/>
          <w:szCs w:val="20"/>
        </w:rPr>
        <w:lastRenderedPageBreak/>
        <w:t>Smluvní strany prohlašují, že skutečnosti uvedené v této smlouvě nepovažují za obchodní tajemství ve smyslu občanského zákoníku a udělují souhlas k jejich užití a zveřejnění bez stanovení jakýchkoli dalších podmínek.</w:t>
      </w:r>
    </w:p>
    <w:p w:rsidRPr="00AD050D" w:rsidR="00AD050D" w:rsidP="00AD050D" w:rsidRDefault="00AD050D">
      <w:pPr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eastAsia="Times New Roman" w:cs="Tahoma"/>
          <w:sz w:val="20"/>
          <w:szCs w:val="20"/>
        </w:rPr>
      </w:pPr>
      <w:r w:rsidRPr="00AD050D">
        <w:rPr>
          <w:rFonts w:ascii="Tahoma" w:hAnsi="Tahoma" w:eastAsia="Times New Roman" w:cs="Tahoma"/>
          <w:sz w:val="20"/>
          <w:szCs w:val="20"/>
        </w:rPr>
        <w:t>Tato smlouva je vyhotovena v jednom stejnopise v elektronické podobě.</w:t>
      </w:r>
    </w:p>
    <w:p w:rsidRPr="00AD050D" w:rsidR="00AD050D" w:rsidP="00AD050D" w:rsidRDefault="00AD050D">
      <w:pPr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eastAsia="Times New Roman" w:cs="Tahoma"/>
          <w:sz w:val="20"/>
          <w:szCs w:val="20"/>
        </w:rPr>
      </w:pPr>
      <w:r w:rsidRPr="00AD050D">
        <w:rPr>
          <w:rFonts w:ascii="Tahoma" w:hAnsi="Tahoma" w:eastAsia="Times New Roman" w:cs="Tahoma"/>
          <w:sz w:val="20"/>
          <w:szCs w:val="20"/>
        </w:rPr>
        <w:t>Smluvní strany prohlašují, že se s obsahem smlouvy řádně seznámily, že byla sepsána dle jejich svobodné a vážné vůle a nebyla sjednána v tísni a za nápadně nevýhodných podmínek.</w:t>
      </w:r>
    </w:p>
    <w:p w:rsidRPr="00AD050D" w:rsidR="00AD050D" w:rsidP="00AD050D" w:rsidRDefault="00AD050D">
      <w:pPr>
        <w:numPr>
          <w:ilvl w:val="1"/>
          <w:numId w:val="8"/>
        </w:numPr>
        <w:spacing w:after="120" w:line="240" w:lineRule="auto"/>
        <w:ind w:left="567" w:hanging="567"/>
        <w:jc w:val="both"/>
        <w:rPr>
          <w:rFonts w:ascii="Tahoma" w:hAnsi="Tahoma" w:eastAsia="Times New Roman" w:cs="Tahoma"/>
          <w:sz w:val="20"/>
          <w:szCs w:val="20"/>
        </w:rPr>
      </w:pPr>
      <w:r w:rsidRPr="00AD050D">
        <w:rPr>
          <w:rFonts w:ascii="Tahoma" w:hAnsi="Tahoma" w:eastAsia="Times New Roman" w:cs="Tahoma"/>
          <w:sz w:val="20"/>
          <w:szCs w:val="20"/>
        </w:rPr>
        <w:t>Uzavření této smlouvy schválila Rada městské části Praha 14 usnesením č. ........./RMČ/2021 ze dne ............... 2021.</w:t>
      </w:r>
    </w:p>
    <w:p w:rsidRPr="00AD050D" w:rsidR="00AD050D" w:rsidP="00AD050D" w:rsidRDefault="00AD050D">
      <w:pPr>
        <w:spacing w:after="120" w:line="240" w:lineRule="auto"/>
        <w:ind w:left="567" w:hanging="567"/>
        <w:jc w:val="both"/>
        <w:rPr>
          <w:rFonts w:ascii="Tahoma" w:hAnsi="Tahoma" w:eastAsia="Times New Roman" w:cs="Tahoma"/>
          <w:sz w:val="20"/>
          <w:szCs w:val="20"/>
          <w:lang w:eastAsia="cs-CZ"/>
        </w:rPr>
      </w:pPr>
    </w:p>
    <w:p w:rsidRPr="00AD050D" w:rsidR="00AD050D" w:rsidP="00AD050D" w:rsidRDefault="00AD050D">
      <w:pPr>
        <w:spacing w:after="120" w:line="240" w:lineRule="auto"/>
        <w:ind w:left="567" w:hanging="567"/>
        <w:jc w:val="both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Přílohy: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</w:p>
    <w:p w:rsidRPr="00AD050D" w:rsidR="00AD050D" w:rsidP="00AD050D" w:rsidRDefault="00AD050D">
      <w:pPr>
        <w:spacing w:after="120" w:line="240" w:lineRule="auto"/>
        <w:ind w:left="567" w:hanging="567"/>
        <w:jc w:val="both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č. 1 - Technická specifikace předmětu plnění včetně technické specifikace k dodanému HW a SW</w:t>
      </w:r>
    </w:p>
    <w:p w:rsidRPr="00AD050D" w:rsidR="00AD050D" w:rsidP="00AD050D" w:rsidRDefault="00AD050D">
      <w:pPr>
        <w:spacing w:after="120" w:line="240" w:lineRule="auto"/>
        <w:jc w:val="both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 xml:space="preserve">č. 2  - Položkový rozpočet (cenová nabídka) – </w:t>
      </w:r>
      <w:r w:rsidRPr="00AD050D">
        <w:rPr>
          <w:rFonts w:ascii="Tahoma" w:hAnsi="Tahoma" w:eastAsia="Times New Roman" w:cs="Tahoma"/>
          <w:sz w:val="20"/>
          <w:szCs w:val="20"/>
          <w:highlight w:val="yellow"/>
          <w:lang w:eastAsia="cs-CZ"/>
        </w:rPr>
        <w:t>doplní účastník</w:t>
      </w:r>
    </w:p>
    <w:p w:rsidRPr="00AD050D" w:rsidR="00AD050D" w:rsidP="00AD050D" w:rsidRDefault="00AD050D">
      <w:pPr>
        <w:spacing w:after="120" w:line="240" w:lineRule="auto"/>
        <w:jc w:val="both"/>
        <w:rPr>
          <w:rFonts w:ascii="Tahoma" w:hAnsi="Tahoma" w:eastAsia="Times New Roman" w:cs="Tahoma"/>
          <w:sz w:val="20"/>
          <w:szCs w:val="20"/>
          <w:lang w:eastAsia="cs-CZ"/>
        </w:rPr>
      </w:pPr>
    </w:p>
    <w:p w:rsidRPr="00AD050D" w:rsidR="00AD050D" w:rsidP="00AD050D" w:rsidRDefault="00AD050D">
      <w:pPr>
        <w:spacing w:after="120" w:line="240" w:lineRule="auto"/>
        <w:jc w:val="both"/>
        <w:rPr>
          <w:rFonts w:ascii="Tahoma" w:hAnsi="Tahoma" w:eastAsia="Times New Roman" w:cs="Tahoma"/>
          <w:sz w:val="20"/>
          <w:szCs w:val="20"/>
          <w:lang w:eastAsia="cs-CZ"/>
        </w:rPr>
      </w:pPr>
    </w:p>
    <w:p w:rsidRPr="00AD050D" w:rsidR="00AD050D" w:rsidP="00AD050D" w:rsidRDefault="00AD050D">
      <w:pPr>
        <w:spacing w:after="120" w:line="240" w:lineRule="auto"/>
        <w:jc w:val="both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Kupující:</w:t>
      </w: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ab/>
        <w:t>Prodávající:</w:t>
      </w:r>
    </w:p>
    <w:p w:rsidRPr="00AD050D" w:rsidR="00AD050D" w:rsidP="00AD050D" w:rsidRDefault="00AD050D">
      <w:pPr>
        <w:spacing w:after="120" w:line="240" w:lineRule="auto"/>
        <w:jc w:val="both"/>
        <w:rPr>
          <w:rFonts w:ascii="Tahoma" w:hAnsi="Tahoma" w:eastAsia="Times New Roman" w:cs="Tahoma"/>
          <w:b/>
          <w:sz w:val="20"/>
          <w:szCs w:val="20"/>
          <w:lang w:eastAsia="cs-CZ"/>
        </w:rPr>
      </w:pPr>
    </w:p>
    <w:p w:rsidRPr="00AD050D" w:rsidR="00AD050D" w:rsidP="00AD050D" w:rsidRDefault="00AD050D">
      <w:pPr>
        <w:spacing w:after="120" w:line="240" w:lineRule="auto"/>
        <w:jc w:val="both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V Praze dne ............................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  <w:t xml:space="preserve">V </w:t>
      </w:r>
      <w:r w:rsidRPr="00AD050D">
        <w:rPr>
          <w:rFonts w:ascii="Tahoma" w:hAnsi="Tahoma" w:eastAsia="Times New Roman" w:cs="Tahoma"/>
          <w:sz w:val="20"/>
          <w:szCs w:val="20"/>
          <w:highlight w:val="yellow"/>
          <w:lang w:eastAsia="cs-CZ"/>
        </w:rPr>
        <w:t>..................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 xml:space="preserve"> dne </w:t>
      </w:r>
      <w:r w:rsidRPr="00AD050D">
        <w:rPr>
          <w:rFonts w:ascii="Tahoma" w:hAnsi="Tahoma" w:eastAsia="Times New Roman" w:cs="Tahoma"/>
          <w:sz w:val="20"/>
          <w:szCs w:val="20"/>
          <w:highlight w:val="yellow"/>
          <w:lang w:eastAsia="cs-CZ"/>
        </w:rPr>
        <w:t>..................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...............................................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highlight w:val="yellow"/>
          <w:lang w:eastAsia="cs-CZ"/>
        </w:rPr>
        <w:t>...............................................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b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>Městská část Praha 14</w:t>
      </w: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b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b/>
          <w:sz w:val="20"/>
          <w:szCs w:val="20"/>
          <w:highlight w:val="yellow"/>
          <w:lang w:eastAsia="cs-CZ"/>
        </w:rPr>
        <w:t>Název subjektu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sz w:val="20"/>
          <w:szCs w:val="20"/>
          <w:lang w:eastAsia="cs-CZ"/>
        </w:rPr>
        <w:t>Jiří Zajac, starosta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highlight w:val="yellow"/>
          <w:lang w:eastAsia="cs-CZ"/>
        </w:rPr>
        <w:t>Jméno a příjmení zástupce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  <w:t xml:space="preserve">   </w:t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sz w:val="20"/>
          <w:szCs w:val="20"/>
          <w:lang w:eastAsia="cs-CZ"/>
        </w:rPr>
        <w:tab/>
        <w:t xml:space="preserve">         </w:t>
      </w:r>
    </w:p>
    <w:p w:rsidRPr="00AD050D" w:rsidR="00AD050D" w:rsidP="00AD050D" w:rsidRDefault="00AD050D">
      <w:pPr>
        <w:spacing w:after="0" w:line="240" w:lineRule="auto"/>
        <w:ind w:left="1416"/>
        <w:rPr>
          <w:rFonts w:ascii="Tahoma" w:hAnsi="Tahoma" w:eastAsia="Times New Roman" w:cs="Tahoma"/>
          <w:sz w:val="20"/>
          <w:szCs w:val="20"/>
          <w:lang w:eastAsia="cs-CZ"/>
        </w:rPr>
      </w:pP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</w:p>
    <w:p w:rsidRPr="00AD050D" w:rsidR="00AD050D" w:rsidP="00AD050D" w:rsidRDefault="00AD050D">
      <w:pPr>
        <w:spacing w:after="0" w:line="240" w:lineRule="auto"/>
        <w:jc w:val="both"/>
        <w:rPr>
          <w:rFonts w:ascii="Tahoma" w:hAnsi="Tahoma" w:eastAsia="Times New Roman" w:cs="Tahoma"/>
          <w:i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i/>
          <w:sz w:val="20"/>
          <w:szCs w:val="20"/>
          <w:lang w:eastAsia="cs-CZ"/>
        </w:rPr>
        <w:t>Potvrzujeme, že ve smyslu § 43 odst. 1 zákona č. 131/2000 Sb., o hlavním městě Praze, ve znění pozdějších předpisů, byly splněny podmínky pro platnost tohoto právního jednání.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i/>
          <w:sz w:val="20"/>
          <w:szCs w:val="20"/>
          <w:lang w:eastAsia="cs-CZ"/>
        </w:rPr>
      </w:pP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i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i/>
          <w:sz w:val="20"/>
          <w:szCs w:val="20"/>
          <w:lang w:eastAsia="cs-CZ"/>
        </w:rPr>
        <w:t>Pověření členové Zastupitelstva městské části Praha 14: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i/>
          <w:sz w:val="20"/>
          <w:szCs w:val="20"/>
          <w:lang w:eastAsia="cs-CZ"/>
        </w:rPr>
      </w:pP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i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i/>
          <w:sz w:val="20"/>
          <w:szCs w:val="20"/>
          <w:lang w:eastAsia="cs-CZ"/>
        </w:rPr>
        <w:tab/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i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i/>
          <w:sz w:val="20"/>
          <w:szCs w:val="20"/>
          <w:lang w:eastAsia="cs-CZ"/>
        </w:rPr>
        <w:t>V Praze dne</w:t>
      </w:r>
      <w:r w:rsidRPr="00AD050D">
        <w:rPr>
          <w:rFonts w:ascii="Tahoma" w:hAnsi="Tahoma" w:eastAsia="Times New Roman" w:cs="Tahoma"/>
          <w:i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i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i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i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i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i/>
          <w:sz w:val="20"/>
          <w:szCs w:val="20"/>
          <w:lang w:eastAsia="cs-CZ"/>
        </w:rPr>
        <w:tab/>
        <w:t xml:space="preserve">V Praze dne 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i/>
          <w:sz w:val="20"/>
          <w:szCs w:val="20"/>
          <w:lang w:eastAsia="cs-CZ"/>
        </w:rPr>
      </w:pP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i/>
          <w:sz w:val="20"/>
          <w:szCs w:val="20"/>
          <w:lang w:eastAsia="cs-CZ"/>
        </w:rPr>
      </w:pP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i/>
          <w:sz w:val="20"/>
          <w:szCs w:val="20"/>
          <w:lang w:eastAsia="cs-CZ"/>
        </w:rPr>
      </w:pP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i/>
          <w:sz w:val="20"/>
          <w:szCs w:val="20"/>
          <w:lang w:eastAsia="cs-CZ"/>
        </w:rPr>
      </w:pP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i/>
          <w:sz w:val="20"/>
          <w:szCs w:val="20"/>
          <w:lang w:eastAsia="cs-CZ"/>
        </w:rPr>
      </w:pP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i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i/>
          <w:sz w:val="20"/>
          <w:szCs w:val="20"/>
          <w:lang w:eastAsia="cs-CZ"/>
        </w:rPr>
        <w:t>__________________________________</w:t>
      </w:r>
      <w:r w:rsidRPr="00AD050D">
        <w:rPr>
          <w:rFonts w:ascii="Tahoma" w:hAnsi="Tahoma" w:eastAsia="Times New Roman" w:cs="Tahoma"/>
          <w:i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i/>
          <w:sz w:val="20"/>
          <w:szCs w:val="20"/>
          <w:lang w:eastAsia="cs-CZ"/>
        </w:rPr>
        <w:tab/>
        <w:t>__________________________________</w:t>
      </w:r>
    </w:p>
    <w:p w:rsidRPr="00AD050D" w:rsidR="00AD050D" w:rsidP="00AD050D" w:rsidRDefault="00AD050D">
      <w:pPr>
        <w:spacing w:after="0" w:line="240" w:lineRule="auto"/>
        <w:rPr>
          <w:rFonts w:ascii="Tahoma" w:hAnsi="Tahoma" w:eastAsia="Times New Roman" w:cs="Tahoma"/>
          <w:sz w:val="20"/>
          <w:szCs w:val="20"/>
          <w:lang w:eastAsia="cs-CZ"/>
        </w:rPr>
      </w:pPr>
      <w:r w:rsidRPr="00AD050D">
        <w:rPr>
          <w:rFonts w:ascii="Tahoma" w:hAnsi="Tahoma" w:eastAsia="Times New Roman" w:cs="Tahoma"/>
          <w:i/>
          <w:sz w:val="20"/>
          <w:szCs w:val="20"/>
          <w:lang w:eastAsia="cs-CZ"/>
        </w:rPr>
        <w:t>člen Zastupitelstva městské části Praha 14</w:t>
      </w:r>
      <w:r w:rsidRPr="00AD050D">
        <w:rPr>
          <w:rFonts w:ascii="Tahoma" w:hAnsi="Tahoma" w:eastAsia="Times New Roman" w:cs="Tahoma"/>
          <w:i/>
          <w:sz w:val="20"/>
          <w:szCs w:val="20"/>
          <w:lang w:eastAsia="cs-CZ"/>
        </w:rPr>
        <w:tab/>
      </w:r>
      <w:r w:rsidRPr="00AD050D">
        <w:rPr>
          <w:rFonts w:ascii="Tahoma" w:hAnsi="Tahoma" w:eastAsia="Times New Roman" w:cs="Tahoma"/>
          <w:i/>
          <w:sz w:val="20"/>
          <w:szCs w:val="20"/>
          <w:lang w:eastAsia="cs-CZ"/>
        </w:rPr>
        <w:tab/>
        <w:t>člen Zastupitelstva městské části Praha 14</w:t>
      </w:r>
    </w:p>
    <w:p w:rsidR="00707997" w:rsidRDefault="00707997">
      <w:bookmarkStart w:name="_GoBack" w:id="1"/>
      <w:bookmarkEnd w:id="1"/>
    </w:p>
    <w:sectPr w:rsidR="007079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rPr>
        <w:rFonts w:ascii="Tahoma" w:hAnsi="Tahoma" w:cs="Tahoma"/>
        <w:sz w:val="20"/>
        <w:szCs w:val="20"/>
      </w:rPr>
      <w:id w:val="170150443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E06482" w:rsidR="00EB1CA5" w:rsidRDefault="00AD050D">
            <w:pPr>
              <w:pStyle w:val="Zpa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06482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E06482">
              <w:rPr>
                <w:rFonts w:ascii="Tahoma" w:hAnsi="Tahoma" w:cs="Tahoma"/>
                <w:bCs/>
                <w:sz w:val="20"/>
                <w:szCs w:val="20"/>
              </w:rPr>
              <w:instrText>PAGE</w:instrText>
            </w:r>
            <w:r w:rsidRPr="00E06482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4</w:t>
            </w:r>
            <w:r w:rsidRPr="00E06482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E06482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E06482">
              <w:rPr>
                <w:rFonts w:ascii="Tahoma" w:hAnsi="Tahoma" w:cs="Tahoma"/>
                <w:bCs/>
                <w:sz w:val="20"/>
                <w:szCs w:val="20"/>
              </w:rPr>
              <w:instrText>NUMPAGES</w:instrText>
            </w:r>
            <w:r w:rsidRPr="00E06482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4</w:t>
            </w:r>
            <w:r w:rsidRPr="00E06482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71A78" w:rsidRDefault="00AD050D">
    <w:pPr>
      <w:pStyle w:val="Zpat"/>
    </w:pPr>
  </w:p>
</w:ftr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6B02FD" w:rsidR="006B02FD" w:rsidP="006B02FD" w:rsidRDefault="00AD050D">
    <w:pPr>
      <w:tabs>
        <w:tab w:val="left" w:pos="0"/>
        <w:tab w:val="left" w:pos="6465"/>
        <w:tab w:val="right" w:pos="9026"/>
      </w:tabs>
      <w:jc w:val="both"/>
      <w:rPr>
        <w:rFonts w:ascii="Calibri" w:hAnsi="Calibri" w:eastAsia="Calibri"/>
      </w:rPr>
    </w:pPr>
    <w:r w:rsidRPr="006B02FD">
      <w:rPr>
        <w:rFonts w:ascii="Calibri" w:hAnsi="Calibri" w:eastAsia="Calibri"/>
        <w:noProof/>
      </w:rPr>
      <w:drawing>
        <wp:inline distT="0" distB="0" distL="0" distR="0">
          <wp:extent cx="1837566" cy="381000"/>
          <wp:effectExtent l="0" t="0" r="0" b="0"/>
          <wp:docPr id="1" name="Obrázek 1" descr="C:\Users\se02\AppData\Local\Microsoft\Windows\INetCache\Content.Outlook\LXN360SS\Logo OPZ barevné (003)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C:\Users\se02\AppData\Local\Microsoft\Windows\INetCache\Content.Outlook\LXN360SS\Logo OPZ barevné (003)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242" cy="38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02FD">
      <w:rPr>
        <w:rFonts w:ascii="Calibri" w:hAnsi="Calibri" w:eastAsia="Calibri"/>
      </w:rPr>
      <w:tab/>
    </w:r>
    <w:r w:rsidRPr="006B02FD">
      <w:rPr>
        <w:rFonts w:ascii="Calibri" w:hAnsi="Calibri" w:eastAsia="Calibri"/>
        <w:noProof/>
      </w:rPr>
      <w:drawing>
        <wp:inline distT="0" distB="0" distL="0" distR="0">
          <wp:extent cx="514350" cy="438150"/>
          <wp:effectExtent l="0" t="0" r="0" b="0"/>
          <wp:docPr id="4" name="Obrázek 4" descr="H:\Projekty\Příměstské tábory\logoMPSV-m-sm.jpg"/>
          <wp:cNvGraphicFramePr/>
          <a:graphic>
            <a:graphicData uri="http://schemas.openxmlformats.org/drawingml/2006/picture">
              <pic:pic>
                <pic:nvPicPr>
                  <pic:cNvPr id="3" name="Obrázek 3" descr="H:\Projekty\Příměstské tábory\logoMPSV-m-sm.jpg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2FD" w:rsidRDefault="00AD050D">
    <w:pPr>
      <w:pStyle w:val="Zhlav"/>
      <w:rPr>
        <w:rFonts w:ascii="Tahoma" w:hAnsi="Tahoma" w:cs="Tahoma"/>
        <w:sz w:val="16"/>
        <w:szCs w:val="16"/>
      </w:rPr>
    </w:pPr>
  </w:p>
  <w:p w:rsidR="006B02FD" w:rsidRDefault="00AD050D">
    <w:pPr>
      <w:pStyle w:val="Zhlav"/>
      <w:rPr>
        <w:rFonts w:ascii="Tahoma" w:hAnsi="Tahoma" w:cs="Tahoma"/>
        <w:sz w:val="16"/>
        <w:szCs w:val="16"/>
      </w:rPr>
    </w:pPr>
  </w:p>
  <w:p w:rsidR="007D0738" w:rsidRDefault="00AD050D">
    <w:pPr>
      <w:pStyle w:val="Zhlav"/>
      <w:rPr>
        <w:rFonts w:ascii="Tahoma" w:hAnsi="Tahoma" w:cs="Tahoma"/>
        <w:sz w:val="16"/>
        <w:szCs w:val="16"/>
      </w:rPr>
    </w:pPr>
    <w:r w:rsidRPr="007D0738">
      <w:rPr>
        <w:rFonts w:ascii="Tahoma" w:hAnsi="Tahoma" w:cs="Tahoma"/>
        <w:sz w:val="16"/>
        <w:szCs w:val="16"/>
      </w:rPr>
      <w:t xml:space="preserve">Městská část Praha 14                                                                 </w:t>
    </w:r>
    <w:r>
      <w:rPr>
        <w:rFonts w:ascii="Tahoma" w:hAnsi="Tahoma" w:cs="Tahoma"/>
        <w:sz w:val="16"/>
        <w:szCs w:val="16"/>
      </w:rPr>
      <w:t xml:space="preserve">      </w:t>
    </w:r>
    <w:r>
      <w:rPr>
        <w:rFonts w:ascii="Tahoma" w:hAnsi="Tahoma" w:cs="Tahoma"/>
        <w:sz w:val="16"/>
        <w:szCs w:val="16"/>
      </w:rPr>
      <w:t xml:space="preserve">                       Příloha č. 3 k výzvě na podání nabídek</w:t>
    </w:r>
  </w:p>
  <w:p w:rsidRPr="007D0738" w:rsidR="00787662" w:rsidRDefault="00AD050D">
    <w:pPr>
      <w:pStyle w:val="Zhlav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23522D09"/>
    <w:multiLevelType w:val="multilevel"/>
    <w:tmpl w:val="B92C570E"/>
    <w:lvl w:ilvl="0">
      <w:start w:val="8"/>
      <w:numFmt w:val="decimal"/>
      <w:lvlText w:val="%1"/>
      <w:lvlJc w:val="left"/>
      <w:pPr>
        <w:ind w:left="90" w:hanging="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0" w:hanging="1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0" w:hanging="1530"/>
      </w:pPr>
      <w:rPr>
        <w:rFonts w:hint="default"/>
      </w:rPr>
    </w:lvl>
  </w:abstractNum>
  <w:abstractNum w:abstractNumId="1">
    <w:nsid w:val="32C2780F"/>
    <w:multiLevelType w:val="multilevel"/>
    <w:tmpl w:val="4EB290B0"/>
    <w:lvl w:ilvl="0">
      <w:start w:val="5"/>
      <w:numFmt w:val="decimal"/>
      <w:lvlText w:val="%1"/>
      <w:lvlJc w:val="left"/>
      <w:pPr>
        <w:ind w:left="90" w:hanging="90"/>
      </w:pPr>
      <w:rPr>
        <w:rFonts w:hint="default"/>
        <w:b w:val="false"/>
        <w:color w:val="0D0D0D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 w:val="false"/>
        <w:color w:val="0D0D0D"/>
      </w:rPr>
    </w:lvl>
    <w:lvl w:ilvl="2">
      <w:start w:val="1"/>
      <w:numFmt w:val="decimal"/>
      <w:lvlText w:val="%1.%2.%3"/>
      <w:lvlJc w:val="left"/>
      <w:pPr>
        <w:ind w:left="1890" w:hanging="450"/>
      </w:pPr>
      <w:rPr>
        <w:rFonts w:hint="default"/>
        <w:b w:val="false"/>
        <w:color w:val="0D0D0D"/>
      </w:rPr>
    </w:lvl>
    <w:lvl w:ilvl="3">
      <w:start w:val="1"/>
      <w:numFmt w:val="decimal"/>
      <w:lvlText w:val="%1.%2.%3.%4"/>
      <w:lvlJc w:val="left"/>
      <w:pPr>
        <w:ind w:left="2970" w:hanging="810"/>
      </w:pPr>
      <w:rPr>
        <w:rFonts w:hint="default"/>
        <w:b w:val="false"/>
        <w:color w:val="0D0D0D"/>
      </w:rPr>
    </w:lvl>
    <w:lvl w:ilvl="4">
      <w:start w:val="1"/>
      <w:numFmt w:val="decimal"/>
      <w:lvlText w:val="%1.%2.%3.%4.%5"/>
      <w:lvlJc w:val="left"/>
      <w:pPr>
        <w:ind w:left="3690" w:hanging="810"/>
      </w:pPr>
      <w:rPr>
        <w:rFonts w:hint="default"/>
        <w:b w:val="false"/>
        <w:color w:val="0D0D0D"/>
      </w:rPr>
    </w:lvl>
    <w:lvl w:ilvl="5">
      <w:start w:val="1"/>
      <w:numFmt w:val="decimal"/>
      <w:lvlText w:val="%1.%2.%3.%4.%5.%6"/>
      <w:lvlJc w:val="left"/>
      <w:pPr>
        <w:ind w:left="4770" w:hanging="1170"/>
      </w:pPr>
      <w:rPr>
        <w:rFonts w:hint="default"/>
        <w:b w:val="false"/>
        <w:color w:val="0D0D0D"/>
      </w:rPr>
    </w:lvl>
    <w:lvl w:ilvl="6">
      <w:start w:val="1"/>
      <w:numFmt w:val="decimal"/>
      <w:lvlText w:val="%1.%2.%3.%4.%5.%6.%7"/>
      <w:lvlJc w:val="left"/>
      <w:pPr>
        <w:ind w:left="5850" w:hanging="1530"/>
      </w:pPr>
      <w:rPr>
        <w:rFonts w:hint="default"/>
        <w:b w:val="false"/>
        <w:color w:val="0D0D0D"/>
      </w:rPr>
    </w:lvl>
    <w:lvl w:ilvl="7">
      <w:start w:val="1"/>
      <w:numFmt w:val="decimal"/>
      <w:lvlText w:val="%1.%2.%3.%4.%5.%6.%7.%8"/>
      <w:lvlJc w:val="left"/>
      <w:pPr>
        <w:ind w:left="6570" w:hanging="1530"/>
      </w:pPr>
      <w:rPr>
        <w:rFonts w:hint="default"/>
        <w:b w:val="false"/>
        <w:color w:val="0D0D0D"/>
      </w:rPr>
    </w:lvl>
    <w:lvl w:ilvl="8">
      <w:start w:val="1"/>
      <w:numFmt w:val="decimal"/>
      <w:lvlText w:val="%1.%2.%3.%4.%5.%6.%7.%8.%9"/>
      <w:lvlJc w:val="left"/>
      <w:pPr>
        <w:ind w:left="7650" w:hanging="1890"/>
      </w:pPr>
      <w:rPr>
        <w:rFonts w:hint="default"/>
        <w:b w:val="false"/>
        <w:color w:val="0D0D0D"/>
      </w:rPr>
    </w:lvl>
  </w:abstractNum>
  <w:abstractNum w:abstractNumId="2">
    <w:nsid w:val="3CF703BB"/>
    <w:multiLevelType w:val="multilevel"/>
    <w:tmpl w:val="7D76AE06"/>
    <w:lvl w:ilvl="0">
      <w:start w:val="3"/>
      <w:numFmt w:val="decimal"/>
      <w:lvlText w:val="%1"/>
      <w:lvlJc w:val="left"/>
      <w:pPr>
        <w:ind w:left="90" w:hanging="90"/>
      </w:pPr>
      <w:rPr>
        <w:rFonts w:hint="default"/>
        <w:color w:val="0D0D0D"/>
      </w:rPr>
    </w:lvl>
    <w:lvl w:ilvl="1">
      <w:start w:val="1"/>
      <w:numFmt w:val="decimal"/>
      <w:lvlText w:val="%1.%2"/>
      <w:lvlJc w:val="left"/>
      <w:pPr>
        <w:ind w:left="810" w:hanging="90"/>
      </w:pPr>
      <w:rPr>
        <w:rFonts w:hint="default"/>
        <w:color w:val="0D0D0D"/>
      </w:rPr>
    </w:lvl>
    <w:lvl w:ilvl="2">
      <w:start w:val="1"/>
      <w:numFmt w:val="decimal"/>
      <w:lvlText w:val="%1.%2.%3"/>
      <w:lvlJc w:val="left"/>
      <w:pPr>
        <w:ind w:left="1890" w:hanging="450"/>
      </w:pPr>
      <w:rPr>
        <w:rFonts w:hint="default"/>
        <w:color w:val="0D0D0D"/>
      </w:rPr>
    </w:lvl>
    <w:lvl w:ilvl="3">
      <w:start w:val="1"/>
      <w:numFmt w:val="decimal"/>
      <w:lvlText w:val="%1.%2.%3.%4"/>
      <w:lvlJc w:val="left"/>
      <w:pPr>
        <w:ind w:left="2970" w:hanging="810"/>
      </w:pPr>
      <w:rPr>
        <w:rFonts w:hint="default"/>
        <w:color w:val="0D0D0D"/>
      </w:rPr>
    </w:lvl>
    <w:lvl w:ilvl="4">
      <w:start w:val="1"/>
      <w:numFmt w:val="decimal"/>
      <w:lvlText w:val="%1.%2.%3.%4.%5"/>
      <w:lvlJc w:val="left"/>
      <w:pPr>
        <w:ind w:left="3690" w:hanging="810"/>
      </w:pPr>
      <w:rPr>
        <w:rFonts w:hint="default"/>
        <w:color w:val="0D0D0D"/>
      </w:rPr>
    </w:lvl>
    <w:lvl w:ilvl="5">
      <w:start w:val="1"/>
      <w:numFmt w:val="decimal"/>
      <w:lvlText w:val="%1.%2.%3.%4.%5.%6"/>
      <w:lvlJc w:val="left"/>
      <w:pPr>
        <w:ind w:left="4770" w:hanging="1170"/>
      </w:pPr>
      <w:rPr>
        <w:rFonts w:hint="default"/>
        <w:color w:val="0D0D0D"/>
      </w:rPr>
    </w:lvl>
    <w:lvl w:ilvl="6">
      <w:start w:val="1"/>
      <w:numFmt w:val="decimal"/>
      <w:lvlText w:val="%1.%2.%3.%4.%5.%6.%7"/>
      <w:lvlJc w:val="left"/>
      <w:pPr>
        <w:ind w:left="5490" w:hanging="1170"/>
      </w:pPr>
      <w:rPr>
        <w:rFonts w:hint="default"/>
        <w:color w:val="0D0D0D"/>
      </w:rPr>
    </w:lvl>
    <w:lvl w:ilvl="7">
      <w:start w:val="1"/>
      <w:numFmt w:val="decimal"/>
      <w:lvlText w:val="%1.%2.%3.%4.%5.%6.%7.%8"/>
      <w:lvlJc w:val="left"/>
      <w:pPr>
        <w:ind w:left="6570" w:hanging="1530"/>
      </w:pPr>
      <w:rPr>
        <w:rFonts w:hint="default"/>
        <w:color w:val="0D0D0D"/>
      </w:rPr>
    </w:lvl>
    <w:lvl w:ilvl="8">
      <w:start w:val="1"/>
      <w:numFmt w:val="decimal"/>
      <w:lvlText w:val="%1.%2.%3.%4.%5.%6.%7.%8.%9"/>
      <w:lvlJc w:val="left"/>
      <w:pPr>
        <w:ind w:left="7290" w:hanging="1530"/>
      </w:pPr>
      <w:rPr>
        <w:rFonts w:hint="default"/>
        <w:color w:val="0D0D0D"/>
      </w:rPr>
    </w:lvl>
  </w:abstractNum>
  <w:abstractNum w:abstractNumId="3">
    <w:nsid w:val="40B23DAC"/>
    <w:multiLevelType w:val="multilevel"/>
    <w:tmpl w:val="5A3639F6"/>
    <w:lvl w:ilvl="0">
      <w:start w:val="7"/>
      <w:numFmt w:val="decimal"/>
      <w:lvlText w:val="%1"/>
      <w:lvlJc w:val="left"/>
      <w:pPr>
        <w:ind w:left="90" w:hanging="90"/>
      </w:pPr>
      <w:rPr>
        <w:rFonts w:hint="default" w:eastAsia="Times New Roman"/>
      </w:rPr>
    </w:lvl>
    <w:lvl w:ilvl="1">
      <w:start w:val="1"/>
      <w:numFmt w:val="decimal"/>
      <w:lvlText w:val="%1.%2"/>
      <w:lvlJc w:val="left"/>
      <w:pPr>
        <w:ind w:left="810" w:hanging="90"/>
      </w:pPr>
      <w:rPr>
        <w:rFonts w:hint="default" w:eastAsia="Times New Roman"/>
      </w:rPr>
    </w:lvl>
    <w:lvl w:ilvl="2">
      <w:start w:val="1"/>
      <w:numFmt w:val="decimal"/>
      <w:lvlText w:val="%1.%2.%3"/>
      <w:lvlJc w:val="left"/>
      <w:pPr>
        <w:ind w:left="1890" w:hanging="450"/>
      </w:pPr>
      <w:rPr>
        <w:rFonts w:hint="default" w:eastAsia="Times New Roman"/>
      </w:rPr>
    </w:lvl>
    <w:lvl w:ilvl="3">
      <w:start w:val="1"/>
      <w:numFmt w:val="decimal"/>
      <w:lvlText w:val="%1.%2.%3.%4"/>
      <w:lvlJc w:val="left"/>
      <w:pPr>
        <w:ind w:left="2970" w:hanging="810"/>
      </w:pPr>
      <w:rPr>
        <w:rFonts w:hint="default" w:eastAsia="Times New Roman"/>
      </w:rPr>
    </w:lvl>
    <w:lvl w:ilvl="4">
      <w:start w:val="1"/>
      <w:numFmt w:val="decimal"/>
      <w:lvlText w:val="%1.%2.%3.%4.%5"/>
      <w:lvlJc w:val="left"/>
      <w:pPr>
        <w:ind w:left="3690" w:hanging="810"/>
      </w:pPr>
      <w:rPr>
        <w:rFonts w:hint="default" w:eastAsia="Times New Roman"/>
      </w:rPr>
    </w:lvl>
    <w:lvl w:ilvl="5">
      <w:start w:val="1"/>
      <w:numFmt w:val="decimal"/>
      <w:lvlText w:val="%1.%2.%3.%4.%5.%6"/>
      <w:lvlJc w:val="left"/>
      <w:pPr>
        <w:ind w:left="4770" w:hanging="1170"/>
      </w:pPr>
      <w:rPr>
        <w:rFonts w:hint="default" w:eastAsia="Times New Roman"/>
      </w:rPr>
    </w:lvl>
    <w:lvl w:ilvl="6">
      <w:start w:val="1"/>
      <w:numFmt w:val="decimal"/>
      <w:lvlText w:val="%1.%2.%3.%4.%5.%6.%7"/>
      <w:lvlJc w:val="left"/>
      <w:pPr>
        <w:ind w:left="5490" w:hanging="1170"/>
      </w:pPr>
      <w:rPr>
        <w:rFonts w:hint="default" w:eastAsia="Times New Roman"/>
      </w:rPr>
    </w:lvl>
    <w:lvl w:ilvl="7">
      <w:start w:val="1"/>
      <w:numFmt w:val="decimal"/>
      <w:lvlText w:val="%1.%2.%3.%4.%5.%6.%7.%8"/>
      <w:lvlJc w:val="left"/>
      <w:pPr>
        <w:ind w:left="6570" w:hanging="1530"/>
      </w:pPr>
      <w:rPr>
        <w:rFonts w:hint="default" w:eastAsia="Times New Roman"/>
      </w:rPr>
    </w:lvl>
    <w:lvl w:ilvl="8">
      <w:start w:val="1"/>
      <w:numFmt w:val="decimal"/>
      <w:lvlText w:val="%1.%2.%3.%4.%5.%6.%7.%8.%9"/>
      <w:lvlJc w:val="left"/>
      <w:pPr>
        <w:ind w:left="7290" w:hanging="1530"/>
      </w:pPr>
      <w:rPr>
        <w:rFonts w:hint="default" w:eastAsia="Times New Roman"/>
      </w:rPr>
    </w:lvl>
  </w:abstractNum>
  <w:abstractNum w:abstractNumId="4">
    <w:nsid w:val="51DF30EC"/>
    <w:multiLevelType w:val="multilevel"/>
    <w:tmpl w:val="1D6AD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5611149B"/>
    <w:multiLevelType w:val="multilevel"/>
    <w:tmpl w:val="7F22C1BE"/>
    <w:lvl w:ilvl="0">
      <w:start w:val="6"/>
      <w:numFmt w:val="decimal"/>
      <w:lvlText w:val="%1"/>
      <w:lvlJc w:val="left"/>
      <w:pPr>
        <w:ind w:left="90" w:hanging="90"/>
      </w:pPr>
      <w:rPr>
        <w:rFonts w:hint="default"/>
        <w:b w:val="false"/>
        <w:color w:val="0D0D0D"/>
      </w:rPr>
    </w:lvl>
    <w:lvl w:ilvl="1">
      <w:start w:val="1"/>
      <w:numFmt w:val="decimal"/>
      <w:lvlText w:val="%1.%2"/>
      <w:lvlJc w:val="left"/>
      <w:pPr>
        <w:ind w:left="810" w:hanging="90"/>
      </w:pPr>
      <w:rPr>
        <w:rFonts w:hint="default"/>
        <w:b w:val="false"/>
        <w:color w:val="0D0D0D"/>
      </w:rPr>
    </w:lvl>
    <w:lvl w:ilvl="2">
      <w:start w:val="1"/>
      <w:numFmt w:val="decimal"/>
      <w:lvlText w:val="%1.%2.%3"/>
      <w:lvlJc w:val="left"/>
      <w:pPr>
        <w:ind w:left="1890" w:hanging="450"/>
      </w:pPr>
      <w:rPr>
        <w:rFonts w:hint="default"/>
        <w:b w:val="false"/>
        <w:color w:val="0D0D0D"/>
      </w:rPr>
    </w:lvl>
    <w:lvl w:ilvl="3">
      <w:start w:val="1"/>
      <w:numFmt w:val="decimal"/>
      <w:lvlText w:val="%1.%2.%3.%4"/>
      <w:lvlJc w:val="left"/>
      <w:pPr>
        <w:ind w:left="2970" w:hanging="810"/>
      </w:pPr>
      <w:rPr>
        <w:rFonts w:hint="default"/>
        <w:b w:val="false"/>
        <w:color w:val="0D0D0D"/>
      </w:rPr>
    </w:lvl>
    <w:lvl w:ilvl="4">
      <w:start w:val="1"/>
      <w:numFmt w:val="decimal"/>
      <w:lvlText w:val="%1.%2.%3.%4.%5"/>
      <w:lvlJc w:val="left"/>
      <w:pPr>
        <w:ind w:left="3690" w:hanging="810"/>
      </w:pPr>
      <w:rPr>
        <w:rFonts w:hint="default"/>
        <w:b w:val="false"/>
        <w:color w:val="0D0D0D"/>
      </w:rPr>
    </w:lvl>
    <w:lvl w:ilvl="5">
      <w:start w:val="1"/>
      <w:numFmt w:val="decimal"/>
      <w:lvlText w:val="%1.%2.%3.%4.%5.%6"/>
      <w:lvlJc w:val="left"/>
      <w:pPr>
        <w:ind w:left="4770" w:hanging="1170"/>
      </w:pPr>
      <w:rPr>
        <w:rFonts w:hint="default"/>
        <w:b w:val="false"/>
        <w:color w:val="0D0D0D"/>
      </w:rPr>
    </w:lvl>
    <w:lvl w:ilvl="6">
      <w:start w:val="1"/>
      <w:numFmt w:val="decimal"/>
      <w:lvlText w:val="%1.%2.%3.%4.%5.%6.%7"/>
      <w:lvlJc w:val="left"/>
      <w:pPr>
        <w:ind w:left="5490" w:hanging="1170"/>
      </w:pPr>
      <w:rPr>
        <w:rFonts w:hint="default"/>
        <w:b w:val="false"/>
        <w:color w:val="0D0D0D"/>
      </w:rPr>
    </w:lvl>
    <w:lvl w:ilvl="7">
      <w:start w:val="1"/>
      <w:numFmt w:val="decimal"/>
      <w:lvlText w:val="%1.%2.%3.%4.%5.%6.%7.%8"/>
      <w:lvlJc w:val="left"/>
      <w:pPr>
        <w:ind w:left="6570" w:hanging="1530"/>
      </w:pPr>
      <w:rPr>
        <w:rFonts w:hint="default"/>
        <w:b w:val="false"/>
        <w:color w:val="0D0D0D"/>
      </w:rPr>
    </w:lvl>
    <w:lvl w:ilvl="8">
      <w:start w:val="1"/>
      <w:numFmt w:val="decimal"/>
      <w:lvlText w:val="%1.%2.%3.%4.%5.%6.%7.%8.%9"/>
      <w:lvlJc w:val="left"/>
      <w:pPr>
        <w:ind w:left="7290" w:hanging="1530"/>
      </w:pPr>
      <w:rPr>
        <w:rFonts w:hint="default"/>
        <w:b w:val="false"/>
        <w:color w:val="0D0D0D"/>
      </w:rPr>
    </w:lvl>
  </w:abstractNum>
  <w:abstractNum w:abstractNumId="6">
    <w:nsid w:val="621805E4"/>
    <w:multiLevelType w:val="multilevel"/>
    <w:tmpl w:val="752CAF7C"/>
    <w:lvl w:ilvl="0">
      <w:start w:val="4"/>
      <w:numFmt w:val="decimal"/>
      <w:lvlText w:val="%1"/>
      <w:lvlJc w:val="left"/>
      <w:pPr>
        <w:ind w:left="90" w:hanging="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0" w:hanging="1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0" w:hanging="1530"/>
      </w:pPr>
      <w:rPr>
        <w:rFonts w:hint="default"/>
      </w:rPr>
    </w:lvl>
  </w:abstractNum>
  <w:abstractNum w:abstractNumId="7">
    <w:nsid w:val="6AC42A9C"/>
    <w:multiLevelType w:val="multilevel"/>
    <w:tmpl w:val="BCCC4E40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  <w:b w:val="false"/>
        <w:color w:val="0D0D0D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false"/>
        <w:color w:val="0D0D0D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 w:val="false"/>
        <w:color w:val="0D0D0D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  <w:b w:val="false"/>
        <w:color w:val="0D0D0D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false"/>
        <w:color w:val="0D0D0D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b w:val="false"/>
        <w:color w:val="0D0D0D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false"/>
        <w:color w:val="0D0D0D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 w:val="false"/>
        <w:color w:val="0D0D0D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false"/>
        <w:color w:val="0D0D0D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0D"/>
    <w:rsid w:val="00707997"/>
    <w:rsid w:val="00A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67C07B19-E84E-4C34-B164-10234A1214B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D05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hlavChar" w:customStyle="true">
    <w:name w:val="Záhlaví Char"/>
    <w:basedOn w:val="Standardnpsmoodstavce"/>
    <w:link w:val="Zhlav"/>
    <w:rsid w:val="00AD050D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D050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patChar" w:customStyle="true">
    <w:name w:val="Zápatí Char"/>
    <w:basedOn w:val="Standardnpsmoodstavce"/>
    <w:link w:val="Zpat"/>
    <w:uiPriority w:val="99"/>
    <w:rsid w:val="00AD050D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header1.xml" Type="http://schemas.openxmlformats.org/officeDocument/2006/relationships/header" Id="rId6"/>
    <Relationship TargetMode="External" Target="mailto:Martin.Dusek@praha14.cz" Type="http://schemas.openxmlformats.org/officeDocument/2006/relationships/hyperlink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ÚMČ PRAHA 14</properties:Company>
  <properties:Pages>4</properties:Pages>
  <properties:Words>1332</properties:Words>
  <properties:Characters>7861</properties:Characters>
  <properties:Lines>65</properties:Lines>
  <properties:Paragraphs>18</properties:Paragraphs>
  <properties:TotalTime>9</properties:TotalTime>
  <properties:ScaleCrop>false</properties:ScaleCrop>
  <properties:LinksUpToDate>false</properties:LinksUpToDate>
  <properties:CharactersWithSpaces>9175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2021-12-13T18:02:00Z</dcterms:created>
  <dc:creator/>
  <dc:description/>
  <cp:keywords/>
  <cp:lastModifiedBy/>
  <dcterms:modified xmlns:xsi="http://www.w3.org/2001/XMLSchema-instance" xsi:type="dcterms:W3CDTF">2021-12-13T18:11:00Z</dcterms:modified>
  <cp:revision>1</cp:revision>
  <dc:subject/>
  <dc:title/>
</cp:coreProperties>
</file>