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181E52" w:rsidP="00181E52" w:rsidRDefault="00181E52" w14:paraId="22CE1D2F" w14:textId="4B33F8C6">
      <w:pPr>
        <w:pStyle w:val="Zhlav"/>
        <w:rPr>
          <w:sz w:val="24"/>
          <w:szCs w:val="24"/>
        </w:rPr>
      </w:pPr>
      <w:r w:rsidRPr="00422B05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06</w:t>
      </w:r>
      <w:r w:rsidRPr="00422B05">
        <w:rPr>
          <w:sz w:val="24"/>
          <w:szCs w:val="24"/>
        </w:rPr>
        <w:t>: Seznam požadovaných funkcionalit/akceptačních kritérií předmětu plnění</w:t>
      </w:r>
    </w:p>
    <w:p w:rsidRPr="00181E52" w:rsidR="00181E52" w:rsidP="00181E52" w:rsidRDefault="00181E52" w14:paraId="23DBAC3B" w14:textId="77777777">
      <w:pPr>
        <w:pStyle w:val="Zhlav"/>
        <w:rPr>
          <w:sz w:val="24"/>
          <w:szCs w:val="24"/>
        </w:rPr>
      </w:pPr>
    </w:p>
    <w:p w:rsidRPr="009C55BE" w:rsidR="000F0C06" w:rsidP="00D45827" w:rsidRDefault="009C55BE" w14:paraId="664C93FA" w14:textId="7A4421B5">
      <w:pP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1.1 </w:t>
      </w:r>
      <w:r w:rsidRPr="009C55BE" w:rsidR="00177E23">
        <w:rPr>
          <w:b/>
          <w:bCs/>
          <w:sz w:val="32"/>
          <w:szCs w:val="32"/>
        </w:rPr>
        <w:t>Portál občana</w:t>
      </w: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160"/>
        <w:gridCol w:w="5711"/>
        <w:gridCol w:w="1181"/>
        <w:gridCol w:w="940"/>
      </w:tblGrid>
      <w:tr w:rsidR="00177E23" w:rsidTr="00D45827" w14:paraId="28C4E596" w14:textId="77777777">
        <w:trPr>
          <w:trHeight w:val="300"/>
          <w:tblHeader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7D323ADE" w14:textId="77777777">
            <w:pPr>
              <w:jc w:val="both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Id</w:t>
            </w: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0B095F9F" w14:textId="7777777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Minimální požadavky</w:t>
            </w:r>
            <w:r>
              <w:rPr>
                <w:b/>
                <w:bCs/>
                <w:i/>
                <w:iCs/>
                <w:color w:val="FFFFFF"/>
              </w:rPr>
              <w:t xml:space="preserve"> z pohledu občana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 w:rsidR="00177E23" w:rsidP="00446A82" w:rsidRDefault="00177E23" w14:paraId="01A60BBD" w14:textId="77777777">
            <w:pPr>
              <w:jc w:val="both"/>
              <w:rPr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Pokrytí požadavku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5A1D153F" w14:textId="77777777">
            <w:pPr>
              <w:jc w:val="both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Splněno</w:t>
            </w:r>
          </w:p>
        </w:tc>
      </w:tr>
      <w:tr w:rsidR="00177E23" w:rsidTr="0038775F" w14:paraId="7094F132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77E23" w:rsidP="00177E23" w:rsidRDefault="00177E23" w14:paraId="24A86650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6B69D517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 xml:space="preserve">Registrace občana prostřednictvím webového formuláře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5620BEE0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41478A64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4BE54AB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177E23" w:rsidRDefault="00177E23" w14:paraId="1CF60753" w14:textId="77777777">
            <w:pPr>
              <w:pStyle w:val="Odstavecseseznamem"/>
              <w:numPr>
                <w:ilvl w:val="0"/>
                <w:numId w:val="1"/>
              </w:numPr>
              <w:jc w:val="both"/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2583ADE1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Možnosti přihlášení občana k portálu: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47B26974" w14:textId="7777777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22846361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628B75B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77E23" w:rsidP="00177E23" w:rsidRDefault="00177E23" w14:paraId="36703D73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0AF23EFF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neautorizovaný (vybrané služby nepožadují ověření uživatele)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0A67646D" w14:textId="7777777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3B846E62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77E23" w:rsidTr="0038775F" w14:paraId="15FDB286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77E23" w:rsidP="00177E23" w:rsidRDefault="00177E23" w14:paraId="1B2F348A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7CFF43CF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autorizovaný prostřednictvím portálového účtu (přístup autorizuje služba eIdentita.cz)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67D94672" w14:textId="7777777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15707323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77E23" w:rsidTr="0038775F" w14:paraId="320120B2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77E23" w:rsidP="00177E23" w:rsidRDefault="00177E23" w14:paraId="40B689F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35D85114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autorizovaný přístup prostřednictvím účtu v systému eIdentita.cz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46AB3F83" w14:textId="7777777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32B056DD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77E23" w:rsidTr="0038775F" w14:paraId="02023B48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77E23" w:rsidP="00177E23" w:rsidRDefault="00177E23" w14:paraId="70502048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4CF35F45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autorizovaný přístup pomocí služby mojeID </w:t>
            </w:r>
            <w:r>
              <w:rPr>
                <w:bCs/>
              </w:rPr>
              <w:t>či bankovní identity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2F9AB04F" w14:textId="7777777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5C6AA329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77E23" w:rsidTr="0038775F" w14:paraId="46A61790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77E23" w:rsidP="00177E23" w:rsidRDefault="00177E23" w14:paraId="2AA8F566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2EDB2565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autorizovaný přístup pomocí „elektronického občanského průkazu“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28366E48" w14:textId="77777777">
            <w:pPr>
              <w:jc w:val="both"/>
              <w:rPr>
                <w:color w:val="000000"/>
              </w:rPr>
            </w:pPr>
            <w:r w:rsidRPr="003A5933">
              <w:rPr>
                <w:color w:val="000000"/>
              </w:rPr>
              <w:t>PO02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77E23" w:rsidP="00446A82" w:rsidRDefault="00177E23" w14:paraId="4B318AC9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5B174CAF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CE2C148" w14:textId="77777777">
            <w:pPr>
              <w:pStyle w:val="Odstavecseseznamem"/>
              <w:numPr>
                <w:ilvl w:val="0"/>
                <w:numId w:val="1"/>
              </w:numPr>
              <w:jc w:val="both"/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21DDC6B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Základní funkce dostupné po přihlášení občana: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E9DD90C" w14:textId="6EC56130">
            <w:pPr>
              <w:jc w:val="both"/>
              <w:rPr>
                <w:color w:val="000000"/>
              </w:rPr>
            </w:pPr>
            <w:r w:rsidRPr="004470AE"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89C9BF1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471F83B9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27E5B123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31C96435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správa vlastního profilu (editace údajů zadaných při registraci)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16160C97" w14:textId="77777777">
            <w:pPr>
              <w:jc w:val="both"/>
              <w:rPr>
                <w:color w:val="000000"/>
              </w:rPr>
            </w:pPr>
            <w:r w:rsidRPr="004470AE"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6EDAD55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75394A84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F0D34FD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8B68D2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vytvoření nového podání prostřednictvím on-line formuláře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E51D054" w14:textId="77777777">
            <w:pPr>
              <w:jc w:val="both"/>
              <w:rPr>
                <w:color w:val="000000"/>
              </w:rPr>
            </w:pPr>
            <w:r w:rsidRPr="004470AE"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3B22B70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6C6C02A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1EC9A3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CE44DE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 xml:space="preserve">zobrazení přehledu o stavu realizovaných podání - </w:t>
            </w:r>
            <w:r w:rsidRPr="003A5933">
              <w:rPr>
                <w:color w:val="000000"/>
              </w:rPr>
              <w:t>seznam odeslaných podání na úřad a informace o jejich aktuálním stavu, vč. jednacího čísla.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3D8D5350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71C1E6F9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7B84CE9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1C6DFB5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4580CB11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evidence rozpracovaných podání s možností následného dokončení a správy rozpracovaných podání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8FB1A60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42FC57E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2C8D39FB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46B743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295544B5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</w:rPr>
              <w:t>zobrazení konta - přehledu o ekonomických závazcích vůči městu a jejich plnění s možností úhrady pomocí platební brány. K dispozici musí být „P</w:t>
            </w:r>
            <w:r w:rsidRPr="003A5933">
              <w:rPr>
                <w:color w:val="000000"/>
              </w:rPr>
              <w:t>latební tlačítka“ pro tzv. rychlý převod z účtu a zobrazení platebních údajů pomocí QR kódu.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739A37A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941635A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0CF92242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40F6143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B719CFA" w14:textId="77777777">
            <w:pPr>
              <w:jc w:val="both"/>
              <w:rPr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 w:rsidRPr="003A5933">
              <w:rPr>
                <w:color w:val="000000"/>
              </w:rPr>
              <w:t>Zobrazení historie uhrazených poplatků přihlášeného plátce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10A0025B" w14:textId="77777777">
            <w:pPr>
              <w:jc w:val="both"/>
              <w:rPr>
                <w:color w:val="000000"/>
              </w:rPr>
            </w:pPr>
            <w:r>
              <w:t>PO21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587273C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42F646D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4CA40250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4AF983B7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Pro každý formulář možnost zobrazení rozšířeného popisu životní situace s informacemi a kontakty na příslušné úředníky úřadu.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13ED659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42B2107D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40B2D149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92C7B58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A84BF53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Při vytváření nového podání se do formuláře automaticky doplní známé údaje z profilu občana, úřadu apod.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01ACC3A0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BD976E3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72DD0573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2713C0CD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3BD845CD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Při vyplňování formuláře je občan upozorňován na chybějící údaje.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2FA8E54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113329F3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172546B8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426F322" w14:textId="77777777">
            <w:pPr>
              <w:pStyle w:val="Odstavecseseznamem"/>
              <w:numPr>
                <w:ilvl w:val="0"/>
                <w:numId w:val="1"/>
              </w:numPr>
              <w:jc w:val="both"/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054A17A0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Formulář musí umožňovat připojení příloh v akceptovatelných el. formátech.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0679186A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EAA5254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1070EED1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C16D165" w14:textId="77777777">
            <w:pPr>
              <w:pStyle w:val="Odstavecseseznamem"/>
              <w:numPr>
                <w:ilvl w:val="0"/>
                <w:numId w:val="1"/>
              </w:numPr>
              <w:jc w:val="both"/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26BCD48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Formuláře musí obsahovat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CAF28D5" w14:textId="77777777">
            <w:pPr>
              <w:jc w:val="both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46BE5FE0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286CF92D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5786849E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E9A802E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žádost o evidenci psa - </w:t>
            </w:r>
            <w:r w:rsidRPr="009B2D2D">
              <w:rPr>
                <w:color w:val="000000"/>
              </w:rPr>
              <w:t xml:space="preserve">přihlášení psa, změny, odhlášení psa </w:t>
            </w:r>
            <w:r>
              <w:rPr>
                <w:color w:val="000000"/>
              </w:rPr>
              <w:t>(s online přenosem</w:t>
            </w:r>
            <w:r w:rsidRPr="009B2D2D">
              <w:rPr>
                <w:color w:val="000000"/>
              </w:rPr>
              <w:t xml:space="preserve"> dat </w:t>
            </w:r>
            <w:r>
              <w:rPr>
                <w:color w:val="000000"/>
              </w:rPr>
              <w:t>do </w:t>
            </w:r>
            <w:r w:rsidRPr="009B2D2D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VERA Radnice)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8345C4B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3BC5A58D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E5CD9" w:rsidTr="0038775F" w14:paraId="4855FC72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779FFCD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4FB4184D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formulář pro komunální odpad – </w:t>
            </w:r>
            <w:r w:rsidRPr="009B2D2D">
              <w:rPr>
                <w:color w:val="000000"/>
              </w:rPr>
              <w:t>přihlášení</w:t>
            </w:r>
            <w:r>
              <w:rPr>
                <w:color w:val="000000"/>
              </w:rPr>
              <w:t>, změna, odhlášení</w:t>
            </w:r>
            <w:r w:rsidRPr="009B2D2D">
              <w:rPr>
                <w:color w:val="000000"/>
              </w:rPr>
              <w:t xml:space="preserve"> poplatníka/plátce</w:t>
            </w:r>
            <w:r>
              <w:rPr>
                <w:color w:val="000000"/>
              </w:rPr>
              <w:t xml:space="preserve"> (s online přenosem</w:t>
            </w:r>
            <w:r w:rsidRPr="009B2D2D">
              <w:rPr>
                <w:color w:val="000000"/>
              </w:rPr>
              <w:t xml:space="preserve"> dat </w:t>
            </w:r>
            <w:r>
              <w:rPr>
                <w:color w:val="000000"/>
              </w:rPr>
              <w:t>do </w:t>
            </w:r>
            <w:r w:rsidRPr="009B2D2D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VERA Radnice)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B152B65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062EB157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E5CD9" w:rsidTr="0038775F" w14:paraId="3AFD258D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25C270D7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2F6FB043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zábory veřejného prostranství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AC9D11B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B67DFAF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1CDC583E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C96580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4EBCF604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žádost o povolení k vypouštění odpadních vod do vod povrchových nebo jeho změnu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236C4A1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4A2231C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E2C558E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4C31F7C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33FC2C92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žádost o zápis změny vlastníka nebo provozovatele silničního vozidla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C46A03F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C7E8E77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01CF7575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5DAF8D6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0C88F1D4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žádost o vydání nového dokladu k vozidlu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CB1FB73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30855C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6578FB7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ED9CBE5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46FC11F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oznámení o ztrátě, odcizení, poškození nebo zničení cestovního pasu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E50A431" w14:textId="77777777">
            <w:pPr>
              <w:jc w:val="both"/>
              <w:rPr>
                <w:color w:val="000000"/>
              </w:rPr>
            </w:pPr>
            <w:r w:rsidRPr="00EB78A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6B7D52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69C5F20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D546E01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B0D11C6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t>oznámení o ztrátě, odcizení, poškození nebo zničení občanského průkazu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1F6FCB0C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1ECD5757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3E1E78B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77FA2324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52231815" w14:textId="77777777">
            <w:pPr>
              <w:jc w:val="both"/>
              <w:rPr>
                <w:rFonts w:ascii="Calibri" w:hAnsi="Calibri" w:eastAsia="Calibri" w:cs="Calibri"/>
              </w:rPr>
            </w:pPr>
            <w:r>
              <w:t>žádost o byt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275FCF26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19A9F67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9C1B5F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4C7C9105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1D43844" w14:textId="77777777">
            <w:pPr>
              <w:jc w:val="both"/>
              <w:rPr>
                <w:rFonts w:ascii="Calibri Light" w:hAnsi="Calibri Light" w:eastAsia="Calibri" w:cs="Calibri"/>
                <w:color w:val="000000"/>
              </w:rPr>
            </w:pPr>
            <w:r>
              <w:t>žádost o poskytnutí informací dle zákona č. 106/1999 Sb.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257F8589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832A3C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2E49AE6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576E0F01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4429080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odnětí ze zemědělského půdního fondu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8AE50FE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2661FF3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6C00131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717396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2102FC91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povolení kácení dřevin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0AA004B8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7E1C99B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4B04A0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59E8C2F3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518BD8A4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vydání závazného stanoviska k zásahu do významného krajinného prvku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D02E8C9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73A965B8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594183FF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A1547C3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5D6ECD6B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udělení souhlasu k upuštění od třídění nebo od odděleného shromažďování odpadů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ECB69F1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CAC4E37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88E34B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4171BCAE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43604065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souhrnné vyjádření odboru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E932CB8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4F277A5E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9C695C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42898F7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3251EEDF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vydání závazného stanoviska k nevyjmenovaným zdrojům znečišťování ovzduší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0C45B9A8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9F010EF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065703FD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26D2E9E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01A21AC6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vyjádření ke zřízení biologicky rozložitelného odpadu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2E9DA52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0696511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042A9138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5340A6F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446B9" w:rsidR="001E5CD9" w:rsidP="001E5CD9" w:rsidRDefault="001E5CD9" w14:paraId="725282C9" w14:textId="77777777">
            <w:pPr>
              <w:jc w:val="both"/>
              <w:rPr>
                <w:color w:val="000000"/>
              </w:rPr>
            </w:pPr>
            <w:r w:rsidRPr="00B446B9">
              <w:rPr>
                <w:color w:val="000000"/>
              </w:rPr>
              <w:t>Žádost o závazné stanovisko z hlediska nakládání s odpady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2703B2D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69B0564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8CE9819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7011B42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723A5AAB" w14:textId="77777777">
            <w:pPr>
              <w:jc w:val="both"/>
              <w:rPr>
                <w:color w:val="000000"/>
              </w:rPr>
            </w:pPr>
            <w:r w:rsidRPr="00330702">
              <w:rPr>
                <w:color w:val="000000"/>
              </w:rPr>
              <w:t>Ohlašovací povinnost k místnímu poplatku z ubytovací kapacity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3B54C08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1D3296C4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2AAA6DB4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8ADC814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30702" w:rsidR="001E5CD9" w:rsidP="001E5CD9" w:rsidRDefault="001E5CD9" w14:paraId="6DE18EAA" w14:textId="77777777">
            <w:pPr>
              <w:jc w:val="both"/>
              <w:rPr>
                <w:color w:val="000000"/>
              </w:rPr>
            </w:pPr>
            <w:r w:rsidRPr="00330702">
              <w:rPr>
                <w:color w:val="000000"/>
              </w:rPr>
              <w:t>Vyúčtování místního poplatku z ubytovací kapacity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012B0314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A21B85B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2012C66E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73F4DE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30702" w:rsidR="001E5CD9" w:rsidP="001E5CD9" w:rsidRDefault="001E5CD9" w14:paraId="029BB97D" w14:textId="77777777">
            <w:pPr>
              <w:jc w:val="both"/>
              <w:rPr>
                <w:color w:val="000000"/>
              </w:rPr>
            </w:pPr>
            <w:r w:rsidRPr="00330702">
              <w:rPr>
                <w:color w:val="000000"/>
              </w:rPr>
              <w:t>Žádost o vrácení přeplatku z podkladů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2B27907B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7DE8EA3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E09F538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B531AD1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30702" w:rsidR="001E5CD9" w:rsidP="001E5CD9" w:rsidRDefault="001E5CD9" w14:paraId="0E3887E4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prodloužení nájemné smlouvy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29C1DFA4" w14:textId="77777777">
            <w:pPr>
              <w:jc w:val="both"/>
              <w:rPr>
                <w:color w:val="000000"/>
              </w:rPr>
            </w:pPr>
            <w:r w:rsidRPr="001023D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DAD57B2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C7E1381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F114FF7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0635A2C8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pronájem městského bytu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2B2836F" w14:textId="77777777">
            <w:pPr>
              <w:jc w:val="both"/>
              <w:rPr>
                <w:color w:val="000000"/>
              </w:rPr>
            </w:pPr>
            <w:r w:rsidRPr="0036026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5691CAE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2EC55AF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BBF22F8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0EAD352D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výměnu bytu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25DDB1DA" w14:textId="77777777">
            <w:pPr>
              <w:jc w:val="both"/>
              <w:rPr>
                <w:color w:val="000000"/>
              </w:rPr>
            </w:pPr>
            <w:r w:rsidRPr="0036026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44FCBC01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44060D96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43F7F15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72FB4229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nájem, pacht nemovité věci ve vlastnictví města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2C261090" w14:textId="77777777">
            <w:pPr>
              <w:jc w:val="both"/>
              <w:rPr>
                <w:color w:val="000000"/>
              </w:rPr>
            </w:pPr>
            <w:r w:rsidRPr="00360261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4B562CEB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635D268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74401A5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46FFDBBA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prodej nemovité věci ve vlastnictví města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09D3EAB" w14:textId="77777777">
            <w:pPr>
              <w:jc w:val="both"/>
              <w:rPr>
                <w:color w:val="000000"/>
              </w:rPr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B7A06A2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7B9B517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79BF34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04D14D74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souhlas s užíváním veřejného prostranství – výkopy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C95205F" w14:textId="77777777">
            <w:pPr>
              <w:jc w:val="both"/>
              <w:rPr>
                <w:color w:val="000000"/>
              </w:rPr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007D66C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24967C20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A65149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42D49C08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Žádost o souhlas s užíváním veřejného prostranství – ostatní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7172C64E" w14:textId="77777777">
            <w:pPr>
              <w:jc w:val="both"/>
              <w:rPr>
                <w:color w:val="000000"/>
              </w:rPr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B2E91A6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6057CC0F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C24A3E7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64B0AB4F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Přihláška na vítání občánků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68A8E018" w14:textId="77777777">
            <w:pPr>
              <w:jc w:val="both"/>
              <w:rPr>
                <w:color w:val="000000"/>
              </w:rPr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1A9F63A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35D11BC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233C561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5CC030E9" w14:textId="77777777">
            <w:pPr>
              <w:jc w:val="both"/>
              <w:rPr>
                <w:color w:val="000000"/>
              </w:rPr>
            </w:pPr>
            <w:r w:rsidRPr="003A0FFF">
              <w:rPr>
                <w:color w:val="000000"/>
              </w:rPr>
              <w:t>Oznámení o konání shromáždění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4213216" w14:textId="77777777">
            <w:pPr>
              <w:jc w:val="both"/>
              <w:rPr>
                <w:color w:val="000000"/>
              </w:rPr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188B4EDC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37E6220A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47E1B8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44F32020" w14:textId="77777777">
            <w:pPr>
              <w:jc w:val="both"/>
              <w:rPr>
                <w:color w:val="000000"/>
              </w:rPr>
            </w:pPr>
            <w:r w:rsidRPr="00AE1E0A">
              <w:rPr>
                <w:rFonts w:cstheme="minorHAnsi"/>
              </w:rPr>
              <w:t>Žádost o poskytnutí dotace (pro dotační a grantový systém města)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3745" w:rsidR="001E5CD9" w:rsidP="001E5CD9" w:rsidRDefault="001E5CD9" w14:paraId="3E243ECC" w14:textId="77777777">
            <w:pPr>
              <w:jc w:val="both"/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F89E36A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56667B03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2B4ACE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38590603" w14:textId="77777777">
            <w:pPr>
              <w:jc w:val="both"/>
              <w:rPr>
                <w:color w:val="000000"/>
              </w:rPr>
            </w:pPr>
            <w:r w:rsidRPr="00AE1E0A">
              <w:rPr>
                <w:rFonts w:cstheme="minorHAnsi"/>
              </w:rPr>
              <w:t xml:space="preserve">Žádost o poskytnutí </w:t>
            </w:r>
            <w:r>
              <w:rPr>
                <w:rFonts w:cstheme="minorHAnsi"/>
              </w:rPr>
              <w:t xml:space="preserve">grantu </w:t>
            </w:r>
            <w:r w:rsidRPr="00AE1E0A">
              <w:rPr>
                <w:rFonts w:cstheme="minorHAnsi"/>
              </w:rPr>
              <w:t>(pro dotační a grantový systém města)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3745" w:rsidR="001E5CD9" w:rsidP="001E5CD9" w:rsidRDefault="001E5CD9" w14:paraId="4A486580" w14:textId="77777777">
            <w:pPr>
              <w:jc w:val="both"/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66AB31E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094E8500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489F84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2C05D179" w14:textId="77777777">
            <w:pPr>
              <w:jc w:val="both"/>
              <w:rPr>
                <w:color w:val="000000"/>
              </w:rPr>
            </w:pPr>
            <w:r w:rsidRPr="00AE1E0A">
              <w:rPr>
                <w:rFonts w:cstheme="minorHAnsi"/>
              </w:rPr>
              <w:t>Vyúčtování poskytnuté dotace (pro dotační a grantový systém města)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3745" w:rsidR="001E5CD9" w:rsidP="001E5CD9" w:rsidRDefault="001E5CD9" w14:paraId="7641CC18" w14:textId="77777777">
            <w:pPr>
              <w:jc w:val="both"/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53FBD50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7221C792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245109C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53F1A4CF" w14:textId="77777777">
            <w:pPr>
              <w:jc w:val="both"/>
              <w:rPr>
                <w:color w:val="000000"/>
              </w:rPr>
            </w:pPr>
            <w:r w:rsidRPr="00AE1E0A">
              <w:rPr>
                <w:rFonts w:cstheme="minorHAnsi"/>
              </w:rPr>
              <w:t>Vyúčtování poskytnuté</w:t>
            </w:r>
            <w:r>
              <w:rPr>
                <w:rFonts w:cstheme="minorHAnsi"/>
              </w:rPr>
              <w:t>ho</w:t>
            </w:r>
            <w:r w:rsidRPr="00AE1E0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grantu</w:t>
            </w:r>
            <w:r w:rsidRPr="00AE1E0A">
              <w:rPr>
                <w:rFonts w:cstheme="minorHAnsi"/>
              </w:rPr>
              <w:t xml:space="preserve"> (pro dotační a grantový systém města)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3745" w:rsidR="001E5CD9" w:rsidP="001E5CD9" w:rsidRDefault="001E5CD9" w14:paraId="784C80E6" w14:textId="77777777">
            <w:pPr>
              <w:jc w:val="both"/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9F9E062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7C088D62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4F2202E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0FFF" w:rsidR="001E5CD9" w:rsidP="001E5CD9" w:rsidRDefault="001E5CD9" w14:paraId="27C94D2B" w14:textId="77777777">
            <w:pPr>
              <w:jc w:val="both"/>
              <w:rPr>
                <w:color w:val="000000"/>
              </w:rPr>
            </w:pPr>
            <w:r>
              <w:rPr>
                <w:rFonts w:cstheme="minorHAnsi"/>
              </w:rPr>
              <w:t>Žádost o poskytnutí daru.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3745" w:rsidR="001E5CD9" w:rsidP="001E5CD9" w:rsidRDefault="001E5CD9" w14:paraId="70A236E5" w14:textId="77777777">
            <w:pPr>
              <w:jc w:val="both"/>
            </w:pPr>
            <w:r w:rsidRPr="00CE3745">
              <w:t>PO22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1A20EBF3" w14:textId="77777777">
            <w:pPr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E5CD9" w:rsidTr="0038775F" w14:paraId="6FFA7EAB" w14:textId="77777777">
        <w:trPr>
          <w:trHeight w:val="6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F24ED1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76A7D122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možnost před odesláním zobrazit náhled formuláře v PDF a vytisknout jej (pomocí interní aplikace).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1F0F0076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1D917321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0A5FFF89" w14:textId="77777777">
        <w:trPr>
          <w:trHeight w:val="3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77DA637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102714D1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možnost uložit si rozpracované podání a dokončit jej později.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6565324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PO09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78C07546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16C1A33B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FDADD0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2A5EEAA1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Před odesláním podání je provedena kontrola správnosti a úplnosti údajů. V případě chyb je občan přehledně upozorněn na opravu nebo doplnění konkrétních údajů.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165BF117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PO10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03CC796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352A79D5" w14:textId="77777777">
        <w:trPr>
          <w:trHeight w:val="12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1D9FCAD4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1634E9EE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Autorizovaný občan může odeslat formulář prostřednictvím portálu, po zpracování podání a přidělení čísla jednacího občan obdrží e-mailem potvrzení o úspěšném přijetí podání, které bude dostupné i v prostředí portálu s vygenerovanou tiskovou podobou podání v PDF.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06FF0ACF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014E5549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535609F0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3990AF94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7EACA5E1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Neautorizovaný občan může odeslat formulář na e-mail podatelny (do elektronické podatelny), občan obdrží e-mailem potvrzení o úspěšném přijetí podání.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0649A7B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PO12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E873054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E5CD9" w:rsidTr="0038775F" w14:paraId="306E3911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26C82D1B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E5CD9" w:rsidP="001E5CD9" w:rsidRDefault="001E5CD9" w14:paraId="68773461" w14:textId="77777777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Neautorizovaný občan může zaplatit pomocí platební brány např. pokutu za přestupek na základě výzvy k úhradě určené částky z automatického zpracování přestupků pouze na základě znalosti variabilního symbolu platby, nebo rodného čísla.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402169B2" w14:textId="77777777">
            <w:pPr>
              <w:spacing w:line="254" w:lineRule="auto"/>
              <w:jc w:val="both"/>
            </w:pPr>
            <w:r>
              <w:t>PO13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CE0A030" w14:textId="77777777">
            <w:pPr>
              <w:spacing w:line="254" w:lineRule="auto"/>
              <w:jc w:val="both"/>
            </w:pPr>
          </w:p>
        </w:tc>
      </w:tr>
      <w:tr w:rsidR="001E5CD9" w:rsidTr="0038775F" w14:paraId="15E44086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0F8FFCA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1DD0E81" w14:textId="77777777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Občan má k dispozici zobrazení aktuální elektronické úřední desky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3882314C" w14:textId="77777777">
            <w:pPr>
              <w:spacing w:line="254" w:lineRule="auto"/>
              <w:jc w:val="both"/>
            </w:pPr>
            <w:r>
              <w:t>PO23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75AA008E" w14:textId="77777777">
            <w:pPr>
              <w:spacing w:line="254" w:lineRule="auto"/>
              <w:jc w:val="both"/>
            </w:pPr>
          </w:p>
        </w:tc>
      </w:tr>
      <w:tr w:rsidR="001E5CD9" w:rsidTr="0038775F" w14:paraId="56C5EB9B" w14:textId="77777777">
        <w:trPr>
          <w:trHeight w:val="900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708C0EBF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D87C19" w:rsidR="001E5CD9" w:rsidP="001E5CD9" w:rsidRDefault="001E5CD9" w14:paraId="481EACD2" w14:textId="77777777">
            <w:pPr>
              <w:autoSpaceDE w:val="false"/>
              <w:autoSpaceDN w:val="false"/>
              <w:adjustRightInd w:val="false"/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rFonts w:ascii="Symbol" w:hAnsi="Symbol"/>
                <w:color w:val="000000"/>
              </w:rPr>
              <w:t></w:t>
            </w:r>
            <w:r>
              <w:rPr>
                <w:color w:val="000000"/>
              </w:rPr>
              <w:t>Možnost registrace</w:t>
            </w:r>
            <w:r w:rsidRPr="006C3ACA">
              <w:rPr>
                <w:color w:val="000000"/>
              </w:rPr>
              <w:t xml:space="preserve"> e-mailové adresy pro odesílání nových notifikací o vyvěšení na úřední desku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E5CD9" w:rsidP="001E5CD9" w:rsidRDefault="001E5CD9" w14:paraId="5BD8E2CF" w14:textId="77777777">
            <w:pPr>
              <w:spacing w:line="254" w:lineRule="auto"/>
              <w:jc w:val="both"/>
            </w:pPr>
            <w:r>
              <w:t>PO24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A81F5F8" w14:textId="77777777">
            <w:pPr>
              <w:spacing w:line="254" w:lineRule="auto"/>
              <w:jc w:val="both"/>
            </w:pPr>
          </w:p>
        </w:tc>
      </w:tr>
      <w:tr w:rsidR="001E5CD9" w:rsidTr="0038775F" w14:paraId="4A61FBD0" w14:textId="77777777">
        <w:trPr>
          <w:trHeight w:val="477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01EC8236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3A5933" w:rsidR="001E5CD9" w:rsidP="001E5CD9" w:rsidRDefault="001E5CD9" w14:paraId="694C107B" w14:textId="77777777">
            <w:pPr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color w:val="000000"/>
              </w:rPr>
              <w:t>Systém umožní práci s</w:t>
            </w:r>
            <w:r w:rsidRPr="00AF4843">
              <w:rPr>
                <w:bCs/>
              </w:rPr>
              <w:t xml:space="preserve"> </w:t>
            </w:r>
            <w:r>
              <w:rPr>
                <w:bCs/>
              </w:rPr>
              <w:t>aplikací, která umožní občanům zobrazení rozpočtu v jednotlivých letech a položkách. Příjmy a výdaje se „rozkliknou“ na nižší úrovně rozpočtu.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5CD9" w:rsidP="001E5CD9" w:rsidRDefault="001E5CD9" w14:paraId="262127BD" w14:textId="77777777">
            <w:pPr>
              <w:spacing w:line="254" w:lineRule="auto"/>
              <w:jc w:val="both"/>
            </w:pPr>
            <w:r w:rsidRPr="003A5933">
              <w:t>PO14</w:t>
            </w:r>
          </w:p>
          <w:p w:rsidRPr="00564588" w:rsidR="001E5CD9" w:rsidP="001E5CD9" w:rsidRDefault="001E5CD9" w14:paraId="60FE3B1A" w14:textId="77777777">
            <w:pPr>
              <w:spacing w:line="254" w:lineRule="auto"/>
              <w:jc w:val="both"/>
              <w:rPr>
                <w:highlight w:val="red"/>
              </w:rPr>
            </w:pPr>
            <w:r>
              <w:t>PU11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142E2C30" w14:textId="77777777">
            <w:pPr>
              <w:spacing w:line="254" w:lineRule="auto"/>
              <w:jc w:val="both"/>
            </w:pPr>
          </w:p>
        </w:tc>
      </w:tr>
      <w:tr w:rsidR="001E5CD9" w:rsidTr="0038775F" w14:paraId="5A5B55FE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2C063441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50F655A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BC4EDF">
              <w:rPr>
                <w:bCs/>
                <w:color w:val="000000"/>
              </w:rPr>
              <w:t xml:space="preserve">Součástí implementace </w:t>
            </w:r>
            <w:r>
              <w:rPr>
                <w:bCs/>
                <w:color w:val="000000"/>
              </w:rPr>
              <w:t xml:space="preserve">systému </w:t>
            </w:r>
            <w:r w:rsidRPr="00BC4EDF">
              <w:rPr>
                <w:bCs/>
                <w:color w:val="000000"/>
              </w:rPr>
              <w:t>bude i návrh grafického designu a chování formulář</w:t>
            </w:r>
            <w:r>
              <w:rPr>
                <w:bCs/>
                <w:color w:val="000000"/>
              </w:rPr>
              <w:t xml:space="preserve">ů </w:t>
            </w:r>
            <w:r w:rsidRPr="00BC4EDF">
              <w:rPr>
                <w:bCs/>
                <w:color w:val="000000"/>
              </w:rPr>
              <w:t>a přizpůsobení vzhledu dle schválené varianty a zapracování připomínek a návrhů ze strany zadavatele.</w:t>
            </w:r>
          </w:p>
          <w:p w:rsidRPr="00B9783E" w:rsidR="001E5CD9" w:rsidP="001E5CD9" w:rsidRDefault="001E5CD9" w14:paraId="09891936" w14:textId="77777777">
            <w:pPr>
              <w:autoSpaceDE w:val="false"/>
              <w:autoSpaceDN w:val="false"/>
              <w:adjustRightInd w:val="false"/>
              <w:rPr>
                <w:color w:val="000000"/>
              </w:rPr>
            </w:pPr>
            <w:r>
              <w:rPr>
                <w:bCs/>
                <w:color w:val="000000"/>
              </w:rPr>
              <w:t>Uchazeč připraví ve spolupráci se zadavatelem v dostatečném předstihu před akceptací návrh formuláře a nechá si jej odsouhlasit. Akceptace tohoto kritéria proběhne porovnáním implementovaného požadavku s návrhem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64588" w:rsidR="001E5CD9" w:rsidP="001E5CD9" w:rsidRDefault="001E5CD9" w14:paraId="6B98D90C" w14:textId="77777777">
            <w:pPr>
              <w:spacing w:line="254" w:lineRule="auto"/>
              <w:jc w:val="both"/>
              <w:rPr>
                <w:highlight w:val="red"/>
              </w:rPr>
            </w:pPr>
            <w:r w:rsidRPr="003A5933">
              <w:t>PO15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1CB968C" w14:textId="77777777">
            <w:pPr>
              <w:spacing w:line="254" w:lineRule="auto"/>
              <w:jc w:val="both"/>
            </w:pPr>
          </w:p>
        </w:tc>
      </w:tr>
      <w:tr w:rsidR="001E5CD9" w:rsidTr="0038775F" w14:paraId="199FC306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7CFEE901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730686" w:rsidR="001E5CD9" w:rsidP="001E5CD9" w:rsidRDefault="001E5CD9" w14:paraId="5A3DD59B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Pro placení poplatků za služby úřadu a případně dalších plateb bude zaveden e-shopu podle současných běžných standardů, který bude obsahovat následující funkce:</w:t>
            </w:r>
          </w:p>
          <w:p w:rsidRPr="00730686" w:rsidR="001E5CD9" w:rsidP="001E5CD9" w:rsidRDefault="001E5CD9" w14:paraId="11387A19" w14:textId="77777777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lastRenderedPageBreak/>
              <w:t>Nabídku služeb s možností výběru</w:t>
            </w:r>
          </w:p>
          <w:p w:rsidRPr="00730686" w:rsidR="001E5CD9" w:rsidP="001E5CD9" w:rsidRDefault="001E5CD9" w14:paraId="3EB0BBF1" w14:textId="77777777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Nákupní košík</w:t>
            </w:r>
          </w:p>
          <w:p w:rsidRPr="00730686" w:rsidR="001E5CD9" w:rsidP="001E5CD9" w:rsidRDefault="001E5CD9" w14:paraId="1D26E27F" w14:textId="77777777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Možnosti platby</w:t>
            </w:r>
          </w:p>
          <w:p w:rsidRPr="00BC4EDF" w:rsidR="001E5CD9" w:rsidP="001E5CD9" w:rsidRDefault="001E5CD9" w14:paraId="77CBE2B9" w14:textId="77777777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rPr>
                <w:bCs/>
                <w:color w:val="000000"/>
              </w:rPr>
            </w:pPr>
            <w:r w:rsidRPr="00730686">
              <w:rPr>
                <w:bCs/>
                <w:color w:val="000000"/>
              </w:rPr>
              <w:t>Platební brána (využití QR kódů)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4EDF" w:rsidR="001E5CD9" w:rsidP="001E5CD9" w:rsidRDefault="001E5CD9" w14:paraId="63C5C313" w14:textId="77777777">
            <w:pPr>
              <w:spacing w:line="254" w:lineRule="auto"/>
              <w:jc w:val="both"/>
            </w:pPr>
            <w:r>
              <w:lastRenderedPageBreak/>
              <w:t>PO16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4D99116" w14:textId="77777777">
            <w:pPr>
              <w:spacing w:line="254" w:lineRule="auto"/>
              <w:jc w:val="both"/>
            </w:pPr>
          </w:p>
        </w:tc>
      </w:tr>
      <w:tr w:rsidR="001E5CD9" w:rsidTr="0038775F" w14:paraId="5A4A4E74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21098257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04DA1030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</w:t>
            </w:r>
            <w:r w:rsidRPr="00730686">
              <w:rPr>
                <w:bCs/>
                <w:color w:val="000000"/>
              </w:rPr>
              <w:t>chran</w:t>
            </w:r>
            <w:r>
              <w:rPr>
                <w:bCs/>
                <w:color w:val="000000"/>
              </w:rPr>
              <w:t>a</w:t>
            </w:r>
            <w:r w:rsidRPr="00730686">
              <w:rPr>
                <w:bCs/>
                <w:color w:val="000000"/>
              </w:rPr>
              <w:t xml:space="preserve"> osobních údajů občana </w:t>
            </w:r>
            <w:r>
              <w:rPr>
                <w:bCs/>
                <w:color w:val="000000"/>
              </w:rPr>
              <w:t xml:space="preserve">bude zavedena </w:t>
            </w:r>
            <w:r w:rsidRPr="00730686">
              <w:rPr>
                <w:bCs/>
                <w:color w:val="000000"/>
              </w:rPr>
              <w:t>v souladu s</w:t>
            </w:r>
            <w:r>
              <w:rPr>
                <w:bCs/>
                <w:color w:val="000000"/>
              </w:rPr>
              <w:t xml:space="preserve">e </w:t>
            </w:r>
            <w:r w:rsidRPr="00F66E1F">
              <w:rPr>
                <w:rFonts w:hint="eastAsia"/>
                <w:bCs/>
                <w:color w:val="000000"/>
              </w:rPr>
              <w:t>nařízení</w:t>
            </w:r>
            <w:r>
              <w:rPr>
                <w:bCs/>
                <w:color w:val="000000"/>
              </w:rPr>
              <w:t>m</w:t>
            </w:r>
            <w:r w:rsidRPr="00F66E1F">
              <w:rPr>
                <w:rFonts w:hint="eastAsia"/>
                <w:bCs/>
                <w:color w:val="000000"/>
              </w:rPr>
              <w:t xml:space="preserve"> Evropského parlamentu a Rady (EU) č. 2016/679 </w:t>
            </w:r>
            <w:r>
              <w:rPr>
                <w:bCs/>
                <w:color w:val="000000"/>
              </w:rPr>
              <w:t xml:space="preserve">– </w:t>
            </w:r>
            <w:r w:rsidRPr="00730686">
              <w:rPr>
                <w:bCs/>
                <w:color w:val="000000"/>
              </w:rPr>
              <w:t>GDPR</w:t>
            </w:r>
          </w:p>
          <w:p w:rsidRPr="00730686" w:rsidR="001E5CD9" w:rsidP="001E5CD9" w:rsidRDefault="001E5CD9" w14:paraId="3CABA6FA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</w:rPr>
              <w:t>(možnost odebrat kontaktní email, resp. telefonní číslo)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5CD9" w:rsidP="001E5CD9" w:rsidRDefault="001E5CD9" w14:paraId="20319EBD" w14:textId="77777777">
            <w:pPr>
              <w:spacing w:line="254" w:lineRule="auto"/>
              <w:jc w:val="both"/>
            </w:pPr>
            <w:r>
              <w:t>PO17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2AA36AF0" w14:textId="77777777">
            <w:pPr>
              <w:spacing w:line="254" w:lineRule="auto"/>
              <w:jc w:val="both"/>
            </w:pPr>
          </w:p>
        </w:tc>
      </w:tr>
      <w:tr w:rsidR="001E5CD9" w:rsidTr="0038775F" w14:paraId="7E880530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6FB0AD1A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67EDAD0A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Systém bude z</w:t>
            </w:r>
            <w:r w:rsidRPr="00F66E1F">
              <w:rPr>
                <w:bCs/>
                <w:color w:val="000000"/>
              </w:rPr>
              <w:t xml:space="preserve">abezpečen </w:t>
            </w:r>
            <w:r>
              <w:rPr>
                <w:bCs/>
                <w:color w:val="000000"/>
              </w:rPr>
              <w:t>-</w:t>
            </w:r>
            <w:r w:rsidRPr="00F66E1F">
              <w:rPr>
                <w:bCs/>
                <w:color w:val="000000"/>
              </w:rPr>
              <w:t xml:space="preserve"> pro vstup do portálu (Autentifikace a autorizace)</w:t>
            </w:r>
            <w:r>
              <w:rPr>
                <w:bCs/>
                <w:color w:val="000000"/>
              </w:rPr>
              <w:t xml:space="preserve"> bude využívána služba eIdentita.cz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5CD9" w:rsidP="001E5CD9" w:rsidRDefault="001E5CD9" w14:paraId="2414365F" w14:textId="77777777">
            <w:pPr>
              <w:spacing w:line="254" w:lineRule="auto"/>
              <w:jc w:val="both"/>
            </w:pPr>
            <w:r>
              <w:t>PO18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67696E8" w14:textId="77777777">
            <w:pPr>
              <w:spacing w:line="254" w:lineRule="auto"/>
              <w:jc w:val="both"/>
            </w:pPr>
          </w:p>
        </w:tc>
      </w:tr>
      <w:tr w:rsidR="001E5CD9" w:rsidTr="0038775F" w14:paraId="67E08812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433C0A82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716BF1AB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F158FA">
              <w:rPr>
                <w:bCs/>
                <w:color w:val="000000"/>
              </w:rPr>
              <w:t xml:space="preserve">Odezva portálu bude max. </w:t>
            </w:r>
            <w:r>
              <w:rPr>
                <w:bCs/>
                <w:color w:val="000000"/>
              </w:rPr>
              <w:t>3</w:t>
            </w:r>
            <w:r w:rsidRPr="00F158FA">
              <w:rPr>
                <w:bCs/>
                <w:color w:val="000000"/>
              </w:rPr>
              <w:t xml:space="preserve"> s od stisknutí aktivačního tlačítka. Vzhledem k variabilitě provozních podmínek lze KPI definovat z určitou mírou nesplnění ve špičkách, např., že je povoleno překročení tohoto limitu v rozsahu 1% výskytů.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5CD9" w:rsidP="001E5CD9" w:rsidRDefault="001E5CD9" w14:paraId="55232228" w14:textId="77777777">
            <w:pPr>
              <w:spacing w:line="254" w:lineRule="auto"/>
              <w:jc w:val="both"/>
            </w:pPr>
            <w:r>
              <w:t>PO19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3FE24E3E" w14:textId="77777777">
            <w:pPr>
              <w:spacing w:line="254" w:lineRule="auto"/>
              <w:jc w:val="both"/>
            </w:pPr>
          </w:p>
        </w:tc>
      </w:tr>
      <w:tr w:rsidR="001E5CD9" w:rsidTr="0038775F" w14:paraId="60D186F6" w14:textId="77777777">
        <w:trPr>
          <w:trHeight w:val="48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B9783E" w:rsidR="001E5CD9" w:rsidP="001E5CD9" w:rsidRDefault="001E5CD9" w14:paraId="2BD11BCB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5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1023FAE3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 w:rsidRPr="00F158FA">
              <w:rPr>
                <w:bCs/>
                <w:color w:val="000000"/>
              </w:rPr>
              <w:t>Systém bude dostupný z internetu se spolehlivostí 99,9% v režimu 24x7.</w:t>
            </w:r>
          </w:p>
          <w:p w:rsidR="001E5CD9" w:rsidP="001E5CD9" w:rsidRDefault="001E5CD9" w14:paraId="4F5C9C86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Toto kritérium se vztahuje na informační systém a jeho datová úložiště. V případě výpadku infrastruktury ve správě Zadavatele to nelze považovat za nesplnění tohoto kritéria.</w:t>
            </w:r>
          </w:p>
          <w:p w:rsidRPr="00F158FA" w:rsidR="001E5CD9" w:rsidP="001E5CD9" w:rsidRDefault="001E5CD9" w14:paraId="2EED9427" w14:textId="77777777">
            <w:pPr>
              <w:autoSpaceDE w:val="false"/>
              <w:autoSpaceDN w:val="false"/>
              <w:adjustRightInd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Vyhodnocování tohoto kritéria bude probíhat v průběhu záruční doby systému. </w:t>
            </w:r>
            <w:r>
              <w:rPr>
                <w:bCs/>
              </w:rPr>
              <w:t>(za výpadky HW zodpovídá Zadavatel)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E5CD9" w:rsidP="001E5CD9" w:rsidRDefault="001E5CD9" w14:paraId="6B595CFB" w14:textId="77777777">
            <w:pPr>
              <w:spacing w:line="254" w:lineRule="auto"/>
              <w:jc w:val="both"/>
            </w:pPr>
            <w:r>
              <w:t>PO20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E5CD9" w:rsidP="001E5CD9" w:rsidRDefault="001E5CD9" w14:paraId="5E50E797" w14:textId="77777777">
            <w:pPr>
              <w:spacing w:line="254" w:lineRule="auto"/>
              <w:jc w:val="both"/>
            </w:pPr>
          </w:p>
        </w:tc>
      </w:tr>
    </w:tbl>
    <w:p w:rsidR="00177E23" w:rsidP="00177E23" w:rsidRDefault="00177E23" w14:paraId="0E3F7717" w14:textId="77777777">
      <w:pPr>
        <w:pStyle w:val="Normln-rove1"/>
        <w:ind w:left="0"/>
        <w:jc w:val="both"/>
      </w:pPr>
    </w:p>
    <w:p w:rsidR="00177E23" w:rsidP="00177E23" w:rsidRDefault="00177E23" w14:paraId="33C8621B" w14:textId="77777777">
      <w:pPr>
        <w:pStyle w:val="Normln-rove1"/>
        <w:jc w:val="both"/>
      </w:pPr>
    </w:p>
    <w:p w:rsidR="00177E23" w:rsidP="00177E23" w:rsidRDefault="00177E23" w14:paraId="29687ADB" w14:textId="77777777">
      <w:pPr>
        <w:pStyle w:val="Normln-rove1"/>
        <w:jc w:val="both"/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04"/>
        <w:gridCol w:w="6536"/>
        <w:gridCol w:w="1104"/>
        <w:gridCol w:w="848"/>
      </w:tblGrid>
      <w:tr w:rsidR="00177E23" w:rsidTr="00A96554" w14:paraId="401B4FBF" w14:textId="77777777">
        <w:trPr>
          <w:cantSplit/>
          <w:trHeight w:val="300"/>
          <w:tblHeader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283DDD41" w14:textId="77777777">
            <w:pPr>
              <w:jc w:val="both"/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685DDB35" w14:textId="7777777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b/>
                <w:i/>
                <w:iCs/>
                <w:color w:val="FFFFFF"/>
              </w:rPr>
              <w:t>Minimální požadavky</w:t>
            </w:r>
            <w:r>
              <w:rPr>
                <w:b/>
                <w:bCs/>
                <w:i/>
                <w:iCs/>
                <w:color w:val="FFFFFF"/>
              </w:rPr>
              <w:t xml:space="preserve"> z pohledu úřadu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 w:rsidR="00177E23" w:rsidP="00446A82" w:rsidRDefault="00177E23" w14:paraId="73AF5CDD" w14:textId="7777777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Pokrytí požadavku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298A779B" w14:textId="77777777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FFFFFF"/>
              </w:rPr>
            </w:pPr>
            <w:r>
              <w:rPr>
                <w:i/>
                <w:iCs/>
                <w:color w:val="FFFFFF"/>
              </w:rPr>
              <w:t>Splněno</w:t>
            </w:r>
          </w:p>
        </w:tc>
      </w:tr>
      <w:tr w:rsidR="00177E23" w:rsidTr="0038775F" w14:paraId="6810A453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72CF3570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2420ED7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Součástí dodávky jsou inteligentní elektronické formuláře pro řešení běžných životních situací občanů a podnikatelů.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0B3FF90B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3041D18C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41324878" w14:textId="77777777">
        <w:trPr>
          <w:trHeight w:val="6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617CF465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1B8A448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Nabídku formulářů lze uživatelsky rozdělit do kategorií a podkategorií (alespoň 2 úrovně).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73830C9C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0587AE31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2C6D9EC1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4113060D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1DBEE20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K formuláři lze přiřadit uživatele, případně odbor, kteří jsou oprávněni podání zpracovat. Kontaktní údaje na příslušné úředníky se zobrazují v popisu životní situace (formuláře).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3D4B0D74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034FEE17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792404CB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04702703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5D9560D9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Data zadaná do formuláře občanem jsou kromě formátu PDF rovněž dostupná ve strukturované podobě XML pro zpracování prostřednictvím rozhraní agendového informačního systému úřadu.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46B15EF7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D95066B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0BC84178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75D8DC5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B8A453C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Úředník má k dispozici pro správu jemu přidělených podání, které umožní podání zpracovat prostřednictvím spisové služby nebo agendového informačního systému bez přepisování údajů z formuláře.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228ECEDD" w14:textId="77777777">
            <w:pPr>
              <w:jc w:val="both"/>
              <w:rPr>
                <w:color w:val="000000"/>
              </w:rPr>
            </w:pPr>
            <w:r>
              <w:t>PU12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5BA2B360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58E3323A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1C845909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C5869D7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Otevřené rozhraní portálu pro integraci na vnitřní systémy úřadu umožňující úplné elektronické podání a následnou distribuci dokumentu v rámci úřadu elektronickou cestou.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06E12018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0598FB09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37B43795" w14:textId="77777777">
        <w:trPr>
          <w:trHeight w:val="9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1F0AD07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7CECF0B9" w14:textId="77777777">
            <w:pPr>
              <w:jc w:val="both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color w:val="000000"/>
              </w:rPr>
              <w:t>Součástí portálu musí být úvodní stránka portálu s možností zadání informací (včetně URL odkazů) pro rychlou orientaci občana a podrobná uživatelská on-line nápověda pro občana i úředníka.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28DBD495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PU08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147716D9" w14:textId="77777777">
            <w:pPr>
              <w:jc w:val="both"/>
              <w:rPr>
                <w:rFonts w:ascii="Symbol" w:hAnsi="Symbol" w:cs="Calibri"/>
                <w:color w:val="000000"/>
              </w:rPr>
            </w:pPr>
          </w:p>
        </w:tc>
      </w:tr>
      <w:tr w:rsidR="00177E23" w:rsidTr="0038775F" w14:paraId="0E90BD05" w14:textId="77777777">
        <w:trPr>
          <w:trHeight w:val="120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17C5242D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01098C0C" w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Úředník bude pracovat s agendovými systémy úřadu v oblasti své působnosti. Portál bude obsahovat rozhraní na spisovou službu, přes kterou budou distribuována všechna podání veřejnosti uskutečněná prostřednictvím portálu.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664E5697" w14:textId="77777777">
            <w:pPr>
              <w:jc w:val="both"/>
              <w:rPr>
                <w:color w:val="000000"/>
              </w:rPr>
            </w:pPr>
            <w:r>
              <w:t>PU13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7E23" w:rsidP="00446A82" w:rsidRDefault="00177E23" w14:paraId="665CBB77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5C897407" w14:textId="77777777">
        <w:trPr>
          <w:trHeight w:val="644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61B014C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3B1AC7DA" w14:textId="77777777">
            <w:pPr>
              <w:jc w:val="both"/>
              <w:rPr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 w:rsidRPr="006C3ACA">
              <w:rPr>
                <w:color w:val="000000"/>
              </w:rPr>
              <w:t>Možnost umístit komkoliv na web města zobrazení náhledu úřední desk</w:t>
            </w:r>
            <w:r>
              <w:rPr>
                <w:color w:val="000000"/>
              </w:rPr>
              <w:t xml:space="preserve">y: </w:t>
            </w:r>
            <w:r w:rsidRPr="006C3ACA">
              <w:rPr>
                <w:color w:val="000000"/>
              </w:rPr>
              <w:t>1-10 nejnověji vyvěšených písemností na úřední desku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0D71C5B3" w14:textId="77777777">
            <w:pPr>
              <w:jc w:val="both"/>
              <w:rPr>
                <w:color w:val="000000"/>
              </w:rPr>
            </w:pPr>
            <w:r>
              <w:t>PU14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60BA0CC9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1285CDC2" w14:textId="77777777">
        <w:trPr>
          <w:trHeight w:val="540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203517C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2FDEAC20" w14:textId="39CF8879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 w:rsidRPr="003A5933">
              <w:rPr>
                <w:rFonts w:eastAsia="ArialMT"/>
              </w:rPr>
              <w:t xml:space="preserve">Pro rozlišení skutečných uživatelů </w:t>
            </w:r>
            <w:r>
              <w:rPr>
                <w:rFonts w:eastAsia="ArialMT"/>
              </w:rPr>
              <w:t>Úřadu online</w:t>
            </w:r>
            <w:r w:rsidRPr="003A5933">
              <w:rPr>
                <w:rFonts w:eastAsia="ArialMT"/>
              </w:rPr>
              <w:t xml:space="preserve"> od robotů při odesílání registrace je možné nakonfigurovat službu </w:t>
            </w:r>
            <w:r w:rsidR="00F42AFB">
              <w:rPr>
                <w:rFonts w:eastAsia="ArialMT"/>
              </w:rPr>
              <w:t xml:space="preserve">typu </w:t>
            </w:r>
            <w:r w:rsidRPr="003A5933">
              <w:rPr>
                <w:rFonts w:eastAsia="ArialMT"/>
              </w:rPr>
              <w:t>reCaptcha od Googlu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0C7E1840" w14:textId="77777777">
            <w:pPr>
              <w:jc w:val="both"/>
              <w:rPr>
                <w:color w:val="000000"/>
              </w:rPr>
            </w:pPr>
            <w:r>
              <w:t>PU15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5C7513CF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06976F80" w14:textId="77777777">
        <w:trPr>
          <w:trHeight w:val="39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323351FC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75DD0776" w14:textId="3865A3E8">
            <w:pPr>
              <w:jc w:val="both"/>
              <w:rPr>
                <w:rFonts w:ascii="Symbol" w:hAnsi="Symbol"/>
                <w:color w:val="000000"/>
              </w:rPr>
            </w:pPr>
            <w:r>
              <w:rPr>
                <w:rFonts w:ascii="Symbol" w:hAnsi="Symbol"/>
                <w:color w:val="000000"/>
              </w:rPr>
              <w:t></w:t>
            </w:r>
            <w:r>
              <w:rPr>
                <w:color w:val="000000"/>
                <w:sz w:val="14"/>
                <w:szCs w:val="14"/>
              </w:rPr>
              <w:t>        </w:t>
            </w:r>
            <w:r w:rsidRPr="003A5933">
              <w:rPr>
                <w:rFonts w:eastAsia="ArialMT"/>
              </w:rPr>
              <w:t>Portál bude umožňovat napojení na službu</w:t>
            </w:r>
            <w:r w:rsidR="00F42AFB">
              <w:rPr>
                <w:rFonts w:eastAsia="ArialMT"/>
              </w:rPr>
              <w:t xml:space="preserve"> typu</w:t>
            </w:r>
            <w:r w:rsidRPr="003A5933">
              <w:rPr>
                <w:rFonts w:eastAsia="ArialMT"/>
              </w:rPr>
              <w:t xml:space="preserve"> Google Analytics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3B742EAE" w14:textId="77777777">
            <w:pPr>
              <w:jc w:val="both"/>
              <w:rPr>
                <w:color w:val="000000"/>
              </w:rPr>
            </w:pPr>
            <w:r w:rsidRPr="003A5933">
              <w:t>PU16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732FA9F1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56FBF51D" w14:textId="77777777">
        <w:trPr>
          <w:trHeight w:val="393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Pr="003A5933" w:rsidR="00177E23" w:rsidP="00177E23" w:rsidRDefault="00177E23" w14:paraId="7A9D392B" w14:textId="77777777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7CA7253F" w14:textId="77777777">
            <w:pPr>
              <w:jc w:val="both"/>
              <w:rPr>
                <w:rFonts w:ascii="Symbol" w:hAnsi="Symbol"/>
                <w:color w:val="000000"/>
              </w:rPr>
            </w:pPr>
            <w:r>
              <w:t>Systém poskytne možnost</w:t>
            </w:r>
            <w:r w:rsidRPr="00793609">
              <w:t xml:space="preserve"> vytvářet rovněž nové formuláře, včetně rozšířeného popisu životní situace a pravidel kontroly zadaných údajů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A5933" w:rsidR="00177E23" w:rsidP="00446A82" w:rsidRDefault="00177E23" w14:paraId="334CE131" w14:textId="77777777">
            <w:pPr>
              <w:jc w:val="both"/>
            </w:pPr>
            <w:r>
              <w:t>PU 03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7E23" w:rsidP="00446A82" w:rsidRDefault="00177E23" w14:paraId="2767DFA8" w14:textId="7777777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79DC7784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1AF74582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B325C41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Systém </w:t>
            </w:r>
            <w:r w:rsidRPr="008C286D">
              <w:rPr>
                <w:color w:val="000000"/>
              </w:rPr>
              <w:t>umož</w:t>
            </w:r>
            <w:r>
              <w:rPr>
                <w:color w:val="000000"/>
              </w:rPr>
              <w:t>ní</w:t>
            </w:r>
            <w:r w:rsidRPr="008C286D">
              <w:rPr>
                <w:color w:val="000000"/>
              </w:rPr>
              <w:t xml:space="preserve"> zobrazení dokumentů a webových stránek pomocí standardu I</w:t>
            </w:r>
            <w:r>
              <w:rPr>
                <w:color w:val="000000"/>
              </w:rPr>
              <w:t>F</w:t>
            </w:r>
            <w:r w:rsidRPr="008C286D">
              <w:rPr>
                <w:color w:val="000000"/>
              </w:rPr>
              <w:t>rame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286D" w:rsidR="00177E23" w:rsidP="00446A82" w:rsidRDefault="00177E23" w14:paraId="7609DCC9" w14:textId="77777777">
            <w:r>
              <w:t>PU07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3680D8B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32BC1AB6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06863B49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669D1BE9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 xml:space="preserve">Agenda </w:t>
            </w:r>
            <w:r>
              <w:rPr>
                <w:rFonts w:cstheme="minorHAnsi"/>
              </w:rPr>
              <w:t xml:space="preserve">pro evidenci o žádostí o dotace a granty </w:t>
            </w:r>
            <w:r w:rsidRPr="00D43C83">
              <w:rPr>
                <w:rFonts w:cstheme="minorHAnsi"/>
              </w:rPr>
              <w:t>musí být v souladu se zákonem č. 250/2000 Sb., o rozpočtových pravidlech územních rozpočtů.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3444A2EB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482AF314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3BF71AA1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755986CA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0694E8F3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Možnost ověření žadatele v ISIR (insolvenční rejstřík).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19B9659B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87BAF0A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668D92C2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11C5600B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5C023965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 xml:space="preserve">Možnost zveřejnit vyhlášené </w:t>
            </w:r>
            <w:r>
              <w:rPr>
                <w:rFonts w:cstheme="minorHAnsi"/>
              </w:rPr>
              <w:t xml:space="preserve">grantové </w:t>
            </w:r>
            <w:r w:rsidRPr="00D43C83">
              <w:rPr>
                <w:rFonts w:cstheme="minorHAnsi"/>
              </w:rPr>
              <w:t>oblasti</w:t>
            </w:r>
            <w:r>
              <w:rPr>
                <w:rFonts w:cstheme="minorHAnsi"/>
              </w:rPr>
              <w:t xml:space="preserve"> </w:t>
            </w:r>
            <w:r w:rsidRPr="00D43C83">
              <w:rPr>
                <w:rFonts w:cstheme="minorHAnsi"/>
              </w:rPr>
              <w:t>včetně příloh a pravidel pro jejich poskytování v minimálně dvouúrovňové struktuře.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C60C8C2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080297FE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35A31BBA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6044121D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2E77C31E" w14:textId="77777777">
            <w:pPr>
              <w:rPr>
                <w:color w:val="000000"/>
              </w:rPr>
            </w:pPr>
            <w:r>
              <w:rPr>
                <w:rFonts w:cstheme="minorHAnsi"/>
              </w:rPr>
              <w:t>Možnost omezit podání žádosti o grant na časové období od: dd.mm.rrrr do: dd.mm.rrrr.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438534E8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684B8E68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586C1B8F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4D6B7048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A96554" w:rsidR="00177E23" w:rsidP="00446A82" w:rsidRDefault="00177E23" w14:paraId="2DBF5F76" w14:textId="77777777">
            <w:pPr>
              <w:jc w:val="both"/>
              <w:rPr>
                <w:rFonts w:cstheme="minorHAnsi"/>
              </w:rPr>
            </w:pPr>
            <w:r w:rsidRPr="00A96554">
              <w:rPr>
                <w:rFonts w:cstheme="minorHAnsi"/>
              </w:rPr>
              <w:t>Možnost definovat:</w:t>
            </w:r>
          </w:p>
          <w:p w:rsidRPr="00A96554" w:rsidR="00177E23" w:rsidP="00177E23" w:rsidRDefault="00177E23" w14:paraId="21BDFB86" w14:textId="77777777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54">
              <w:rPr>
                <w:rFonts w:asciiTheme="minorHAnsi" w:hAnsiTheme="minorHAnsi" w:cstheme="minorHAnsi"/>
                <w:sz w:val="22"/>
                <w:szCs w:val="22"/>
              </w:rPr>
              <w:t>maximální počet žádostí podaných jedním subjektem v daném období,</w:t>
            </w:r>
          </w:p>
          <w:p w:rsidRPr="00A96554" w:rsidR="00177E23" w:rsidP="00177E23" w:rsidRDefault="00177E23" w14:paraId="10670C5D" w14:textId="77777777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 jednotlivé grantové oblasti maximální počet žádostí od jednoho subjektu,</w:t>
            </w:r>
          </w:p>
          <w:p w:rsidRPr="00A96554" w:rsidR="00177E23" w:rsidP="00177E23" w:rsidRDefault="00177E23" w14:paraId="5C52069A" w14:textId="77777777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6554">
              <w:rPr>
                <w:rFonts w:asciiTheme="minorHAnsi" w:hAnsiTheme="minorHAnsi" w:cstheme="minorHAnsi"/>
                <w:sz w:val="22"/>
                <w:szCs w:val="22"/>
              </w:rPr>
              <w:t>počet hodnotících kritérií pro grantové oblasti; počet je pro všechny oblasti stejný,</w:t>
            </w:r>
          </w:p>
          <w:p w:rsidR="00177E23" w:rsidP="00446A82" w:rsidRDefault="00177E23" w14:paraId="51D43256" w14:textId="77777777">
            <w:pPr>
              <w:rPr>
                <w:color w:val="000000"/>
              </w:rPr>
            </w:pPr>
            <w:r w:rsidRPr="00A96554">
              <w:rPr>
                <w:rFonts w:cstheme="minorHAnsi"/>
              </w:rPr>
              <w:t>název kritéria a maximální počet bodů tohoto kritéria.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49BF8C3" w14:textId="77777777">
            <w:r w:rsidRPr="00EC1F08">
              <w:lastRenderedPageBreak/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EA343C7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5C6DBE6A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466A16F0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D43C83" w:rsidR="00177E23" w:rsidP="00446A82" w:rsidRDefault="00177E23" w14:paraId="6EFED4CB" w14:textId="77777777">
            <w:pPr>
              <w:jc w:val="both"/>
              <w:rPr>
                <w:rFonts w:cstheme="minorHAnsi"/>
              </w:rPr>
            </w:pPr>
            <w:r w:rsidRPr="00D43C83">
              <w:rPr>
                <w:rFonts w:cstheme="minorHAnsi"/>
              </w:rPr>
              <w:t>Možnost vytvořit seznam žádostí o dotace a granty včetně statistického přehledu</w:t>
            </w:r>
            <w:r>
              <w:rPr>
                <w:rFonts w:cstheme="minorHAnsi"/>
              </w:rPr>
              <w:t xml:space="preserve"> a včetně výstupu do souboru ve formátu pdf a xlsx</w:t>
            </w:r>
            <w:r w:rsidRPr="00D43C83">
              <w:rPr>
                <w:rFonts w:cstheme="minorHAnsi"/>
              </w:rPr>
              <w:t>:</w:t>
            </w:r>
          </w:p>
          <w:p w:rsidRPr="0001680B" w:rsidR="00177E23" w:rsidP="00177E23" w:rsidRDefault="00177E23" w14:paraId="41366742" w14:textId="77777777">
            <w:pPr>
              <w:pStyle w:val="Odstavecseseznamem"/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80B">
              <w:rPr>
                <w:rFonts w:asciiTheme="minorHAnsi" w:hAnsiTheme="minorHAnsi" w:cstheme="minorHAnsi"/>
                <w:sz w:val="22"/>
                <w:szCs w:val="22"/>
              </w:rPr>
              <w:t>počty přijatých žádostí,</w:t>
            </w:r>
          </w:p>
          <w:p w:rsidRPr="0001680B" w:rsidR="00177E23" w:rsidP="00177E23" w:rsidRDefault="00177E23" w14:paraId="5F241E06" w14:textId="77777777">
            <w:pPr>
              <w:pStyle w:val="Odstavecseseznamem"/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80B">
              <w:rPr>
                <w:rFonts w:asciiTheme="minorHAnsi" w:hAnsiTheme="minorHAnsi" w:cstheme="minorHAnsi"/>
                <w:sz w:val="22"/>
                <w:szCs w:val="22"/>
              </w:rPr>
              <w:t>celková částka, kterou subjekty požadují,</w:t>
            </w:r>
          </w:p>
          <w:p w:rsidRPr="0001680B" w:rsidR="00177E23" w:rsidP="00177E23" w:rsidRDefault="00177E23" w14:paraId="07A0BE39" w14:textId="77777777">
            <w:pPr>
              <w:pStyle w:val="Odstavecseseznamem"/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80B">
              <w:rPr>
                <w:rFonts w:asciiTheme="minorHAnsi" w:hAnsiTheme="minorHAnsi" w:cstheme="minorHAnsi"/>
                <w:sz w:val="22"/>
                <w:szCs w:val="22"/>
              </w:rPr>
              <w:t>celková částka schválená k vyplacení,</w:t>
            </w:r>
          </w:p>
          <w:p w:rsidRPr="0001680B" w:rsidR="0001680B" w:rsidP="00446A82" w:rsidRDefault="00177E23" w14:paraId="64F6A5B6" w14:textId="77777777">
            <w:pPr>
              <w:pStyle w:val="Odstavecseseznamem"/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80B">
              <w:rPr>
                <w:rFonts w:asciiTheme="minorHAnsi" w:hAnsiTheme="minorHAnsi" w:cstheme="minorHAnsi"/>
                <w:sz w:val="22"/>
                <w:szCs w:val="22"/>
              </w:rPr>
              <w:t>částka, kterou je ještě možné rozdělit,</w:t>
            </w:r>
          </w:p>
          <w:p w:rsidRPr="0001680B" w:rsidR="00177E23" w:rsidP="00446A82" w:rsidRDefault="00177E23" w14:paraId="6860FB72" w14:textId="77777777">
            <w:pPr>
              <w:pStyle w:val="Odstavecseseznamem"/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80B">
              <w:rPr>
                <w:rFonts w:asciiTheme="minorHAnsi" w:hAnsiTheme="minorHAnsi" w:cstheme="minorHAnsi"/>
                <w:sz w:val="22"/>
                <w:szCs w:val="22"/>
              </w:rPr>
              <w:t>možnost vedení historie k žádajícímu subjektu (v jakých dotačních oblastech o jaké částky žádal, co bylo schváleno).</w:t>
            </w:r>
          </w:p>
          <w:p w:rsidRPr="0001680B" w:rsidR="0001680B" w:rsidP="0001680B" w:rsidRDefault="0001680B" w14:paraId="071B327D" w14:textId="654021E3">
            <w:pPr>
              <w:pStyle w:val="Odstavecseseznamem"/>
              <w:ind w:left="927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396C9331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55797F8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0525D8C4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792EC09F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1A084FB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Možnost evidence žádostí včetně příloh</w:t>
            </w:r>
            <w:r>
              <w:rPr>
                <w:rFonts w:cstheme="minorHAnsi"/>
              </w:rPr>
              <w:t xml:space="preserve"> se zaevidováním ve spisové službě </w:t>
            </w:r>
            <w:r w:rsidRPr="00057BB7">
              <w:rPr>
                <w:rFonts w:cstheme="minorHAnsi"/>
              </w:rPr>
              <w:t>úřadu bez ohledu na to, jakým způsobem byla podána</w:t>
            </w:r>
            <w:r>
              <w:rPr>
                <w:rFonts w:cstheme="minorHAnsi"/>
              </w:rPr>
              <w:t xml:space="preserve"> (možnost podat i papírově s možností ručního přepsání do agendy)</w:t>
            </w:r>
            <w:r w:rsidRPr="00057BB7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B707E2">
              <w:rPr>
                <w:rFonts w:cstheme="minorHAnsi"/>
              </w:rPr>
              <w:t xml:space="preserve">Náklady na </w:t>
            </w:r>
            <w:r>
              <w:rPr>
                <w:rFonts w:cstheme="minorHAnsi"/>
              </w:rPr>
              <w:t xml:space="preserve">pořízení </w:t>
            </w:r>
            <w:r w:rsidRPr="00B707E2">
              <w:rPr>
                <w:rFonts w:cstheme="minorHAnsi"/>
              </w:rPr>
              <w:t xml:space="preserve">rozhraní pro stávající agendu SSL IS VERA Radnice uhradí </w:t>
            </w:r>
            <w:r>
              <w:rPr>
                <w:rFonts w:cstheme="minorHAnsi"/>
              </w:rPr>
              <w:t>O</w:t>
            </w:r>
            <w:r w:rsidRPr="00B707E2">
              <w:rPr>
                <w:rFonts w:cstheme="minorHAnsi"/>
              </w:rPr>
              <w:t>bjednatel.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61A5657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4B6F3A8C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1D3B6020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17F98AC2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5B4CE6C1" w14:textId="77777777">
            <w:pPr>
              <w:rPr>
                <w:color w:val="000000"/>
              </w:rPr>
            </w:pPr>
            <w:r>
              <w:rPr>
                <w:rFonts w:cstheme="minorHAnsi"/>
              </w:rPr>
              <w:t>Žádost o dotaci a dary se nehodnotí.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303D4F62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3B1B3134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672707FB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09E36300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359B364" w14:textId="77777777">
            <w:pPr>
              <w:rPr>
                <w:color w:val="000000"/>
              </w:rPr>
            </w:pPr>
            <w:r>
              <w:rPr>
                <w:rFonts w:cstheme="minorHAnsi"/>
              </w:rPr>
              <w:t xml:space="preserve">Možnost vytvořit přehled podaných žádostí o dotaci, dar </w:t>
            </w:r>
            <w:r w:rsidRPr="00BA52BA">
              <w:rPr>
                <w:rFonts w:cstheme="minorHAnsi"/>
              </w:rPr>
              <w:t>do souboru ve formátu pdf a xlsx (materiál pro jednání rady města).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343EC9A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6FD8B1B9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79F37D3E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5F6A1919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0451CA06" w14:textId="77777777">
            <w:pPr>
              <w:rPr>
                <w:color w:val="000000"/>
              </w:rPr>
            </w:pPr>
            <w:r>
              <w:rPr>
                <w:rFonts w:cstheme="minorHAnsi"/>
              </w:rPr>
              <w:t>Možnost evidence poskytnutých dotací, darů včetně výstupu do souboru ve formátu pdf a xlsx.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0BFF7E9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6F96742B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520D08FF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0D18BBD2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D43C83" w:rsidR="00177E23" w:rsidP="00446A82" w:rsidRDefault="00177E23" w14:paraId="08EA2A5B" w14:textId="77777777">
            <w:pPr>
              <w:jc w:val="both"/>
              <w:rPr>
                <w:rFonts w:cstheme="minorHAnsi"/>
              </w:rPr>
            </w:pPr>
            <w:r w:rsidRPr="00D43C83">
              <w:rPr>
                <w:rFonts w:cstheme="minorHAnsi"/>
              </w:rPr>
              <w:t xml:space="preserve">Dotační </w:t>
            </w:r>
            <w:r>
              <w:rPr>
                <w:rFonts w:cstheme="minorHAnsi"/>
              </w:rPr>
              <w:t xml:space="preserve">a grantový </w:t>
            </w:r>
            <w:r w:rsidRPr="00D43C83">
              <w:rPr>
                <w:rFonts w:cstheme="minorHAnsi"/>
              </w:rPr>
              <w:t>systém:</w:t>
            </w:r>
          </w:p>
          <w:p w:rsidRPr="00D43C83" w:rsidR="00177E23" w:rsidP="00177E23" w:rsidRDefault="00177E23" w14:paraId="1A6787FA" w14:textId="77777777">
            <w:pPr>
              <w:pStyle w:val="Odstavecseseznamem"/>
              <w:numPr>
                <w:ilvl w:val="0"/>
                <w:numId w:val="5"/>
              </w:numPr>
              <w:contextualSpacing/>
              <w:jc w:val="both"/>
              <w:rPr>
                <w:rFonts w:cstheme="minorHAnsi"/>
              </w:rPr>
            </w:pPr>
            <w:r w:rsidRPr="00D43C83">
              <w:rPr>
                <w:rFonts w:cstheme="minorHAnsi"/>
              </w:rPr>
              <w:t>zaevidování podané žádosti v agendě SSL IS VERA Radnice,</w:t>
            </w:r>
          </w:p>
          <w:p w:rsidR="00177E23" w:rsidP="00446A82" w:rsidRDefault="00177E23" w14:paraId="10D84E07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přidělení žádosti na příslušný odbor, v jehož gesci je dotační program.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5360B9A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5680178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35429020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591F0583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5E3AAC" w:rsidR="00177E23" w:rsidP="00446A82" w:rsidRDefault="00177E23" w14:paraId="16235B7E" w14:textId="77777777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AAC">
              <w:rPr>
                <w:rFonts w:asciiTheme="minorHAnsi" w:hAnsiTheme="minorHAnsi" w:cstheme="minorHAnsi"/>
                <w:sz w:val="22"/>
                <w:szCs w:val="22"/>
              </w:rPr>
              <w:t>Možnost definování komisí pro posouzení a hodnocení jednotlivých grantových oblastí:</w:t>
            </w:r>
          </w:p>
          <w:p w:rsidRPr="005E3AAC" w:rsidR="00177E23" w:rsidP="00177E23" w:rsidRDefault="00177E23" w14:paraId="6579AFA3" w14:textId="77777777">
            <w:pPr>
              <w:pStyle w:val="Odstavecseseznamem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AAC">
              <w:rPr>
                <w:rFonts w:asciiTheme="minorHAnsi" w:hAnsiTheme="minorHAnsi" w:cstheme="minorHAnsi"/>
                <w:sz w:val="22"/>
                <w:szCs w:val="22"/>
              </w:rPr>
              <w:t>tajemník komise provede formální kontrolu úplnosti žádosti a posune ji do hodnocení,</w:t>
            </w:r>
          </w:p>
          <w:p w:rsidRPr="005E3AAC" w:rsidR="00177E23" w:rsidP="00177E23" w:rsidRDefault="00177E23" w14:paraId="0853E945" w14:textId="77777777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AAC">
              <w:rPr>
                <w:rFonts w:asciiTheme="minorHAnsi" w:hAnsiTheme="minorHAnsi" w:cstheme="minorHAnsi"/>
                <w:sz w:val="22"/>
                <w:szCs w:val="22"/>
              </w:rPr>
              <w:t>předseda komise stanoví minimální počet hodnotitelů v dané grantové oblasti (provede tajemník komise – zaměstnanec úřadu),</w:t>
            </w:r>
          </w:p>
          <w:p w:rsidRPr="005E3AAC" w:rsidR="00177E23" w:rsidP="00177E23" w:rsidRDefault="00177E23" w14:paraId="1628A282" w14:textId="77777777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AAC">
              <w:rPr>
                <w:rFonts w:asciiTheme="minorHAnsi" w:hAnsiTheme="minorHAnsi" w:cstheme="minorHAnsi"/>
                <w:sz w:val="22"/>
                <w:szCs w:val="22"/>
              </w:rPr>
              <w:t>předseda komise rozdělí jednotlivé žádosti hodnotitelům (provede tajemník komise – zaměstnanec úřadu),</w:t>
            </w:r>
          </w:p>
          <w:p w:rsidRPr="005E3AAC" w:rsidR="00177E23" w:rsidP="00177E23" w:rsidRDefault="00177E23" w14:paraId="2FEF0FAC" w14:textId="77777777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AAC">
              <w:rPr>
                <w:rFonts w:asciiTheme="minorHAnsi" w:hAnsiTheme="minorHAnsi" w:cstheme="minorHAnsi"/>
                <w:sz w:val="22"/>
                <w:szCs w:val="22"/>
              </w:rPr>
              <w:t>hodnotitelé ohodnotí přidělené žádosti a hodnocení uzavřou, po uzavření již není možné dále hodnocení měnit,</w:t>
            </w:r>
          </w:p>
          <w:p w:rsidRPr="005E3AAC" w:rsidR="00177E23" w:rsidP="00177E23" w:rsidRDefault="00177E23" w14:paraId="0139070A" w14:textId="77777777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3AAC">
              <w:rPr>
                <w:rFonts w:asciiTheme="minorHAnsi" w:hAnsiTheme="minorHAnsi" w:cstheme="minorHAnsi"/>
                <w:sz w:val="22"/>
                <w:szCs w:val="22"/>
              </w:rPr>
              <w:t>hodnocení žádosti uzavírá tajemník komise na pokyn předsedy komise,</w:t>
            </w:r>
          </w:p>
          <w:p w:rsidR="00177E23" w:rsidP="00446A82" w:rsidRDefault="00177E23" w14:paraId="03CFBE0A" w14:textId="77777777">
            <w:pPr>
              <w:rPr>
                <w:color w:val="000000"/>
              </w:rPr>
            </w:pPr>
            <w:r w:rsidRPr="005E3AAC">
              <w:rPr>
                <w:rFonts w:cstheme="minorHAnsi"/>
              </w:rPr>
              <w:lastRenderedPageBreak/>
              <w:t>výsledek hodnocení žádosti je aritmetický průměr hodnocení jednotlivých hodnotitelů.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53BA29F9" w14:textId="77777777">
            <w:r w:rsidRPr="00EC1F08">
              <w:lastRenderedPageBreak/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27E91E77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4B5DAE96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559FEDBF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3709538" w14:textId="77777777">
            <w:pPr>
              <w:rPr>
                <w:color w:val="000000"/>
              </w:rPr>
            </w:pPr>
            <w:r>
              <w:rPr>
                <w:rFonts w:cstheme="minorHAnsi"/>
              </w:rPr>
              <w:t>Možnost po ukončení hodnocení vygenerovat přehled žádostí za jednotlivé grantové oblasti se stanoveným pořadím dle přidělených bodů včetně výstupu do souboru ve formátu pdf a xlsx (materiál pro jednání rady města).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41198792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0B72BA31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240F1320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63FF8097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5BF5015D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Možnost zaznamenání stavu jednotlivých žádostí – podaná, ohodnocena, schválená, zamítnutá, zrušená (možnost doplnění usnesení rady nebo zastupitelstva)</w:t>
            </w:r>
            <w:r>
              <w:rPr>
                <w:rFonts w:cstheme="minorHAnsi"/>
              </w:rPr>
              <w:t xml:space="preserve"> včetně e-mailové notifikace žadatelům při změně stavu</w:t>
            </w:r>
            <w:r w:rsidRPr="00D43C83">
              <w:rPr>
                <w:rFonts w:cstheme="minorHAnsi"/>
              </w:rPr>
              <w:t>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614224D3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418B9CE7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1316EC45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715D77DB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29CC0678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Možnost vygenerování smlouvy o poskytnutí dotace, grantu s údaji uvedenými na žádosti.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1320F174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1DBAA08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42237056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7172D42D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5D42BCA1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Možnost vygenerování dopisů a jejich rozeslání těm subjektům, které neuspěl</w:t>
            </w:r>
            <w:r>
              <w:rPr>
                <w:rFonts w:cstheme="minorHAnsi"/>
              </w:rPr>
              <w:t>y</w:t>
            </w:r>
            <w:r w:rsidRPr="00D43C83">
              <w:rPr>
                <w:rFonts w:cstheme="minorHAnsi"/>
              </w:rPr>
              <w:t xml:space="preserve"> se žádostí.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644B571C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3959B938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1A8DECE4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649968A9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6C50F7EE" w14:textId="77777777">
            <w:pPr>
              <w:rPr>
                <w:color w:val="000000"/>
              </w:rPr>
            </w:pPr>
            <w:r w:rsidRPr="00D43C83">
              <w:rPr>
                <w:rFonts w:cstheme="minorHAnsi"/>
              </w:rPr>
              <w:t>Možnost zasílání e</w:t>
            </w:r>
            <w:r>
              <w:rPr>
                <w:rFonts w:cstheme="minorHAnsi"/>
              </w:rPr>
              <w:t>-</w:t>
            </w:r>
            <w:r w:rsidRPr="00D43C83">
              <w:rPr>
                <w:rFonts w:cstheme="minorHAnsi"/>
              </w:rPr>
              <w:t>mailových notifikací pro registrované uživatele na vypsání nových dotací a grantů.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79444BCF" w14:textId="77777777">
            <w:r w:rsidRPr="00EC1F08">
              <w:t>PU17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4C1D4932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2141D130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51C5A59E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EA0BF9C" w14:textId="612BF43C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9459E2">
              <w:rPr>
                <w:color w:val="000000"/>
              </w:rPr>
              <w:t>oučástí implementace bude i návrh grafického designu portálu, přizpůsobení vzhledu dle schválené varianty a zapracování připomínek a návrhů ze strany zadavatele</w:t>
            </w:r>
            <w:r>
              <w:rPr>
                <w:color w:val="000000"/>
              </w:rPr>
              <w:t>.</w:t>
            </w:r>
          </w:p>
          <w:p w:rsidRPr="008C286D" w:rsidR="00177E23" w:rsidP="00446A82" w:rsidRDefault="00177E23" w14:paraId="17E37DBE" w14:textId="77777777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Uchazeč připraví ve spolupráci se zadavatelem v dostatečném předstihu před akceptací návrh UI a nechá si jej odsouhlasit. Akceptace tohoto kritéria proběhne porovnáním implementovaného požadavku s návrhem.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0D5BB319" w14:textId="77777777">
            <w:r>
              <w:t>PU09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1F28E17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23529551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7502E731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0B6C2AF4" w14:textId="77777777">
            <w:pPr>
              <w:rPr>
                <w:color w:val="000000"/>
              </w:rPr>
            </w:pPr>
            <w:r>
              <w:t>P</w:t>
            </w:r>
            <w:r w:rsidRPr="00793609">
              <w:t xml:space="preserve">ortál bude obsahovat rozhraní na spisovou službu, které zajistí </w:t>
            </w:r>
            <w:r>
              <w:t xml:space="preserve">on-line </w:t>
            </w:r>
            <w:r w:rsidRPr="00793609">
              <w:t>přenos dat a zobrazení dokumentů spisové služby určených ke zveřejnění na úřední desce.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4FB898B3" w14:textId="77777777">
            <w:r>
              <w:t>PU10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77C6DE7F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7046E328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3236FC8C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2E4F07" w:rsidR="00177E23" w:rsidP="00446A82" w:rsidRDefault="00177E23" w14:paraId="02836293" w14:textId="77777777">
            <w:pPr>
              <w:jc w:val="both"/>
            </w:pPr>
            <w:r>
              <w:t xml:space="preserve">Systém bude využívat rozhraní </w:t>
            </w:r>
            <w:r w:rsidRPr="003A5933">
              <w:t>stávající</w:t>
            </w:r>
            <w:r>
              <w:t>ho</w:t>
            </w:r>
            <w:r w:rsidRPr="003A5933">
              <w:t xml:space="preserve"> IS VERA Radnice, především u neveřejného přístupu klienta jsou nezbytné vazby na vybrané agendy, tj.  Evidence psů a Komunální odpad a dalších, s možnostmi on-line platby poplatků (agenda Příjmy IS VERA Radnice), dále na Spisovou službu úřadu.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05696178" w14:textId="77777777">
            <w:r>
              <w:t>PV01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36CCF7B0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491121A5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6A856A58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B4D92B4" w14:textId="77777777">
            <w:r>
              <w:t xml:space="preserve">Systém bude obsahovat </w:t>
            </w:r>
            <w:r w:rsidRPr="002E4F07">
              <w:t>vazb</w:t>
            </w:r>
            <w:r>
              <w:t>u</w:t>
            </w:r>
            <w:r w:rsidRPr="002E4F07">
              <w:t xml:space="preserve"> na jednotnou organizační strukturu úřadu a Registr obyvatel, dodavatel VERA, spol. s r.o. </w:t>
            </w:r>
          </w:p>
          <w:p w:rsidR="00177E23" w:rsidP="00446A82" w:rsidRDefault="00177E23" w14:paraId="0A01C9FA" w14:textId="77777777">
            <w:r w:rsidRPr="002E4F07">
              <w:t>Veřejná část portálu musí obsahovat vazby na agendy, kde jsou shromažďována data o dokumentech na úřední desce, tj. Spisová služba IS VERA Radnice a pro možnost zobrazení klikacího rozpočtu na ekonomický systém IS VERA Radnice.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01AE3359" w14:textId="77777777">
            <w:r>
              <w:t>PV02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12F4814D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10255896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31448A0A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2D7065F8" w14:textId="77777777">
            <w:r w:rsidRPr="002E4F07">
              <w:t xml:space="preserve">Veřejná část portálu </w:t>
            </w:r>
            <w:r>
              <w:t xml:space="preserve">bude </w:t>
            </w:r>
            <w:r w:rsidRPr="002E4F07">
              <w:t xml:space="preserve">obsahovat vazby na agendy, kde jsou shromažďována data o dokumentech na úřední desce, tj. Spisová služba IS VERA Radnice a pro možnost zobrazení </w:t>
            </w:r>
            <w:r>
              <w:t>„</w:t>
            </w:r>
            <w:r w:rsidRPr="002E4F07">
              <w:t>klikacího</w:t>
            </w:r>
            <w:r>
              <w:t>“</w:t>
            </w:r>
            <w:r w:rsidRPr="002E4F07">
              <w:t xml:space="preserve"> rozpočtu na ekonomický systém IS VERA Radnice.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4C04A7BF" w14:textId="77777777">
            <w:r>
              <w:t>PV02</w:t>
            </w:r>
          </w:p>
          <w:p w:rsidR="00177E23" w:rsidP="00446A82" w:rsidRDefault="00177E23" w14:paraId="69A41D41" w14:textId="77777777">
            <w:r>
              <w:t>PU11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580342C5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77E23" w:rsidTr="0038775F" w14:paraId="4DE33A51" w14:textId="77777777">
        <w:trPr>
          <w:trHeight w:val="188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F158FA" w:rsidR="00177E23" w:rsidP="00177E23" w:rsidRDefault="00177E23" w14:paraId="03C41DE1" w14:textId="7777777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Pr="002E4F07" w:rsidR="00177E23" w:rsidP="00446A82" w:rsidRDefault="00177E23" w14:paraId="15BAFABC" w14:textId="77777777">
            <w:r>
              <w:t xml:space="preserve">API rozhraní budou plně v souladu se specifikací, poskytnutou dodavatelem rozhraní (viz ZD).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E23" w:rsidP="00446A82" w:rsidRDefault="00177E23" w14:paraId="4131C867" w14:textId="77777777">
            <w:r>
              <w:t>PV03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4CE"/>
            <w:noWrap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77E23" w:rsidP="00446A82" w:rsidRDefault="00177E23" w14:paraId="2DE1E38C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2514D" w:rsidRDefault="00A2514D" w14:paraId="55EB2CC8" w14:textId="2E4DBFC4">
      <w:pPr>
        <w:rPr>
          <w:rFonts w:eastAsia="ArialMT"/>
        </w:rPr>
      </w:pPr>
    </w:p>
    <w:p w:rsidRPr="00A2514D" w:rsidR="00177E23" w:rsidP="00A2514D" w:rsidRDefault="00A2514D" w14:paraId="40885686" w14:textId="4325E0FC">
      <w:pPr>
        <w:spacing w:after="360"/>
        <w:rPr>
          <w:b/>
          <w:bCs/>
          <w:sz w:val="32"/>
          <w:szCs w:val="32"/>
        </w:rPr>
      </w:pPr>
      <w:r w:rsidRPr="00A2514D">
        <w:rPr>
          <w:b/>
          <w:bCs/>
          <w:sz w:val="32"/>
          <w:szCs w:val="32"/>
        </w:rPr>
        <w:t>1.2 Systém pro jednání Rady a Zastupitelstva města</w:t>
      </w:r>
    </w:p>
    <w:tbl>
      <w:tblPr>
        <w:tblStyle w:val="Mkatabulky"/>
        <w:tblW w:w="8495" w:type="dxa"/>
        <w:tblLayout w:type="fixed"/>
        <w:tblLook w:firstRow="1" w:lastRow="0" w:firstColumn="1" w:lastColumn="0" w:noHBand="0" w:noVBand="1" w:val="04A0"/>
      </w:tblPr>
      <w:tblGrid>
        <w:gridCol w:w="480"/>
        <w:gridCol w:w="6740"/>
        <w:gridCol w:w="1275"/>
      </w:tblGrid>
      <w:tr w:rsidRPr="005C0C6F" w:rsidR="00A85C8C" w:rsidTr="00446A82" w14:paraId="1EAE74A1" w14:textId="77777777">
        <w:trPr>
          <w:cnfStyle w:val="100000000000"/>
          <w:trHeight w:val="291"/>
        </w:trPr>
        <w:tc>
          <w:tcPr>
            <w:cnfStyle w:val="001000000100"/>
            <w:tcW w:w="480" w:type="dxa"/>
            <w:hideMark/>
          </w:tcPr>
          <w:p w:rsidRPr="005C0C6F" w:rsidR="00A85C8C" w:rsidP="00446A82" w:rsidRDefault="00A85C8C" w14:paraId="1CF71957" w14:textId="77777777">
            <w:r w:rsidRPr="005C0C6F">
              <w:t>Id</w:t>
            </w:r>
          </w:p>
        </w:tc>
        <w:tc>
          <w:tcPr>
            <w:tcW w:w="6740" w:type="dxa"/>
            <w:hideMark/>
          </w:tcPr>
          <w:p w:rsidRPr="005C0C6F" w:rsidR="00A85C8C" w:rsidP="00446A82" w:rsidRDefault="00A85C8C" w14:paraId="4E93F00D" w14:textId="77777777">
            <w:pPr>
              <w:cnfStyle w:val="100000000000"/>
            </w:pPr>
            <w:r w:rsidRPr="005C0C6F">
              <w:t>Funkcionalita / parametry</w:t>
            </w:r>
          </w:p>
        </w:tc>
        <w:tc>
          <w:tcPr>
            <w:tcW w:w="1275" w:type="dxa"/>
          </w:tcPr>
          <w:p w:rsidRPr="005C0C6F" w:rsidR="00A85C8C" w:rsidP="00446A82" w:rsidRDefault="00A85C8C" w14:paraId="1C6D0D93" w14:textId="77777777">
            <w:pPr>
              <w:cnfStyle w:val="100000000000"/>
            </w:pPr>
            <w:r>
              <w:t>splněno</w:t>
            </w:r>
          </w:p>
        </w:tc>
      </w:tr>
      <w:tr w:rsidRPr="005C0C6F" w:rsidR="00A85C8C" w:rsidTr="0038775F" w14:paraId="698B6905" w14:textId="77777777">
        <w:trPr>
          <w:cnfStyle w:val="000000100000"/>
          <w:trHeight w:val="283"/>
        </w:trPr>
        <w:tc>
          <w:tcPr>
            <w:cnfStyle w:val="001000000000"/>
            <w:tcW w:w="7220" w:type="dxa"/>
            <w:gridSpan w:val="2"/>
          </w:tcPr>
          <w:p w:rsidRPr="005C0C6F" w:rsidR="00A85C8C" w:rsidP="00446A82" w:rsidRDefault="00A85C8C" w14:paraId="25BD0F1E" w14:textId="77777777">
            <w:r w:rsidRPr="005C0C6F">
              <w:t>Aplikovaná legislativa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60F9C870" w14:textId="77777777">
            <w:pPr>
              <w:cnfStyle w:val="000000100000"/>
            </w:pPr>
          </w:p>
        </w:tc>
      </w:tr>
      <w:tr w:rsidRPr="005C0C6F" w:rsidR="00A85C8C" w:rsidTr="0038775F" w14:paraId="1C1EDF19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2448DA15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</w:p>
        </w:tc>
        <w:tc>
          <w:tcPr>
            <w:tcW w:w="6740" w:type="dxa"/>
          </w:tcPr>
          <w:p w:rsidRPr="005C0C6F" w:rsidR="00A85C8C" w:rsidP="00446A82" w:rsidRDefault="00A85C8C" w14:paraId="19E3155F" w14:textId="77777777">
            <w:pPr>
              <w:cnfStyle w:val="000000010000"/>
            </w:pPr>
            <w:r w:rsidRPr="005C0C6F">
              <w:t>Zákon č. 128/2000 Sb. o obcích (obecní zřízení)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37B7AAC3" w14:textId="77777777">
            <w:pPr>
              <w:cnfStyle w:val="000000010000"/>
            </w:pPr>
          </w:p>
        </w:tc>
      </w:tr>
      <w:tr w:rsidRPr="005C0C6F" w:rsidR="00A85C8C" w:rsidTr="0038775F" w14:paraId="5326E30B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676176E8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</w:p>
        </w:tc>
        <w:tc>
          <w:tcPr>
            <w:tcW w:w="6740" w:type="dxa"/>
          </w:tcPr>
          <w:p w:rsidRPr="005C0C6F" w:rsidR="00A85C8C" w:rsidP="00446A82" w:rsidRDefault="00A85C8C" w14:paraId="211B7E4C" w14:textId="77777777">
            <w:pPr>
              <w:cnfStyle w:val="000000100000"/>
            </w:pPr>
            <w:r w:rsidRPr="005C0C6F">
              <w:t>Zákon č. 101/2000 Sb. o ochraně osobních údajů a o změně některých zákonů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36C8DF2F" w14:textId="77777777">
            <w:pPr>
              <w:cnfStyle w:val="000000100000"/>
            </w:pPr>
          </w:p>
        </w:tc>
      </w:tr>
      <w:tr w:rsidRPr="005C0C6F" w:rsidR="00A85C8C" w:rsidTr="0038775F" w14:paraId="229C35FE" w14:textId="77777777">
        <w:trPr>
          <w:cnfStyle w:val="000000010000"/>
          <w:trHeight w:val="283"/>
        </w:trPr>
        <w:tc>
          <w:tcPr>
            <w:cnfStyle w:val="001000000000"/>
            <w:tcW w:w="7220" w:type="dxa"/>
            <w:gridSpan w:val="2"/>
          </w:tcPr>
          <w:p w:rsidRPr="005C0C6F" w:rsidR="00A85C8C" w:rsidP="00446A82" w:rsidRDefault="00A85C8C" w14:paraId="15E0F617" w14:textId="77777777">
            <w:r w:rsidRPr="005C0C6F">
              <w:t>Standardní funkcionality a parametry / akceptační kritéria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724D82B4" w14:textId="77777777">
            <w:pPr>
              <w:cnfStyle w:val="000000010000"/>
            </w:pPr>
          </w:p>
        </w:tc>
      </w:tr>
      <w:tr w:rsidRPr="005C0C6F" w:rsidR="00A85C8C" w:rsidTr="0038775F" w14:paraId="1103D1CE" w14:textId="77777777">
        <w:trPr>
          <w:cnfStyle w:val="000000100000"/>
          <w:trHeight w:val="283"/>
        </w:trPr>
        <w:tc>
          <w:tcPr>
            <w:cnfStyle w:val="001000000000"/>
            <w:tcW w:w="480" w:type="dxa"/>
            <w:hideMark/>
          </w:tcPr>
          <w:p w:rsidRPr="005C0C6F" w:rsidR="00A85C8C" w:rsidP="00A85C8C" w:rsidRDefault="00A85C8C" w14:paraId="5DD01BD3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P="00446A82" w:rsidRDefault="00A85C8C" w14:paraId="13C86398" w14:textId="77777777">
            <w:pPr>
              <w:cnfStyle w:val="000000100000"/>
            </w:pPr>
            <w:r w:rsidRPr="005C0C6F">
              <w:t>Podpora procesů při přípravě a v průběhu jednání (zasedání)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09A16DF4" w14:textId="77777777">
            <w:pPr>
              <w:cnfStyle w:val="000000100000"/>
            </w:pPr>
          </w:p>
        </w:tc>
      </w:tr>
      <w:tr w:rsidRPr="005C0C6F" w:rsidR="00A85C8C" w:rsidTr="0038775F" w14:paraId="2C53DD79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5A948D19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P="00446A82" w:rsidRDefault="00A85C8C" w14:paraId="0FF5D9F1" w14:textId="77777777">
            <w:pPr>
              <w:cnfStyle w:val="000000010000"/>
            </w:pPr>
            <w:r w:rsidRPr="005C0C6F">
              <w:t>Tvorba návrhu usnesení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65B6AE91" w14:textId="77777777">
            <w:pPr>
              <w:cnfStyle w:val="000000010000"/>
            </w:pPr>
          </w:p>
        </w:tc>
      </w:tr>
      <w:tr w:rsidRPr="005C0C6F" w:rsidR="00A85C8C" w:rsidTr="0038775F" w14:paraId="06AC98D3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28643AE8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P="00446A82" w:rsidRDefault="00A85C8C" w14:paraId="2834A8DB" w14:textId="77777777">
            <w:pPr>
              <w:cnfStyle w:val="000000100000"/>
            </w:pPr>
            <w:r w:rsidRPr="005C0C6F">
              <w:t>Vložení/odebrání bodu, položky návrhu usnesení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073E937B" w14:textId="77777777">
            <w:pPr>
              <w:cnfStyle w:val="000000100000"/>
            </w:pPr>
          </w:p>
        </w:tc>
      </w:tr>
      <w:tr w:rsidRPr="005C0C6F" w:rsidR="00A85C8C" w:rsidTr="0038775F" w14:paraId="794F9C4A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266F808A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P="00446A82" w:rsidRDefault="00A85C8C" w14:paraId="1EA2F637" w14:textId="77777777">
            <w:pPr>
              <w:cnfStyle w:val="000000010000"/>
            </w:pPr>
            <w:r w:rsidRPr="005C0C6F">
              <w:t>Vložení/odebrání úkolu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6CCC6BC7" w14:textId="77777777">
            <w:pPr>
              <w:cnfStyle w:val="000000010000"/>
            </w:pPr>
          </w:p>
        </w:tc>
      </w:tr>
      <w:tr w:rsidRPr="005C0C6F" w:rsidR="00A85C8C" w:rsidTr="0038775F" w14:paraId="2CA984CB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7E2BAB68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P="00446A82" w:rsidRDefault="00A85C8C" w14:paraId="6C5B9D9B" w14:textId="77777777">
            <w:pPr>
              <w:cnfStyle w:val="000000100000"/>
            </w:pPr>
            <w:r w:rsidRPr="005C0C6F">
              <w:t>Vložení přílohy – podklady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11BA21A5" w14:textId="77777777">
            <w:pPr>
              <w:cnfStyle w:val="000000100000"/>
            </w:pPr>
          </w:p>
        </w:tc>
      </w:tr>
      <w:tr w:rsidRPr="005C0C6F" w:rsidR="00A85C8C" w:rsidDel="006E6EEC" w:rsidTr="0038775F" w14:paraId="68803ECF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7E582F04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1810B367" w14:textId="77777777">
            <w:pPr>
              <w:cnfStyle w:val="000000010000"/>
            </w:pPr>
            <w:r w:rsidRPr="005C0C6F">
              <w:t>Schválení a připomínkování návrhu usnesení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53BF2F23" w14:textId="77777777">
            <w:pPr>
              <w:cnfStyle w:val="000000010000"/>
            </w:pPr>
          </w:p>
        </w:tc>
      </w:tr>
      <w:tr w:rsidRPr="005C0C6F" w:rsidR="00A85C8C" w:rsidDel="006E6EEC" w:rsidTr="0038775F" w14:paraId="32B63589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1AF67706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7C40E343" w14:textId="77777777">
            <w:pPr>
              <w:cnfStyle w:val="000000100000"/>
            </w:pPr>
            <w:r w:rsidRPr="005C0C6F">
              <w:t>Příprava programu a pozvánky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605B897C" w14:textId="77777777">
            <w:pPr>
              <w:cnfStyle w:val="000000100000"/>
            </w:pPr>
          </w:p>
        </w:tc>
      </w:tr>
      <w:tr w:rsidRPr="005C0C6F" w:rsidR="00A85C8C" w:rsidDel="006E6EEC" w:rsidTr="0038775F" w14:paraId="1DA78224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13309A4B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4A9BFAB3" w14:textId="77777777">
            <w:pPr>
              <w:cnfStyle w:val="000000010000"/>
            </w:pPr>
            <w:r w:rsidRPr="005C0C6F">
              <w:t>Schválení a připomínky k programu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5CED7B7E" w14:textId="77777777">
            <w:pPr>
              <w:cnfStyle w:val="000000010000"/>
            </w:pPr>
          </w:p>
        </w:tc>
      </w:tr>
      <w:tr w:rsidRPr="005C0C6F" w:rsidR="00A85C8C" w:rsidDel="006E6EEC" w:rsidTr="0038775F" w14:paraId="2D4FADBD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3E387219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0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167E0CD0" w14:textId="77777777">
            <w:pPr>
              <w:cnfStyle w:val="000000100000"/>
            </w:pPr>
            <w:r w:rsidRPr="005C0C6F">
              <w:t>Zpracování zápisu z jednání, porady, zasedání zastupitelstva nebo rady města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7CBE5855" w14:textId="77777777">
            <w:pPr>
              <w:cnfStyle w:val="000000100000"/>
            </w:pPr>
          </w:p>
        </w:tc>
      </w:tr>
      <w:tr w:rsidRPr="005C0C6F" w:rsidR="00A85C8C" w:rsidTr="0038775F" w14:paraId="4F1C75E2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64C9050C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P="00446A82" w:rsidRDefault="00A85C8C" w14:paraId="0ED391F3" w14:textId="77777777">
            <w:pPr>
              <w:cnfStyle w:val="000000010000"/>
            </w:pPr>
            <w:r w:rsidRPr="005C0C6F">
              <w:t>Evidence úkolů vzniklých z jednání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6592E307" w14:textId="77777777">
            <w:pPr>
              <w:cnfStyle w:val="000000010000"/>
            </w:pPr>
          </w:p>
        </w:tc>
      </w:tr>
      <w:tr w:rsidRPr="005C0C6F" w:rsidR="00A85C8C" w:rsidTr="0038775F" w14:paraId="5C1AF64C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11E33FFD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P="00446A82" w:rsidRDefault="00A85C8C" w14:paraId="561A7B11" w14:textId="77777777">
            <w:pPr>
              <w:cnfStyle w:val="000000100000"/>
            </w:pPr>
            <w:r w:rsidRPr="005C0C6F">
              <w:t>Výstup usnesení lze zveřejnit</w:t>
            </w:r>
            <w:r>
              <w:t xml:space="preserve"> na</w:t>
            </w:r>
            <w:r w:rsidRPr="005C0C6F">
              <w:t>:</w:t>
            </w:r>
          </w:p>
          <w:p w:rsidRPr="005C0C6F" w:rsidR="00A85C8C" w:rsidP="00446A82" w:rsidRDefault="00A85C8C" w14:paraId="50F010D1" w14:textId="77777777">
            <w:pPr>
              <w:pStyle w:val="Odrky1"/>
              <w:spacing w:after="0"/>
              <w:cnfStyle w:val="000000100000"/>
            </w:pPr>
            <w:r w:rsidRPr="005C0C6F">
              <w:t>webové stránky obce</w:t>
            </w:r>
          </w:p>
          <w:p w:rsidRPr="005C0C6F" w:rsidR="00A85C8C" w:rsidP="00446A82" w:rsidRDefault="00A85C8C" w14:paraId="24C2135F" w14:textId="77777777">
            <w:pPr>
              <w:pStyle w:val="Odrky1"/>
              <w:spacing w:after="0"/>
              <w:cnfStyle w:val="000000100000"/>
            </w:pPr>
            <w:r w:rsidRPr="005C0C6F">
              <w:t>elektronickou úřední desku</w:t>
            </w:r>
          </w:p>
          <w:p w:rsidRPr="005C0C6F" w:rsidR="00A85C8C" w:rsidP="00446A82" w:rsidRDefault="00A85C8C" w14:paraId="446DD723" w14:textId="77777777">
            <w:pPr>
              <w:pStyle w:val="Odrky1"/>
              <w:spacing w:after="0"/>
              <w:cnfStyle w:val="000000100000"/>
            </w:pPr>
            <w:r w:rsidRPr="005C0C6F">
              <w:t>intranet organizace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44E33953" w14:textId="77777777">
            <w:pPr>
              <w:cnfStyle w:val="000000100000"/>
            </w:pPr>
          </w:p>
        </w:tc>
      </w:tr>
      <w:tr w:rsidRPr="005C0C6F" w:rsidR="00A85C8C" w:rsidDel="006E6EEC" w:rsidTr="0038775F" w14:paraId="5CD51743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1167B6F3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52E24CFC" w14:textId="77777777">
            <w:pPr>
              <w:cnfStyle w:val="000000010000"/>
            </w:pPr>
            <w:r w:rsidRPr="005C0C6F">
              <w:t>Fulltextové vyhledávání.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4EB04F0A" w14:textId="77777777">
            <w:pPr>
              <w:cnfStyle w:val="000000010000"/>
            </w:pPr>
          </w:p>
        </w:tc>
      </w:tr>
      <w:tr w:rsidRPr="005C0C6F" w:rsidR="00A85C8C" w:rsidDel="006E6EEC" w:rsidTr="0038775F" w14:paraId="0064317E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75EA3D01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36333D22" w14:textId="77777777">
            <w:pPr>
              <w:cnfStyle w:val="000000100000"/>
            </w:pPr>
            <w:r w:rsidRPr="005C0C6F">
              <w:t>Zajištění jednotného vzhledu dokumentů.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66BD1F3C" w14:textId="77777777">
            <w:pPr>
              <w:cnfStyle w:val="000000100000"/>
            </w:pPr>
          </w:p>
        </w:tc>
      </w:tr>
      <w:tr w:rsidRPr="005C0C6F" w:rsidR="00A85C8C" w:rsidDel="006E6EEC" w:rsidTr="0038775F" w14:paraId="0E6E2190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1ECB6972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7C98F681" w14:textId="77777777">
            <w:pPr>
              <w:cnfStyle w:val="000000010000"/>
            </w:pPr>
            <w:r w:rsidRPr="005C0C6F">
              <w:t>Propojení s evidencí úkolů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1335B504" w14:textId="77777777">
            <w:pPr>
              <w:cnfStyle w:val="000000010000"/>
            </w:pPr>
          </w:p>
        </w:tc>
      </w:tr>
      <w:tr w:rsidRPr="005C0C6F" w:rsidR="00A85C8C" w:rsidDel="006E6EEC" w:rsidTr="0038775F" w14:paraId="7D24DAAD" w14:textId="77777777">
        <w:trPr>
          <w:cnfStyle w:val="00000010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320A5340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Del="006E6EEC" w:rsidP="00446A82" w:rsidRDefault="00A85C8C" w14:paraId="51289218" w14:textId="77777777">
            <w:pPr>
              <w:cnfStyle w:val="000000100000"/>
            </w:pPr>
            <w:r w:rsidRPr="005C0C6F">
              <w:t>Propojení se spisovou službou.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1C798660" w14:textId="77777777">
            <w:pPr>
              <w:cnfStyle w:val="000000100000"/>
            </w:pPr>
          </w:p>
        </w:tc>
      </w:tr>
      <w:tr w:rsidRPr="005C0C6F" w:rsidR="00A85C8C" w:rsidTr="0038775F" w14:paraId="75D38622" w14:textId="77777777">
        <w:trPr>
          <w:cnfStyle w:val="000000010000"/>
          <w:trHeight w:val="283"/>
        </w:trPr>
        <w:tc>
          <w:tcPr>
            <w:cnfStyle w:val="001000000000"/>
            <w:tcW w:w="480" w:type="dxa"/>
          </w:tcPr>
          <w:p w:rsidRPr="005C0C6F" w:rsidR="00A85C8C" w:rsidP="00A85C8C" w:rsidRDefault="00A85C8C" w14:paraId="09E61BD5" w14:textId="77777777">
            <w:pPr>
              <w:pStyle w:val="Odstavecseseznamem"/>
              <w:numPr>
                <w:ilvl w:val="0"/>
                <w:numId w:val="9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5C0C6F">
              <w:t>1</w:t>
            </w:r>
          </w:p>
        </w:tc>
        <w:tc>
          <w:tcPr>
            <w:tcW w:w="6740" w:type="dxa"/>
          </w:tcPr>
          <w:p w:rsidRPr="005C0C6F" w:rsidR="00A85C8C" w:rsidP="00446A82" w:rsidRDefault="00A85C8C" w14:paraId="5BC66CF4" w14:textId="77777777">
            <w:pPr>
              <w:cnfStyle w:val="000000010000"/>
            </w:pPr>
            <w:r>
              <w:t>Možnost o</w:t>
            </w:r>
            <w:r w:rsidRPr="005C0C6F">
              <w:t>bousměrn</w:t>
            </w:r>
            <w:r>
              <w:t>é</w:t>
            </w:r>
            <w:r w:rsidRPr="005C0C6F">
              <w:t xml:space="preserve"> integrace s hlasovacím zařízením</w:t>
            </w:r>
          </w:p>
        </w:tc>
        <w:tc>
          <w:tcPr>
            <w:tcW w:w="1275" w:type="dxa"/>
            <w:shd w:val="clear" w:color="auto" w:fill="FEF4CE"/>
          </w:tcPr>
          <w:p w:rsidR="00A85C8C" w:rsidP="00446A82" w:rsidRDefault="00A85C8C" w14:paraId="664EBDC8" w14:textId="77777777">
            <w:pPr>
              <w:cnfStyle w:val="000000010000"/>
            </w:pPr>
          </w:p>
        </w:tc>
      </w:tr>
      <w:tr w:rsidRPr="005C0C6F" w:rsidR="00A85C8C" w:rsidTr="0038775F" w14:paraId="6DCB59DF" w14:textId="77777777">
        <w:trPr>
          <w:cnfStyle w:val="000000100000"/>
          <w:trHeight w:val="297"/>
        </w:trPr>
        <w:tc>
          <w:tcPr>
            <w:cnfStyle w:val="001000000000"/>
            <w:tcW w:w="7220" w:type="dxa"/>
            <w:gridSpan w:val="2"/>
          </w:tcPr>
          <w:p w:rsidRPr="00035D23" w:rsidR="00A85C8C" w:rsidP="00446A82" w:rsidRDefault="00A85C8C" w14:paraId="4ECDB672" w14:textId="77777777">
            <w:r w:rsidRPr="00035D23">
              <w:t>Hlasovací zařízení jako integrální součást evidence jednání</w:t>
            </w:r>
          </w:p>
        </w:tc>
        <w:tc>
          <w:tcPr>
            <w:tcW w:w="1275" w:type="dxa"/>
            <w:shd w:val="clear" w:color="auto" w:fill="FEF4CE"/>
          </w:tcPr>
          <w:p w:rsidRPr="00035D23" w:rsidR="00A85C8C" w:rsidP="00446A82" w:rsidRDefault="00A85C8C" w14:paraId="44DD0310" w14:textId="77777777">
            <w:pPr>
              <w:cnfStyle w:val="000000100000"/>
            </w:pPr>
          </w:p>
        </w:tc>
      </w:tr>
    </w:tbl>
    <w:tbl>
      <w:tblPr>
        <w:tblStyle w:val="ZKLADNTABULKA1"/>
        <w:tblW w:w="8495" w:type="dxa"/>
        <w:tblLayout w:type="fixed"/>
        <w:tblLook w:firstRow="1" w:lastRow="0" w:firstColumn="1" w:lastColumn="0" w:noHBand="0" w:noVBand="1" w:val="04A0"/>
      </w:tblPr>
      <w:tblGrid>
        <w:gridCol w:w="540"/>
        <w:gridCol w:w="6680"/>
        <w:gridCol w:w="1275"/>
      </w:tblGrid>
      <w:tr w:rsidRPr="005C0C6F" w:rsidR="00A85C8C" w:rsidTr="0038775F" w14:paraId="6EDDD4CB" w14:textId="77777777">
        <w:trPr>
          <w:cnfStyle w:val="100000000000"/>
          <w:trHeight w:val="283"/>
        </w:trPr>
        <w:tc>
          <w:tcPr>
            <w:cnfStyle w:val="001000000100"/>
            <w:tcW w:w="540" w:type="dxa"/>
          </w:tcPr>
          <w:p w:rsidRPr="00035D23" w:rsidR="00A85C8C" w:rsidP="00A85C8C" w:rsidRDefault="00A85C8C" w14:paraId="2D43B0C8" w14:textId="77777777">
            <w:pPr>
              <w:pStyle w:val="Odstavecseseznamem"/>
              <w:numPr>
                <w:ilvl w:val="0"/>
                <w:numId w:val="10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035D23">
              <w:t>19</w:t>
            </w:r>
          </w:p>
        </w:tc>
        <w:tc>
          <w:tcPr>
            <w:tcW w:w="6680" w:type="dxa"/>
          </w:tcPr>
          <w:p w:rsidRPr="00D303CD" w:rsidR="00A85C8C" w:rsidP="00446A82" w:rsidRDefault="00A85C8C" w14:paraId="18E1AA5F" w14:textId="77777777">
            <w:pPr>
              <w:cnfStyle w:val="100000000000"/>
              <w:rPr>
                <w:b w:val="false"/>
                <w:bCs/>
              </w:rPr>
            </w:pPr>
            <w:r w:rsidRPr="00D303CD">
              <w:rPr>
                <w:b w:val="false"/>
                <w:bCs/>
              </w:rPr>
              <w:t>Umožnit elektronicky hlasovat.</w:t>
            </w:r>
          </w:p>
        </w:tc>
        <w:tc>
          <w:tcPr>
            <w:tcW w:w="1275" w:type="dxa"/>
            <w:shd w:val="clear" w:color="auto" w:fill="FEF4CE"/>
          </w:tcPr>
          <w:p w:rsidRPr="00D303CD" w:rsidR="00A85C8C" w:rsidP="00446A82" w:rsidRDefault="00A85C8C" w14:paraId="2451BD74" w14:textId="77777777">
            <w:pPr>
              <w:cnfStyle w:val="100000000000"/>
              <w:rPr>
                <w:bCs/>
              </w:rPr>
            </w:pPr>
          </w:p>
        </w:tc>
      </w:tr>
      <w:tr w:rsidRPr="005C0C6F" w:rsidR="00A85C8C" w:rsidTr="0038775F" w14:paraId="545458B1" w14:textId="77777777">
        <w:trPr>
          <w:cnfStyle w:val="000000100000"/>
          <w:trHeight w:val="283"/>
        </w:trPr>
        <w:tc>
          <w:tcPr>
            <w:cnfStyle w:val="001000000000"/>
            <w:tcW w:w="540" w:type="dxa"/>
          </w:tcPr>
          <w:p w:rsidRPr="00035D23" w:rsidR="00A85C8C" w:rsidP="00A85C8C" w:rsidRDefault="00A85C8C" w14:paraId="4F395ECA" w14:textId="77777777">
            <w:pPr>
              <w:pStyle w:val="Odstavecseseznamem"/>
              <w:numPr>
                <w:ilvl w:val="0"/>
                <w:numId w:val="10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035D23">
              <w:t>20</w:t>
            </w:r>
          </w:p>
        </w:tc>
        <w:tc>
          <w:tcPr>
            <w:tcW w:w="6680" w:type="dxa"/>
          </w:tcPr>
          <w:p w:rsidRPr="005C0C6F" w:rsidR="00A85C8C" w:rsidP="00446A82" w:rsidRDefault="00A85C8C" w14:paraId="66F64CB6" w14:textId="77777777">
            <w:pPr>
              <w:cnfStyle w:val="000000100000"/>
            </w:pPr>
            <w:r w:rsidRPr="005C0C6F">
              <w:t>Na hlasovací tabuli zobrazit návrh usnesení projednávaného bodu.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11E9E073" w14:textId="77777777">
            <w:pPr>
              <w:cnfStyle w:val="000000100000"/>
            </w:pPr>
          </w:p>
        </w:tc>
      </w:tr>
      <w:tr w:rsidRPr="005C0C6F" w:rsidR="00A85C8C" w:rsidTr="0038775F" w14:paraId="48D62A68" w14:textId="77777777">
        <w:trPr>
          <w:cnfStyle w:val="000000010000"/>
          <w:trHeight w:val="283"/>
        </w:trPr>
        <w:tc>
          <w:tcPr>
            <w:cnfStyle w:val="001000000000"/>
            <w:tcW w:w="540" w:type="dxa"/>
          </w:tcPr>
          <w:p w:rsidRPr="005C0C6F" w:rsidR="00A85C8C" w:rsidP="00A85C8C" w:rsidRDefault="00A85C8C" w14:paraId="42DB71FD" w14:textId="77777777">
            <w:pPr>
              <w:pStyle w:val="Odstavecseseznamem"/>
              <w:numPr>
                <w:ilvl w:val="0"/>
                <w:numId w:val="10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</w:p>
        </w:tc>
        <w:tc>
          <w:tcPr>
            <w:tcW w:w="6680" w:type="dxa"/>
          </w:tcPr>
          <w:p w:rsidRPr="005C0C6F" w:rsidR="00A85C8C" w:rsidP="00446A82" w:rsidRDefault="00A85C8C" w14:paraId="77B0E221" w14:textId="77777777">
            <w:pPr>
              <w:cnfStyle w:val="000000010000"/>
            </w:pPr>
            <w:r w:rsidRPr="005C0C6F">
              <w:t>Zaznamenat jmenovité výsledky hlasování k bodům jednání.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57E0096B" w14:textId="77777777">
            <w:pPr>
              <w:cnfStyle w:val="000000010000"/>
            </w:pPr>
          </w:p>
        </w:tc>
      </w:tr>
      <w:tr w:rsidRPr="005C0C6F" w:rsidR="00A85C8C" w:rsidTr="0038775F" w14:paraId="11833D92" w14:textId="77777777">
        <w:trPr>
          <w:cnfStyle w:val="000000100000"/>
          <w:trHeight w:val="283"/>
        </w:trPr>
        <w:tc>
          <w:tcPr>
            <w:cnfStyle w:val="001000000000"/>
            <w:tcW w:w="540" w:type="dxa"/>
          </w:tcPr>
          <w:p w:rsidRPr="005C0C6F" w:rsidR="00A85C8C" w:rsidP="00A85C8C" w:rsidRDefault="00A85C8C" w14:paraId="5B25BE22" w14:textId="77777777">
            <w:pPr>
              <w:pStyle w:val="Odstavecseseznamem"/>
              <w:numPr>
                <w:ilvl w:val="0"/>
                <w:numId w:val="10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</w:p>
        </w:tc>
        <w:tc>
          <w:tcPr>
            <w:tcW w:w="6680" w:type="dxa"/>
          </w:tcPr>
          <w:p w:rsidRPr="005C0C6F" w:rsidR="00A85C8C" w:rsidP="00446A82" w:rsidRDefault="00A85C8C" w14:paraId="51FBFCD6" w14:textId="77777777">
            <w:pPr>
              <w:cnfStyle w:val="000000100000"/>
            </w:pPr>
            <w:r w:rsidRPr="005C0C6F">
              <w:t>Na hlasovací tabuli zobrazit výsledky hlasování.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4B1F7974" w14:textId="77777777">
            <w:pPr>
              <w:cnfStyle w:val="000000100000"/>
            </w:pPr>
          </w:p>
        </w:tc>
      </w:tr>
      <w:tr w:rsidRPr="005C0C6F" w:rsidR="00A85C8C" w:rsidTr="0038775F" w14:paraId="33947E7B" w14:textId="77777777">
        <w:trPr>
          <w:cnfStyle w:val="000000010000"/>
          <w:trHeight w:val="283"/>
        </w:trPr>
        <w:tc>
          <w:tcPr>
            <w:cnfStyle w:val="001000000000"/>
            <w:tcW w:w="540" w:type="dxa"/>
          </w:tcPr>
          <w:p w:rsidRPr="005C0C6F" w:rsidR="00A85C8C" w:rsidP="00A85C8C" w:rsidRDefault="00A85C8C" w14:paraId="72DDC920" w14:textId="77777777">
            <w:pPr>
              <w:pStyle w:val="Odstavecseseznamem"/>
              <w:numPr>
                <w:ilvl w:val="0"/>
                <w:numId w:val="10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</w:p>
        </w:tc>
        <w:tc>
          <w:tcPr>
            <w:tcW w:w="6680" w:type="dxa"/>
          </w:tcPr>
          <w:p w:rsidRPr="005C0C6F" w:rsidR="00A85C8C" w:rsidP="00446A82" w:rsidRDefault="00A85C8C" w14:paraId="4179CE94" w14:textId="77777777">
            <w:pPr>
              <w:cnfStyle w:val="000000010000"/>
            </w:pPr>
            <w:r w:rsidRPr="005C0C6F">
              <w:t>Vytvořit protokol o hlasování.</w:t>
            </w:r>
          </w:p>
        </w:tc>
        <w:tc>
          <w:tcPr>
            <w:tcW w:w="1275" w:type="dxa"/>
            <w:shd w:val="clear" w:color="auto" w:fill="FEF4CE"/>
          </w:tcPr>
          <w:p w:rsidRPr="005C0C6F" w:rsidR="00A85C8C" w:rsidP="00446A82" w:rsidRDefault="00A85C8C" w14:paraId="78F6EAA4" w14:textId="77777777">
            <w:pPr>
              <w:cnfStyle w:val="000000010000"/>
            </w:pPr>
          </w:p>
        </w:tc>
      </w:tr>
    </w:tbl>
    <w:tbl>
      <w:tblPr>
        <w:tblStyle w:val="ZKLADNTABULKA2"/>
        <w:tblW w:w="8495" w:type="dxa"/>
        <w:tblLayout w:type="fixed"/>
        <w:tblLook w:firstRow="1" w:lastRow="0" w:firstColumn="1" w:lastColumn="0" w:noHBand="0" w:noVBand="1" w:val="04A0"/>
      </w:tblPr>
      <w:tblGrid>
        <w:gridCol w:w="523"/>
        <w:gridCol w:w="6697"/>
        <w:gridCol w:w="1275"/>
      </w:tblGrid>
      <w:tr w:rsidRPr="00313219" w:rsidR="00A85C8C" w:rsidTr="0038775F" w14:paraId="3F3AF972" w14:textId="77777777">
        <w:trPr>
          <w:cnfStyle w:val="100000000000"/>
          <w:trHeight w:val="283"/>
        </w:trPr>
        <w:tc>
          <w:tcPr>
            <w:cnfStyle w:val="001000000100"/>
            <w:tcW w:w="7220" w:type="dxa"/>
            <w:gridSpan w:val="2"/>
          </w:tcPr>
          <w:p w:rsidRPr="00313219" w:rsidR="00A85C8C" w:rsidP="00446A82" w:rsidRDefault="00A85C8C" w14:paraId="62C4F38C" w14:textId="77777777">
            <w:r>
              <w:t>Evidence úkolů</w:t>
            </w:r>
          </w:p>
        </w:tc>
        <w:tc>
          <w:tcPr>
            <w:tcW w:w="1275" w:type="dxa"/>
            <w:shd w:val="clear" w:color="auto" w:fill="FEF4CE"/>
          </w:tcPr>
          <w:p w:rsidR="00A85C8C" w:rsidP="00446A82" w:rsidRDefault="00A85C8C" w14:paraId="38C02AE9" w14:textId="77777777">
            <w:pPr>
              <w:cnfStyle w:val="100000000000"/>
            </w:pPr>
          </w:p>
        </w:tc>
      </w:tr>
      <w:tr w:rsidRPr="00313219" w:rsidR="00A85C8C" w:rsidTr="0038775F" w14:paraId="2B4E1BBB" w14:textId="77777777">
        <w:trPr>
          <w:cnfStyle w:val="00000010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54806B38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0</w:t>
            </w:r>
          </w:p>
        </w:tc>
        <w:tc>
          <w:tcPr>
            <w:tcW w:w="6697" w:type="dxa"/>
          </w:tcPr>
          <w:p w:rsidRPr="00313219" w:rsidR="00A85C8C" w:rsidP="00446A82" w:rsidRDefault="00A85C8C" w14:paraId="5D9E3742" w14:textId="77777777">
            <w:pPr>
              <w:cnfStyle w:val="000000100000"/>
            </w:pPr>
            <w:r w:rsidRPr="00313219">
              <w:t>Evidence úkolů a podpora jejich sledování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19BAB8BE" w14:textId="77777777">
            <w:pPr>
              <w:cnfStyle w:val="000000100000"/>
            </w:pPr>
          </w:p>
        </w:tc>
      </w:tr>
      <w:tr w:rsidRPr="00313219" w:rsidR="00A85C8C" w:rsidTr="0038775F" w14:paraId="359D2775" w14:textId="77777777">
        <w:trPr>
          <w:cnfStyle w:val="00000001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6E8A8C14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0</w:t>
            </w:r>
          </w:p>
        </w:tc>
        <w:tc>
          <w:tcPr>
            <w:tcW w:w="6697" w:type="dxa"/>
          </w:tcPr>
          <w:p w:rsidRPr="00313219" w:rsidR="00A85C8C" w:rsidP="00446A82" w:rsidRDefault="00A85C8C" w14:paraId="542CCF7A" w14:textId="77777777">
            <w:pPr>
              <w:cnfStyle w:val="000000010000"/>
            </w:pPr>
            <w:r w:rsidRPr="00313219">
              <w:t>Delegování úkolů dalším pracovníkům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56207108" w14:textId="77777777">
            <w:pPr>
              <w:cnfStyle w:val="000000010000"/>
            </w:pPr>
          </w:p>
        </w:tc>
      </w:tr>
      <w:tr w:rsidRPr="00313219" w:rsidR="00A85C8C" w:rsidTr="0038775F" w14:paraId="574C2128" w14:textId="77777777">
        <w:trPr>
          <w:cnfStyle w:val="00000010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68FF8E64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0</w:t>
            </w:r>
          </w:p>
        </w:tc>
        <w:tc>
          <w:tcPr>
            <w:tcW w:w="6697" w:type="dxa"/>
          </w:tcPr>
          <w:p w:rsidRPr="00313219" w:rsidR="00A85C8C" w:rsidP="00446A82" w:rsidRDefault="00A85C8C" w14:paraId="2F0678D5" w14:textId="77777777">
            <w:pPr>
              <w:cnfStyle w:val="000000100000"/>
            </w:pPr>
            <w:r w:rsidRPr="00313219">
              <w:t>Rozpad úkolu na další podřízené úkoly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26564970" w14:textId="77777777">
            <w:pPr>
              <w:cnfStyle w:val="000000100000"/>
            </w:pPr>
          </w:p>
        </w:tc>
      </w:tr>
      <w:tr w:rsidRPr="00313219" w:rsidR="00A85C8C" w:rsidDel="006E6EEC" w:rsidTr="0038775F" w14:paraId="3260628D" w14:textId="77777777">
        <w:trPr>
          <w:cnfStyle w:val="00000001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1EA0E2B6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0</w:t>
            </w:r>
          </w:p>
        </w:tc>
        <w:tc>
          <w:tcPr>
            <w:tcW w:w="6697" w:type="dxa"/>
          </w:tcPr>
          <w:p w:rsidRPr="00313219" w:rsidR="00A85C8C" w:rsidDel="006E6EEC" w:rsidP="00446A82" w:rsidRDefault="00A85C8C" w14:paraId="1D26182A" w14:textId="77777777">
            <w:pPr>
              <w:cnfStyle w:val="000000010000"/>
            </w:pPr>
            <w:r w:rsidRPr="00313219">
              <w:t>Filtrování úkolů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5979D800" w14:textId="77777777">
            <w:pPr>
              <w:cnfStyle w:val="000000010000"/>
            </w:pPr>
          </w:p>
        </w:tc>
      </w:tr>
      <w:tr w:rsidRPr="00313219" w:rsidR="00A85C8C" w:rsidDel="006E6EEC" w:rsidTr="0038775F" w14:paraId="16603B84" w14:textId="77777777">
        <w:trPr>
          <w:cnfStyle w:val="00000010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36B179F0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0</w:t>
            </w:r>
          </w:p>
        </w:tc>
        <w:tc>
          <w:tcPr>
            <w:tcW w:w="6697" w:type="dxa"/>
          </w:tcPr>
          <w:p w:rsidRPr="00313219" w:rsidR="00A85C8C" w:rsidDel="006E6EEC" w:rsidP="00446A82" w:rsidRDefault="00A85C8C" w14:paraId="519FC74D" w14:textId="77777777">
            <w:pPr>
              <w:cnfStyle w:val="000000100000"/>
            </w:pPr>
            <w:r w:rsidRPr="00313219">
              <w:t>Kontrola stavu úkolů nadřízeným pracovníkem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79ADAA03" w14:textId="77777777">
            <w:pPr>
              <w:cnfStyle w:val="000000100000"/>
            </w:pPr>
          </w:p>
        </w:tc>
      </w:tr>
      <w:tr w:rsidRPr="00313219" w:rsidR="00A85C8C" w:rsidDel="006E6EEC" w:rsidTr="0038775F" w14:paraId="1DEF71F6" w14:textId="77777777">
        <w:trPr>
          <w:cnfStyle w:val="00000001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04D7E556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0</w:t>
            </w:r>
          </w:p>
        </w:tc>
        <w:tc>
          <w:tcPr>
            <w:tcW w:w="6697" w:type="dxa"/>
          </w:tcPr>
          <w:p w:rsidRPr="00313219" w:rsidR="00A85C8C" w:rsidDel="006E6EEC" w:rsidP="00446A82" w:rsidRDefault="00A85C8C" w14:paraId="6985D86D" w14:textId="77777777">
            <w:pPr>
              <w:cnfStyle w:val="000000010000"/>
            </w:pPr>
            <w:r w:rsidRPr="00313219">
              <w:t>Vkládání příloh při zadání nebo při plnění úkolu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4ECCB2AD" w14:textId="77777777">
            <w:pPr>
              <w:cnfStyle w:val="000000010000"/>
            </w:pPr>
          </w:p>
        </w:tc>
      </w:tr>
      <w:tr w:rsidRPr="00313219" w:rsidR="00A85C8C" w:rsidTr="0038775F" w14:paraId="45D46BBC" w14:textId="77777777">
        <w:trPr>
          <w:cnfStyle w:val="00000010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05F3BF6A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1</w:t>
            </w:r>
          </w:p>
        </w:tc>
        <w:tc>
          <w:tcPr>
            <w:tcW w:w="6697" w:type="dxa"/>
          </w:tcPr>
          <w:p w:rsidRPr="00313219" w:rsidR="00A85C8C" w:rsidP="00446A82" w:rsidRDefault="00A85C8C" w14:paraId="7302FF33" w14:textId="77777777">
            <w:pPr>
              <w:cnfStyle w:val="000000100000"/>
            </w:pPr>
            <w:r w:rsidRPr="00313219">
              <w:t>Evidence historie provedených změn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5505427C" w14:textId="77777777">
            <w:pPr>
              <w:cnfStyle w:val="000000100000"/>
            </w:pPr>
          </w:p>
        </w:tc>
      </w:tr>
      <w:tr w:rsidRPr="00313219" w:rsidR="00A85C8C" w:rsidDel="006E6EEC" w:rsidTr="0038775F" w14:paraId="6AB1488B" w14:textId="77777777">
        <w:trPr>
          <w:cnfStyle w:val="00000001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0135D93A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1</w:t>
            </w:r>
          </w:p>
        </w:tc>
        <w:tc>
          <w:tcPr>
            <w:tcW w:w="6697" w:type="dxa"/>
          </w:tcPr>
          <w:p w:rsidRPr="00313219" w:rsidR="00A85C8C" w:rsidDel="006E6EEC" w:rsidP="00446A82" w:rsidRDefault="00A85C8C" w14:paraId="09DB35F4" w14:textId="77777777">
            <w:pPr>
              <w:cnfStyle w:val="000000010000"/>
            </w:pPr>
            <w:r w:rsidRPr="00313219">
              <w:t>Vytváření tiskových výstupů a přehledů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39B187BE" w14:textId="77777777">
            <w:pPr>
              <w:cnfStyle w:val="000000010000"/>
            </w:pPr>
          </w:p>
        </w:tc>
      </w:tr>
      <w:tr w:rsidRPr="00313219" w:rsidR="00A85C8C" w:rsidDel="006E6EEC" w:rsidTr="0038775F" w14:paraId="5DECAABF" w14:textId="77777777">
        <w:trPr>
          <w:cnfStyle w:val="00000010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2E38EDCA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1</w:t>
            </w:r>
          </w:p>
        </w:tc>
        <w:tc>
          <w:tcPr>
            <w:tcW w:w="6697" w:type="dxa"/>
          </w:tcPr>
          <w:p w:rsidRPr="00313219" w:rsidR="00A85C8C" w:rsidDel="006E6EEC" w:rsidP="00446A82" w:rsidRDefault="00A85C8C" w14:paraId="59072A6F" w14:textId="77777777">
            <w:pPr>
              <w:cnfStyle w:val="000000100000"/>
            </w:pPr>
            <w:r w:rsidRPr="00313219">
              <w:t>Fulltextové vyhledávání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02F3CC2E" w14:textId="77777777">
            <w:pPr>
              <w:cnfStyle w:val="000000100000"/>
            </w:pPr>
          </w:p>
        </w:tc>
      </w:tr>
      <w:tr w:rsidRPr="00313219" w:rsidR="00A85C8C" w:rsidTr="0038775F" w14:paraId="2459B5E7" w14:textId="77777777">
        <w:trPr>
          <w:cnfStyle w:val="00000001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5B5F3768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1</w:t>
            </w:r>
          </w:p>
        </w:tc>
        <w:tc>
          <w:tcPr>
            <w:tcW w:w="6697" w:type="dxa"/>
          </w:tcPr>
          <w:p w:rsidRPr="00313219" w:rsidR="00A85C8C" w:rsidP="00446A82" w:rsidRDefault="00A85C8C" w14:paraId="6EDD6F57" w14:textId="77777777">
            <w:pPr>
              <w:cnfStyle w:val="000000010000"/>
            </w:pPr>
            <w:r w:rsidRPr="00313219">
              <w:t>Možnost kontroly zpožděných úkolů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40053F49" w14:textId="77777777">
            <w:pPr>
              <w:cnfStyle w:val="000000010000"/>
            </w:pPr>
          </w:p>
        </w:tc>
      </w:tr>
      <w:tr w:rsidRPr="00313219" w:rsidR="00A85C8C" w:rsidTr="0038775F" w14:paraId="4F6AC2DF" w14:textId="77777777">
        <w:trPr>
          <w:cnfStyle w:val="00000010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20A4255A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1</w:t>
            </w:r>
          </w:p>
        </w:tc>
        <w:tc>
          <w:tcPr>
            <w:tcW w:w="6697" w:type="dxa"/>
          </w:tcPr>
          <w:p w:rsidRPr="00313219" w:rsidR="00A85C8C" w:rsidP="00446A82" w:rsidRDefault="00A85C8C" w14:paraId="5439BDA5" w14:textId="77777777">
            <w:pPr>
              <w:cnfStyle w:val="000000100000"/>
            </w:pPr>
            <w:r w:rsidRPr="00313219">
              <w:t>Specifikace přístupu pomocí nastavení uživatelských práv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462D3583" w14:textId="77777777">
            <w:pPr>
              <w:cnfStyle w:val="000000100000"/>
            </w:pPr>
          </w:p>
        </w:tc>
      </w:tr>
      <w:tr w:rsidRPr="00313219" w:rsidR="00A85C8C" w:rsidDel="006E6EEC" w:rsidTr="0038775F" w14:paraId="3710C03D" w14:textId="77777777">
        <w:trPr>
          <w:cnfStyle w:val="000000010000"/>
          <w:trHeight w:val="283"/>
        </w:trPr>
        <w:tc>
          <w:tcPr>
            <w:cnfStyle w:val="001000000000"/>
            <w:tcW w:w="523" w:type="dxa"/>
          </w:tcPr>
          <w:p w:rsidRPr="00313219" w:rsidR="00A85C8C" w:rsidP="00A85C8C" w:rsidRDefault="00A85C8C" w14:paraId="4DC2CE83" w14:textId="77777777">
            <w:pPr>
              <w:pStyle w:val="Odstavecseseznamem"/>
              <w:numPr>
                <w:ilvl w:val="0"/>
                <w:numId w:val="11"/>
              </w:numPr>
              <w:tabs>
                <w:tab w:val="left" w:pos="1072"/>
                <w:tab w:val="left" w:pos="3215"/>
                <w:tab w:val="left" w:pos="5358"/>
              </w:tabs>
              <w:contextualSpacing/>
              <w:jc w:val="both"/>
            </w:pPr>
            <w:r w:rsidRPr="00313219">
              <w:t>1</w:t>
            </w:r>
          </w:p>
        </w:tc>
        <w:tc>
          <w:tcPr>
            <w:tcW w:w="6697" w:type="dxa"/>
          </w:tcPr>
          <w:p w:rsidRPr="00313219" w:rsidR="00A85C8C" w:rsidDel="006E6EEC" w:rsidP="00446A82" w:rsidRDefault="00A85C8C" w14:paraId="457947D7" w14:textId="77777777">
            <w:pPr>
              <w:cnfStyle w:val="000000010000"/>
            </w:pPr>
            <w:r w:rsidRPr="00313219">
              <w:t xml:space="preserve">Pracovník vidí své úkoly, jejich prioritu i stav. </w:t>
            </w:r>
          </w:p>
        </w:tc>
        <w:tc>
          <w:tcPr>
            <w:tcW w:w="1275" w:type="dxa"/>
            <w:shd w:val="clear" w:color="auto" w:fill="FEF4CE"/>
          </w:tcPr>
          <w:p w:rsidRPr="00313219" w:rsidR="00A85C8C" w:rsidP="00446A82" w:rsidRDefault="00A85C8C" w14:paraId="58C5CB2F" w14:textId="77777777">
            <w:pPr>
              <w:cnfStyle w:val="000000010000"/>
            </w:pPr>
          </w:p>
        </w:tc>
      </w:tr>
    </w:tbl>
    <w:p w:rsidR="00177E23" w:rsidP="00177E23" w:rsidRDefault="00177E23" w14:paraId="3A21DF0E" w14:textId="77777777">
      <w:pPr>
        <w:autoSpaceDE w:val="false"/>
        <w:autoSpaceDN w:val="false"/>
        <w:adjustRightInd w:val="false"/>
        <w:jc w:val="both"/>
        <w:rPr>
          <w:rFonts w:eastAsia="ArialMT"/>
        </w:rPr>
      </w:pPr>
    </w:p>
    <w:p w:rsidR="00177E23" w:rsidP="00AA0077" w:rsidRDefault="00AA0077" w14:paraId="4076F33A" w14:textId="15E68A47">
      <w:pPr>
        <w:rPr>
          <w:rFonts w:ascii="Calibri" w:hAnsi="Calibri" w:cs="Calibri"/>
        </w:rPr>
      </w:pPr>
      <w:r w:rsidRPr="00A86BF3">
        <w:rPr>
          <w:rFonts w:cstheme="minorHAnsi"/>
          <w:sz w:val="24"/>
          <w:szCs w:val="24"/>
        </w:rPr>
        <w:t>Jako účastník o předmětnou veřejnou zakázku</w:t>
      </w:r>
      <w:r>
        <w:rPr>
          <w:rFonts w:cstheme="minorHAnsi"/>
          <w:sz w:val="24"/>
          <w:szCs w:val="24"/>
        </w:rPr>
        <w:t xml:space="preserve"> čestně prohlašuji</w:t>
      </w:r>
      <w:r w:rsidRPr="00A86BF3">
        <w:rPr>
          <w:rFonts w:cstheme="minorHAnsi"/>
          <w:sz w:val="24"/>
          <w:szCs w:val="24"/>
        </w:rPr>
        <w:t xml:space="preserve">, že </w:t>
      </w:r>
      <w:r>
        <w:rPr>
          <w:rFonts w:cstheme="minorHAnsi"/>
          <w:sz w:val="24"/>
          <w:szCs w:val="24"/>
        </w:rPr>
        <w:t xml:space="preserve">jsem výše uvedené tabulky doplnil pravdivě. </w:t>
      </w:r>
    </w:p>
    <w:p w:rsidRPr="00AA0077" w:rsidR="00AA0077" w:rsidP="00AA0077" w:rsidRDefault="00AA0077" w14:paraId="48537A05" w14:textId="77777777">
      <w:pPr>
        <w:rPr>
          <w:rFonts w:ascii="Calibri" w:hAnsi="Calibri" w:cs="Calibri"/>
        </w:rPr>
      </w:pPr>
    </w:p>
    <w:p w:rsidRPr="00A86BF3" w:rsidR="00572207" w:rsidP="00572207" w:rsidRDefault="00572207" w14:paraId="757762B9" w14:textId="77777777">
      <w:pPr>
        <w:pStyle w:val="Styl11"/>
        <w:rPr>
          <w:rFonts w:asciiTheme="minorHAnsi" w:hAnsiTheme="minorHAnsi" w:cstheme="minorHAnsi"/>
          <w:sz w:val="24"/>
          <w:szCs w:val="24"/>
        </w:rPr>
      </w:pPr>
    </w:p>
    <w:p w:rsidRPr="00A86BF3" w:rsidR="00572207" w:rsidP="00572207" w:rsidRDefault="00572207" w14:paraId="00134181" w14:textId="6BCB743B">
      <w:pPr>
        <w:pStyle w:val="Styl11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38775F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38775F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53510C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572207" w:rsidP="00572207" w:rsidRDefault="00572207" w14:paraId="7DC4B3B9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72207" w:rsidP="00572207" w:rsidRDefault="00572207" w14:paraId="7E2FB37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72207" w:rsidP="00572207" w:rsidRDefault="00572207" w14:paraId="070411FB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72207" w:rsidP="00572207" w:rsidRDefault="00572207" w14:paraId="42327D8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72207" w:rsidP="00572207" w:rsidRDefault="00572207" w14:paraId="2605CE54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72207" w:rsidP="00572207" w:rsidRDefault="00572207" w14:paraId="47C927C9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572207" w:rsidP="00572207" w:rsidRDefault="00572207" w14:paraId="0B081780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jc w:val="right"/>
        <w:rPr>
          <w:rFonts w:asciiTheme="minorHAnsi" w:hAnsiTheme="minorHAnsi" w:cstheme="minorHAnsi"/>
        </w:rPr>
      </w:pPr>
    </w:p>
    <w:p w:rsidRPr="00A86BF3" w:rsidR="00572207" w:rsidP="00572207" w:rsidRDefault="00572207" w14:paraId="507A35EF" w14:textId="77777777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</w:t>
      </w:r>
      <w:r w:rsidRPr="00AA0077">
        <w:rPr>
          <w:rFonts w:asciiTheme="minorHAnsi" w:hAnsiTheme="minorHAnsi" w:cstheme="minorHAnsi"/>
          <w:sz w:val="24"/>
          <w:szCs w:val="24"/>
          <w:shd w:val="clear" w:color="auto" w:fill="FFFFCC"/>
          <w:lang w:eastAsia="cs-CZ"/>
        </w:rPr>
        <w:t xml:space="preserve"> </w:t>
      </w:r>
      <w:r w:rsidRPr="0038775F">
        <w:rPr>
          <w:rFonts w:asciiTheme="minorHAnsi" w:hAnsiTheme="minorHAnsi" w:cstheme="minorHAnsi"/>
          <w:sz w:val="24"/>
          <w:szCs w:val="24"/>
          <w:shd w:val="clear" w:color="auto" w:fill="FEF4CE"/>
          <w:lang w:eastAsia="cs-CZ"/>
        </w:rPr>
        <w:t>……………….…………………………………………...</w:t>
      </w:r>
    </w:p>
    <w:p w:rsidRPr="00AA0077" w:rsidR="00177E23" w:rsidP="00AA0077" w:rsidRDefault="00572207" w14:paraId="54FA68A8" w14:textId="1EF60133">
      <w:pPr>
        <w:pStyle w:val="Vchozstyl"/>
        <w:keepNext/>
        <w:tabs>
          <w:tab w:val="left" w:pos="851"/>
          <w:tab w:val="left" w:pos="1021"/>
          <w:tab w:val="left" w:pos="3686"/>
          <w:tab w:val="left" w:pos="3969"/>
          <w:tab w:val="left" w:pos="4536"/>
        </w:tabs>
        <w:spacing w:line="100" w:lineRule="atLeast"/>
        <w:jc w:val="center"/>
        <w:rPr>
          <w:i/>
          <w:iCs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      </w:t>
      </w:r>
      <w:r w:rsidRPr="00AA0077" w:rsidR="00AA0077">
        <w:rPr>
          <w:rFonts w:asciiTheme="minorHAnsi" w:hAnsiTheme="minorHAnsi" w:cstheme="minorHAnsi"/>
          <w:i/>
          <w:iCs/>
          <w:sz w:val="24"/>
          <w:szCs w:val="24"/>
          <w:lang w:eastAsia="cs-CZ"/>
        </w:rPr>
        <w:t>Jméno, funkce, podpis oprávněné osoby</w:t>
      </w:r>
    </w:p>
    <w:sectPr w:rsidRPr="00AA0077" w:rsidR="00177E23" w:rsidSect="00181E5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77E23" w:rsidP="00177E23" w:rsidRDefault="00177E23" w14:paraId="7DDEF81A" w14:textId="77777777">
      <w:pPr>
        <w:spacing w:after="0" w:line="240" w:lineRule="auto"/>
      </w:pPr>
      <w:r>
        <w:separator/>
      </w:r>
    </w:p>
  </w:endnote>
  <w:endnote w:type="continuationSeparator" w:id="0">
    <w:p w:rsidR="00177E23" w:rsidP="00177E23" w:rsidRDefault="00177E23" w14:paraId="7AA17E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77E23" w:rsidP="00177E23" w:rsidRDefault="00177E23" w14:paraId="151F265F" w14:textId="77777777">
      <w:pPr>
        <w:spacing w:after="0" w:line="240" w:lineRule="auto"/>
      </w:pPr>
      <w:r>
        <w:separator/>
      </w:r>
    </w:p>
  </w:footnote>
  <w:footnote w:type="continuationSeparator" w:id="0">
    <w:p w:rsidR="00177E23" w:rsidP="00177E23" w:rsidRDefault="00177E23" w14:paraId="6E3A15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81E52" w:rsidP="00181E52" w:rsidRDefault="00181E52" w14:paraId="3753AA78" w14:textId="7777777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62336" behindDoc="false" locked="false" layoutInCell="true" allowOverlap="true" wp14:anchorId="1412EFA5" wp14:editId="35805493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1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181E52" w:rsidP="00181E52" w:rsidRDefault="00181E52" w14:paraId="3822001F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" type="#_x0000_t202" style="position:absolute;margin-left:363.3pt;margin-top:26.4pt;width:427.25pt;height:21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181E52" w:rsidP="00181E52" w:rsidRDefault="00181E52" w14:paraId="3822001F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3360" behindDoc="true" locked="false" layoutInCell="true" allowOverlap="true" wp14:anchorId="173957C2" wp14:editId="0DE8647A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3" name="Obrázek 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1E52" w:rsidP="00181E52" w:rsidRDefault="00181E52" w14:paraId="1FBF970F" w14:textId="77777777">
    <w:pPr>
      <w:pStyle w:val="Zhlav"/>
    </w:pPr>
  </w:p>
  <w:p w:rsidR="00181E52" w:rsidRDefault="00181E52" w14:paraId="16A81CF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C7B6E33"/>
    <w:multiLevelType w:val="hybridMultilevel"/>
    <w:tmpl w:val="6142A704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4C9"/>
    <w:multiLevelType w:val="hybridMultilevel"/>
    <w:tmpl w:val="0862EE5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4F1328"/>
    <w:multiLevelType w:val="hybridMultilevel"/>
    <w:tmpl w:val="1E1EB1D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0708A5"/>
    <w:multiLevelType w:val="hybridMultilevel"/>
    <w:tmpl w:val="918655A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A0F55CC"/>
    <w:multiLevelType w:val="hybridMultilevel"/>
    <w:tmpl w:val="09D469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1CB0FA4"/>
    <w:multiLevelType w:val="hybridMultilevel"/>
    <w:tmpl w:val="74EA9D32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12B8C"/>
    <w:multiLevelType w:val="hybridMultilevel"/>
    <w:tmpl w:val="9CE0BB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C2D42F4"/>
    <w:multiLevelType w:val="multilevel"/>
    <w:tmpl w:val="9DECF814"/>
    <w:lvl w:ilvl="0">
      <w:start w:val="1"/>
      <w:numFmt w:val="bullet"/>
      <w:pStyle w:val="Odrky1"/>
      <w:lvlText w:val="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color w:val="44546A" w:themeColor="text2"/>
        <w:sz w:val="16"/>
      </w:rPr>
    </w:lvl>
    <w:lvl w:ilvl="1">
      <w:start w:val="1"/>
      <w:numFmt w:val="bullet"/>
      <w:pStyle w:val="Odrky2"/>
      <w:lvlText w:val=""/>
      <w:lvlJc w:val="left"/>
      <w:pPr>
        <w:tabs>
          <w:tab w:val="num" w:pos="567"/>
        </w:tabs>
        <w:ind w:left="567" w:hanging="283"/>
      </w:pPr>
      <w:rPr>
        <w:rFonts w:hint="default" w:ascii="Wingdings 2" w:hAnsi="Wingdings 2"/>
        <w:color w:val="000000" w:themeColor="text1"/>
        <w:sz w:val="16"/>
      </w:rPr>
    </w:lvl>
    <w:lvl w:ilvl="2">
      <w:start w:val="1"/>
      <w:numFmt w:val="bullet"/>
      <w:pStyle w:val="Odrky3"/>
      <w:lvlText w:val=""/>
      <w:lvlJc w:val="left"/>
      <w:pPr>
        <w:tabs>
          <w:tab w:val="num" w:pos="851"/>
        </w:tabs>
        <w:ind w:left="851" w:hanging="284"/>
      </w:pPr>
      <w:rPr>
        <w:rFonts w:hint="default" w:ascii="Wingdings 2" w:hAnsi="Wingdings 2"/>
        <w:color w:val="44546A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hint="default" w:ascii="Wingdings 2" w:hAnsi="Wingdings 2"/>
        <w:color w:val="4472C4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hint="default" w:ascii="Wingdings 2" w:hAnsi="Wingdings 2"/>
        <w:color w:val="4472C4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45651B1"/>
    <w:multiLevelType w:val="hybridMultilevel"/>
    <w:tmpl w:val="DB329F40"/>
    <w:lvl w:ilvl="0" w:tplc="4BF8D95C">
      <w:start w:val="1"/>
      <w:numFmt w:val="decimal"/>
      <w:lvlText w:val="%1"/>
      <w:lvlJc w:val="right"/>
      <w:pPr>
        <w:ind w:left="646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E465E"/>
    <w:multiLevelType w:val="hybridMultilevel"/>
    <w:tmpl w:val="D9DE9DF4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11C3C"/>
    <w:multiLevelType w:val="hybridMultilevel"/>
    <w:tmpl w:val="07F81684"/>
    <w:lvl w:ilvl="0" w:tplc="0405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3"/>
    <w:rsid w:val="0001680B"/>
    <w:rsid w:val="000F0C06"/>
    <w:rsid w:val="00177E23"/>
    <w:rsid w:val="00181E52"/>
    <w:rsid w:val="001E5CD9"/>
    <w:rsid w:val="0038775F"/>
    <w:rsid w:val="00422B05"/>
    <w:rsid w:val="0053510C"/>
    <w:rsid w:val="00572207"/>
    <w:rsid w:val="005E3AAC"/>
    <w:rsid w:val="009C55BE"/>
    <w:rsid w:val="00A2514D"/>
    <w:rsid w:val="00A805F6"/>
    <w:rsid w:val="00A85C8C"/>
    <w:rsid w:val="00A96554"/>
    <w:rsid w:val="00AA0077"/>
    <w:rsid w:val="00D45827"/>
    <w:rsid w:val="00F4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1B35DDB"/>
  <w15:docId w15:val="{221E7C9A-7724-47AE-B569-0BBAF56C4FC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7E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77E23"/>
  </w:style>
  <w:style w:type="paragraph" w:styleId="Zpat">
    <w:name w:val="footer"/>
    <w:basedOn w:val="Normln"/>
    <w:link w:val="ZpatChar"/>
    <w:uiPriority w:val="99"/>
    <w:unhideWhenUsed/>
    <w:rsid w:val="00177E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77E23"/>
  </w:style>
  <w:style w:type="paragraph" w:styleId="Odstavecseseznamem">
    <w:name w:val="List Paragraph"/>
    <w:aliases w:val="Nad,List Paragraph,Odstavec cíl se seznamem,Odstavec se seznamem5,Odstavec_muj,Odrážky,Odstavec,Odstavec se seznamem a odrážkou,1 úroveň Odstavec se seznamem,Základní styl odstavce,Reference List,List Paragraph (Czech Tourism),列出段落"/>
    <w:basedOn w:val="Normln"/>
    <w:link w:val="OdstavecseseznamemChar"/>
    <w:uiPriority w:val="34"/>
    <w:qFormat/>
    <w:rsid w:val="00177E23"/>
    <w:pPr>
      <w:spacing w:after="0" w:line="240" w:lineRule="auto"/>
      <w:ind w:left="708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,Odstavec Char,Odstavec se seznamem a odrážkou Char,1 úroveň Odstavec se seznamem Char,Reference List Char"/>
    <w:link w:val="Odstavecseseznamem"/>
    <w:uiPriority w:val="34"/>
    <w:rsid w:val="00177E2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ormln-rove1Char" w:customStyle="true">
    <w:name w:val="Normální - úroveň 1 Char"/>
    <w:link w:val="Normln-rove1"/>
    <w:uiPriority w:val="30"/>
    <w:locked/>
    <w:rsid w:val="00177E23"/>
    <w:rPr>
      <w:rFonts w:ascii="Verdana" w:hAnsi="Verdana" w:eastAsia="Calibri" w:cs="Times New Roman"/>
      <w:sz w:val="18"/>
      <w:szCs w:val="20"/>
      <w:lang w:eastAsia="cs-CZ"/>
    </w:rPr>
  </w:style>
  <w:style w:type="paragraph" w:styleId="Normln-rove1" w:customStyle="true">
    <w:name w:val="Normální - úroveň 1"/>
    <w:basedOn w:val="Normln"/>
    <w:link w:val="Normln-rove1Char"/>
    <w:uiPriority w:val="30"/>
    <w:qFormat/>
    <w:rsid w:val="00177E23"/>
    <w:pPr>
      <w:spacing w:after="60" w:line="240" w:lineRule="auto"/>
      <w:ind w:left="360"/>
    </w:pPr>
    <w:rPr>
      <w:rFonts w:ascii="Verdana" w:hAnsi="Verdana" w:eastAsia="Calibri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5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82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458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82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45827"/>
    <w:rPr>
      <w:b/>
      <w:bCs/>
      <w:sz w:val="20"/>
      <w:szCs w:val="20"/>
    </w:rPr>
  </w:style>
  <w:style w:type="table" w:styleId="Mkatabulky">
    <w:name w:val="Table Grid"/>
    <w:aliases w:val="ZÁKLADNÍ TABULKA"/>
    <w:basedOn w:val="Normlntabulka"/>
    <w:rsid w:val="00A85C8C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zh-TW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0" w:type="dxa"/>
        <w:right w:w="0" w:type="dxa"/>
      </w:tblCellMar>
    </w:tblPr>
    <w:tblStylePr w:type="firstRow">
      <w:pPr>
        <w:jc w:val="left"/>
      </w:pPr>
      <w:rPr>
        <w:rFonts w:hint="default" w:cs="Calibri" w:asciiTheme="minorHAnsi" w:hAnsiTheme="minorHAnsi"/>
        <w:b/>
        <w:i w:val="false"/>
        <w:sz w:val="22"/>
        <w:szCs w:val="22"/>
      </w:rPr>
    </w:tblStylePr>
    <w:tblStylePr w:type="lastRow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firstCol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lastCol">
      <w:pPr>
        <w:jc w:val="left"/>
      </w:pPr>
      <w:rPr>
        <w:rFonts w:hint="default" w:cs="Calibri" w:asciiTheme="minorHAnsi" w:hAnsiTheme="minorHAnsi"/>
        <w:b/>
        <w:sz w:val="22"/>
        <w:szCs w:val="22"/>
      </w:rPr>
    </w:tblStylePr>
    <w:tblStylePr w:type="band1Vert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2Vert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1Horz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band2Horz">
      <w:pPr>
        <w:jc w:val="left"/>
      </w:pPr>
      <w:rPr>
        <w:rFonts w:hint="default" w:cs="Calibri" w:asciiTheme="minorHAnsi" w:hAnsiTheme="minorHAnsi"/>
        <w:sz w:val="22"/>
        <w:szCs w:val="22"/>
      </w:rPr>
    </w:tblStylePr>
    <w:tblStylePr w:type="neCell">
      <w:rPr>
        <w:rFonts w:hint="default" w:cs="Calibri" w:asciiTheme="minorHAnsi" w:hAnsiTheme="minorHAnsi"/>
        <w:sz w:val="22"/>
        <w:szCs w:val="22"/>
      </w:rPr>
    </w:tblStylePr>
    <w:tblStylePr w:type="nwCell">
      <w:rPr>
        <w:rFonts w:hint="default" w:cs="Calibri" w:asciiTheme="minorHAnsi" w:hAnsiTheme="minorHAnsi"/>
        <w:sz w:val="22"/>
        <w:szCs w:val="22"/>
      </w:rPr>
    </w:tblStylePr>
    <w:tblStylePr w:type="seCell">
      <w:rPr>
        <w:rFonts w:hint="default" w:cs="Calibri" w:asciiTheme="minorHAnsi" w:hAnsiTheme="minorHAnsi"/>
        <w:sz w:val="22"/>
        <w:szCs w:val="22"/>
      </w:rPr>
    </w:tblStylePr>
    <w:tblStylePr w:type="swCell">
      <w:rPr>
        <w:rFonts w:hint="default" w:cs="Calibri" w:asciiTheme="minorHAnsi" w:hAnsiTheme="minorHAnsi"/>
        <w:sz w:val="22"/>
        <w:szCs w:val="22"/>
      </w:rPr>
    </w:tblStylePr>
  </w:style>
  <w:style w:type="paragraph" w:styleId="Odrky1" w:customStyle="true">
    <w:name w:val="Odrážky 1"/>
    <w:basedOn w:val="Normln"/>
    <w:link w:val="Odrky1Char"/>
    <w:uiPriority w:val="7"/>
    <w:qFormat/>
    <w:rsid w:val="00A85C8C"/>
    <w:pPr>
      <w:numPr>
        <w:numId w:val="8"/>
      </w:numPr>
      <w:suppressAutoHyphens/>
      <w:spacing w:after="120" w:line="240" w:lineRule="auto"/>
      <w:contextualSpacing/>
    </w:pPr>
    <w:rPr>
      <w:rFonts w:eastAsia="Calibri" w:cs="Times New Roman"/>
      <w:color w:val="000000" w:themeColor="text1"/>
      <w:sz w:val="21"/>
      <w:szCs w:val="24"/>
      <w:lang w:eastAsia="zh-CN"/>
    </w:rPr>
  </w:style>
  <w:style w:type="character" w:styleId="Odrky1Char" w:customStyle="true">
    <w:name w:val="Odrážky 1 Char"/>
    <w:link w:val="Odrky1"/>
    <w:uiPriority w:val="7"/>
    <w:rsid w:val="00A85C8C"/>
    <w:rPr>
      <w:rFonts w:eastAsia="Calibri" w:cs="Times New Roman"/>
      <w:color w:val="000000" w:themeColor="text1"/>
      <w:sz w:val="21"/>
      <w:szCs w:val="24"/>
      <w:lang w:eastAsia="zh-CN"/>
    </w:rPr>
  </w:style>
  <w:style w:type="paragraph" w:styleId="Odrky2" w:customStyle="true">
    <w:name w:val="Odrážky 2"/>
    <w:basedOn w:val="Odrky1"/>
    <w:uiPriority w:val="7"/>
    <w:qFormat/>
    <w:rsid w:val="00A85C8C"/>
    <w:pPr>
      <w:numPr>
        <w:ilvl w:val="1"/>
      </w:numPr>
      <w:tabs>
        <w:tab w:val="clear" w:pos="567"/>
        <w:tab w:val="num" w:pos="360"/>
      </w:tabs>
      <w:ind w:left="568" w:hanging="284"/>
    </w:pPr>
    <w:rPr>
      <w:lang w:bidi="en-US"/>
    </w:rPr>
  </w:style>
  <w:style w:type="paragraph" w:styleId="Odrky3" w:customStyle="true">
    <w:name w:val="Odrážky 3"/>
    <w:basedOn w:val="Odrky2"/>
    <w:uiPriority w:val="7"/>
    <w:qFormat/>
    <w:rsid w:val="00A85C8C"/>
    <w:pPr>
      <w:numPr>
        <w:ilvl w:val="2"/>
      </w:numPr>
      <w:tabs>
        <w:tab w:val="clear" w:pos="851"/>
        <w:tab w:val="num" w:pos="360"/>
      </w:tabs>
      <w:ind w:left="2160" w:hanging="360"/>
    </w:pPr>
  </w:style>
  <w:style w:type="table" w:styleId="ZKLADNTABULKA1" w:customStyle="true">
    <w:name w:val="ZÁKLADNÍ TABULKA1"/>
    <w:basedOn w:val="Normlntabulka"/>
    <w:next w:val="Mkatabulky"/>
    <w:rsid w:val="00A85C8C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zh-TW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  <w:tblStylePr w:type="firstRow">
      <w:pPr>
        <w:jc w:val="left"/>
      </w:pPr>
      <w:rPr>
        <w:rFonts w:asciiTheme="minorHAnsi" w:hAnsiTheme="minorHAnsi"/>
        <w:b/>
        <w:i w:val="false"/>
        <w:sz w:val="22"/>
      </w:rPr>
    </w:tblStylePr>
    <w:tblStylePr w:type="lastRow">
      <w:pPr>
        <w:jc w:val="left"/>
      </w:pPr>
      <w:rPr>
        <w:rFonts w:asciiTheme="minorHAnsi" w:hAnsiTheme="minorHAnsi"/>
        <w:b/>
        <w:sz w:val="22"/>
      </w:rPr>
    </w:tblStylePr>
    <w:tblStylePr w:type="firstCol">
      <w:pPr>
        <w:jc w:val="left"/>
      </w:pPr>
      <w:rPr>
        <w:rFonts w:asciiTheme="minorHAnsi" w:hAnsiTheme="minorHAnsi"/>
        <w:b/>
        <w:sz w:val="22"/>
      </w:rPr>
    </w:tblStylePr>
    <w:tblStylePr w:type="lastCol">
      <w:pPr>
        <w:jc w:val="left"/>
      </w:pPr>
      <w:rPr>
        <w:rFonts w:asciiTheme="minorHAnsi" w:hAnsiTheme="minorHAnsi"/>
        <w:b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  <w:rPr>
        <w:rFonts w:asciiTheme="minorHAnsi" w:hAnsiTheme="minorHAnsi"/>
        <w:sz w:val="22"/>
      </w:rPr>
    </w:tblStylePr>
    <w:tblStylePr w:type="band1Horz">
      <w:pPr>
        <w:jc w:val="left"/>
      </w:pPr>
      <w:rPr>
        <w:rFonts w:asciiTheme="minorHAnsi" w:hAnsiTheme="minorHAnsi"/>
        <w:sz w:val="22"/>
      </w:rPr>
    </w:tblStylePr>
    <w:tblStylePr w:type="band2Horz">
      <w:pPr>
        <w:jc w:val="left"/>
      </w:pPr>
      <w:rPr>
        <w:rFonts w:asciiTheme="minorHAnsi" w:hAnsiTheme="minorHAnsi"/>
        <w:sz w:val="22"/>
      </w:rPr>
    </w:tblStylePr>
    <w:tblStylePr w:type="neCell">
      <w:rPr>
        <w:rFonts w:asciiTheme="minorHAnsi" w:hAnsiTheme="minorHAnsi"/>
        <w:sz w:val="22"/>
      </w:rPr>
    </w:tblStylePr>
    <w:tblStylePr w:type="nwCell">
      <w:rPr>
        <w:rFonts w:asciiTheme="minorHAnsi" w:hAnsiTheme="minorHAnsi"/>
        <w:sz w:val="22"/>
      </w:rPr>
    </w:tblStylePr>
    <w:tblStylePr w:type="seCell">
      <w:rPr>
        <w:rFonts w:asciiTheme="minorHAnsi" w:hAnsiTheme="minorHAnsi"/>
        <w:sz w:val="22"/>
      </w:rPr>
    </w:tblStylePr>
    <w:tblStylePr w:type="swCell">
      <w:rPr>
        <w:rFonts w:asciiTheme="minorHAnsi" w:hAnsiTheme="minorHAnsi"/>
        <w:sz w:val="22"/>
      </w:rPr>
    </w:tblStylePr>
  </w:style>
  <w:style w:type="table" w:styleId="ZKLADNTABULKA2" w:customStyle="true">
    <w:name w:val="ZÁKLADNÍ TABULKA2"/>
    <w:basedOn w:val="Normlntabulka"/>
    <w:next w:val="Mkatabulky"/>
    <w:rsid w:val="00A85C8C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zh-TW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  <w:tblStylePr w:type="firstRow">
      <w:pPr>
        <w:jc w:val="left"/>
      </w:pPr>
      <w:rPr>
        <w:rFonts w:asciiTheme="minorHAnsi" w:hAnsiTheme="minorHAnsi"/>
        <w:b/>
        <w:i w:val="false"/>
        <w:sz w:val="22"/>
      </w:rPr>
    </w:tblStylePr>
    <w:tblStylePr w:type="lastRow">
      <w:pPr>
        <w:jc w:val="left"/>
      </w:pPr>
      <w:rPr>
        <w:rFonts w:asciiTheme="minorHAnsi" w:hAnsiTheme="minorHAnsi"/>
        <w:b/>
        <w:sz w:val="22"/>
      </w:rPr>
    </w:tblStylePr>
    <w:tblStylePr w:type="firstCol">
      <w:pPr>
        <w:jc w:val="left"/>
      </w:pPr>
      <w:rPr>
        <w:rFonts w:asciiTheme="minorHAnsi" w:hAnsiTheme="minorHAnsi"/>
        <w:b/>
        <w:sz w:val="22"/>
      </w:rPr>
    </w:tblStylePr>
    <w:tblStylePr w:type="lastCol">
      <w:pPr>
        <w:jc w:val="left"/>
      </w:pPr>
      <w:rPr>
        <w:rFonts w:asciiTheme="minorHAnsi" w:hAnsiTheme="minorHAnsi"/>
        <w:b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  <w:rPr>
        <w:rFonts w:asciiTheme="minorHAnsi" w:hAnsiTheme="minorHAnsi"/>
        <w:sz w:val="22"/>
      </w:rPr>
    </w:tblStylePr>
    <w:tblStylePr w:type="band1Horz">
      <w:pPr>
        <w:jc w:val="left"/>
      </w:pPr>
      <w:rPr>
        <w:rFonts w:asciiTheme="minorHAnsi" w:hAnsiTheme="minorHAnsi"/>
        <w:sz w:val="22"/>
      </w:rPr>
    </w:tblStylePr>
    <w:tblStylePr w:type="band2Horz">
      <w:pPr>
        <w:jc w:val="left"/>
      </w:pPr>
      <w:rPr>
        <w:rFonts w:asciiTheme="minorHAnsi" w:hAnsiTheme="minorHAnsi"/>
        <w:sz w:val="22"/>
      </w:rPr>
    </w:tblStylePr>
    <w:tblStylePr w:type="neCell">
      <w:rPr>
        <w:rFonts w:asciiTheme="minorHAnsi" w:hAnsiTheme="minorHAnsi"/>
        <w:sz w:val="22"/>
      </w:rPr>
    </w:tblStylePr>
    <w:tblStylePr w:type="nwCell">
      <w:rPr>
        <w:rFonts w:asciiTheme="minorHAnsi" w:hAnsiTheme="minorHAnsi"/>
        <w:sz w:val="22"/>
      </w:rPr>
    </w:tblStylePr>
    <w:tblStylePr w:type="seCell">
      <w:rPr>
        <w:rFonts w:asciiTheme="minorHAnsi" w:hAnsiTheme="minorHAnsi"/>
        <w:sz w:val="22"/>
      </w:rPr>
    </w:tblStylePr>
    <w:tblStylePr w:type="swCell">
      <w:rPr>
        <w:rFonts w:asciiTheme="minorHAnsi" w:hAnsiTheme="minorHAnsi"/>
        <w:sz w:val="22"/>
      </w:rPr>
    </w:tblStylePr>
  </w:style>
  <w:style w:type="paragraph" w:styleId="Vchozstyl" w:customStyle="true">
    <w:name w:val="Výchozí styl"/>
    <w:rsid w:val="00572207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Styl11" w:customStyle="true">
    <w:name w:val="Styl 1.1."/>
    <w:basedOn w:val="Normln"/>
    <w:rsid w:val="00572207"/>
    <w:pPr>
      <w:suppressAutoHyphens/>
      <w:spacing w:before="120" w:after="120" w:line="276" w:lineRule="auto"/>
      <w:ind w:left="709" w:hanging="709"/>
      <w:jc w:val="both"/>
    </w:pPr>
    <w:rPr>
      <w:rFonts w:ascii="Arial" w:hAnsi="Arial" w:eastAsia="Calibri" w:cs="Arial"/>
      <w:color w:val="00000A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2384</properties:Words>
  <properties:Characters>14066</properties:Characters>
  <properties:Lines>117</properties:Lines>
  <properties:Paragraphs>32</properties:Paragraphs>
  <properties:TotalTime>19</properties:TotalTime>
  <properties:ScaleCrop>false</properties:ScaleCrop>
  <properties:LinksUpToDate>false</properties:LinksUpToDate>
  <properties:CharactersWithSpaces>16418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2021-08-31T05:21:00Z</dcterms:created>
  <dc:creator/>
  <dc:description/>
  <cp:keywords/>
  <cp:lastModifiedBy/>
  <dcterms:modified xmlns:xsi="http://www.w3.org/2001/XMLSchema-instance" xsi:type="dcterms:W3CDTF">2022-02-25T10:49:00Z</dcterms:modified>
  <cp:revision>17</cp:revision>
  <dc:subject/>
  <dc:title/>
</cp:coreProperties>
</file>