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D46361" w:rsidP="00D46361" w:rsidRDefault="00D46361" w14:paraId="3A52F4BC" w14:textId="77777777">
      <w:pPr>
        <w:pStyle w:val="Zhlav"/>
        <w:jc w:val="center"/>
        <w:rPr>
          <w:b/>
          <w:sz w:val="26"/>
          <w:szCs w:val="26"/>
        </w:rPr>
      </w:pPr>
      <w:r w:rsidRPr="00252B4F">
        <w:rPr>
          <w:b/>
          <w:sz w:val="26"/>
          <w:szCs w:val="26"/>
        </w:rPr>
        <w:t xml:space="preserve">PŘÍLOHA ZD č. </w:t>
      </w:r>
      <w:r>
        <w:rPr>
          <w:b/>
          <w:sz w:val="26"/>
          <w:szCs w:val="26"/>
        </w:rPr>
        <w:t>4</w:t>
      </w:r>
    </w:p>
    <w:p w:rsidRPr="00D46361" w:rsidR="00D46361" w:rsidP="00D46361" w:rsidRDefault="00D46361" w14:paraId="1B83B30E" w14:textId="77777777">
      <w:pPr>
        <w:pStyle w:val="Zhlav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TECHNICKÁ SPECIFIKACE</w:t>
      </w:r>
    </w:p>
    <w:p w:rsidR="00CF4EA6" w:rsidP="00FF0047" w:rsidRDefault="00FF0047" w14:paraId="790D06A8" w14:textId="6C0F6DAA">
      <w:pPr>
        <w:spacing w:before="120"/>
        <w:jc w:val="both"/>
        <w:rPr>
          <w:rFonts w:ascii="Century Gothic" w:hAnsi="Century Gothic" w:cs="Century Gothic"/>
          <w:bCs/>
          <w:sz w:val="20"/>
          <w:szCs w:val="20"/>
        </w:rPr>
      </w:pPr>
      <w:r w:rsidRPr="005911D4">
        <w:rPr>
          <w:rFonts w:ascii="Century Gothic" w:hAnsi="Century Gothic" w:cs="Century Gothic"/>
          <w:bCs/>
          <w:sz w:val="20"/>
          <w:szCs w:val="20"/>
        </w:rPr>
        <w:t xml:space="preserve">Je-li v dokumentech spojených s realizací plnění snad definován konkrétní výrobce nebo jeho zástupce, má se pouze za to, že je tím definován požadovaný minimální technický standard plnění nebo položky. V samotné nabídce může být zcela nahrazen výrobkem od jiného dodavatele (výrobce), který má srovnatelné parametry. </w:t>
      </w:r>
    </w:p>
    <w:p w:rsidRPr="005911D4" w:rsidR="00FF0047" w:rsidP="00FF0047" w:rsidRDefault="00FF0047" w14:paraId="2DCE3621" w14:textId="445B2E53">
      <w:pPr>
        <w:spacing w:before="120"/>
        <w:jc w:val="both"/>
        <w:rPr>
          <w:rFonts w:ascii="Century Gothic" w:hAnsi="Century Gothic" w:cs="Century Gothic"/>
          <w:bCs/>
          <w:sz w:val="20"/>
          <w:szCs w:val="20"/>
        </w:rPr>
      </w:pPr>
      <w:r w:rsidRPr="005911D4">
        <w:rPr>
          <w:rFonts w:ascii="Century Gothic" w:hAnsi="Century Gothic" w:cs="Century Gothic"/>
          <w:b/>
          <w:bCs/>
          <w:sz w:val="20"/>
          <w:szCs w:val="20"/>
        </w:rPr>
        <w:t xml:space="preserve">Zadavatel tak vždy </w:t>
      </w:r>
      <w:r w:rsidRPr="005911D4">
        <w:rPr>
          <w:rFonts w:ascii="Century Gothic" w:hAnsi="Century Gothic"/>
          <w:b/>
          <w:sz w:val="20"/>
          <w:szCs w:val="20"/>
        </w:rPr>
        <w:t>umožňuje i jiné technicky a kvalitativně shodné řešení.</w:t>
      </w:r>
    </w:p>
    <w:p w:rsidR="00D46361" w:rsidP="00195787" w:rsidRDefault="00D46361" w14:paraId="2796C3FF" w14:textId="7777777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33956223" wp14:editId="210BE4BC">
                <wp:simplePos x="0" y="0"/>
                <wp:positionH relativeFrom="margin">
                  <wp:posOffset>50752</wp:posOffset>
                </wp:positionH>
                <wp:positionV relativeFrom="paragraph">
                  <wp:posOffset>107962</wp:posOffset>
                </wp:positionV>
                <wp:extent cx="5727939" cy="0"/>
                <wp:effectExtent l="0" t="0" r="25400" b="19050"/>
                <wp:wrapNone/>
                <wp:docPr id="2" name="Přímá spojnice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72793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4pt,8.5pt" to="455pt,8.5pt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id="Přímá spojnice 2" o:spid="_x0000_s1026" strokecolor="black [3213]">
                <w10:wrap anchorx="margin"/>
              </v:line>
            </w:pict>
          </mc:Fallback>
        </mc:AlternateContent>
      </w:r>
    </w:p>
    <w:p w:rsidR="00C3282D" w:rsidP="00195787" w:rsidRDefault="00717C12" w14:paraId="5AFF6195" w14:textId="4A37DF29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b/>
        </w:rPr>
        <w:t xml:space="preserve">I. </w:t>
      </w:r>
      <w:r w:rsidR="00CF4EA6">
        <w:rPr>
          <w:rFonts w:ascii="Century Gothic" w:hAnsi="Century Gothic"/>
          <w:b/>
        </w:rPr>
        <w:t xml:space="preserve">Předmět zakázky: </w:t>
      </w:r>
      <w:r w:rsidRPr="003F5166" w:rsidR="00CF4EA6">
        <w:rPr>
          <w:rFonts w:ascii="Century Gothic" w:hAnsi="Century Gothic"/>
          <w:sz w:val="20"/>
          <w:szCs w:val="20"/>
        </w:rPr>
        <w:t xml:space="preserve">Předmětem plnění zakázky je </w:t>
      </w:r>
      <w:r w:rsidRPr="003F5166" w:rsidR="00CF4EA6">
        <w:rPr>
          <w:rFonts w:ascii="Century Gothic" w:hAnsi="Century Gothic" w:cs="Arial"/>
          <w:b/>
          <w:sz w:val="20"/>
          <w:szCs w:val="20"/>
        </w:rPr>
        <w:t xml:space="preserve">služba </w:t>
      </w:r>
      <w:r w:rsidRPr="003F5166" w:rsidR="00CF4EA6">
        <w:rPr>
          <w:rFonts w:ascii="Century Gothic" w:hAnsi="Century Gothic" w:cs="Arial"/>
          <w:sz w:val="20"/>
          <w:szCs w:val="20"/>
        </w:rPr>
        <w:t>v podobě zajištění realizace</w:t>
      </w:r>
      <w:r w:rsidR="00E240E7">
        <w:rPr>
          <w:rFonts w:ascii="Century Gothic" w:hAnsi="Century Gothic" w:cs="Arial"/>
          <w:sz w:val="20"/>
          <w:szCs w:val="20"/>
        </w:rPr>
        <w:t xml:space="preserve">:                      </w:t>
      </w:r>
      <w:r w:rsidRPr="003F5166" w:rsidR="00CF4EA6">
        <w:rPr>
          <w:rFonts w:ascii="Century Gothic" w:hAnsi="Century Gothic" w:cs="Arial"/>
          <w:sz w:val="20"/>
          <w:szCs w:val="20"/>
        </w:rPr>
        <w:t xml:space="preserve"> </w:t>
      </w:r>
      <w:r w:rsidR="00FD5BC4">
        <w:rPr>
          <w:rFonts w:ascii="Century Gothic" w:hAnsi="Century Gothic" w:cs="Arial"/>
          <w:sz w:val="20"/>
          <w:szCs w:val="20"/>
          <w:u w:val="single"/>
        </w:rPr>
        <w:t>V</w:t>
      </w:r>
      <w:r w:rsidRPr="00FD5BC4" w:rsidR="00FD5BC4">
        <w:rPr>
          <w:rFonts w:ascii="Century Gothic" w:hAnsi="Century Gothic" w:cs="Arial"/>
          <w:sz w:val="20"/>
          <w:szCs w:val="20"/>
          <w:u w:val="single"/>
        </w:rPr>
        <w:t>zdělávací aktivity s obecným cílem získání odborných znalostí a praktických dovedností v řízení a realizaci projektů s cílem zefektivnění podnikových procesů pro naše zaměstnance. Předmětem zakázky jsou také služby spočívající v organizačním zajištění vzdělávací aktivity.</w:t>
      </w:r>
    </w:p>
    <w:p w:rsidR="00717C12" w:rsidP="00530A27" w:rsidRDefault="00CF4EA6" w14:paraId="38A674EE" w14:textId="7A37B440">
      <w:pPr>
        <w:jc w:val="both"/>
        <w:rPr>
          <w:rFonts w:ascii="Century Gothic" w:hAnsi="Century Gothic" w:cs="Arial"/>
          <w:sz w:val="20"/>
          <w:szCs w:val="20"/>
        </w:rPr>
      </w:pPr>
      <w:r w:rsidRPr="003F5166">
        <w:rPr>
          <w:rFonts w:ascii="Century Gothic" w:hAnsi="Century Gothic" w:cs="Arial"/>
          <w:sz w:val="20"/>
          <w:szCs w:val="20"/>
        </w:rPr>
        <w:t xml:space="preserve">V rámci plnění zakázky zadavatel </w:t>
      </w:r>
      <w:r w:rsidR="00E240E7">
        <w:rPr>
          <w:rFonts w:ascii="Century Gothic" w:hAnsi="Century Gothic" w:cs="Arial"/>
          <w:sz w:val="20"/>
          <w:szCs w:val="20"/>
        </w:rPr>
        <w:t>požaduje:</w:t>
      </w:r>
      <w:r w:rsidR="00E240E7">
        <w:rPr>
          <w:rFonts w:ascii="Century Gothic" w:hAnsi="Century Gothic" w:cs="Arial"/>
          <w:sz w:val="20"/>
          <w:szCs w:val="20"/>
        </w:rPr>
        <w:tab/>
      </w:r>
      <w:r w:rsidR="00E240E7">
        <w:rPr>
          <w:rFonts w:ascii="Century Gothic" w:hAnsi="Century Gothic" w:cs="Arial"/>
          <w:sz w:val="20"/>
          <w:szCs w:val="20"/>
        </w:rPr>
        <w:tab/>
      </w:r>
      <w:r w:rsidR="00E240E7">
        <w:rPr>
          <w:rFonts w:ascii="Century Gothic" w:hAnsi="Century Gothic" w:cs="Arial"/>
          <w:sz w:val="20"/>
          <w:szCs w:val="20"/>
        </w:rPr>
        <w:tab/>
      </w:r>
      <w:r w:rsidR="00E240E7">
        <w:rPr>
          <w:rFonts w:ascii="Century Gothic" w:hAnsi="Century Gothic" w:cs="Arial"/>
          <w:sz w:val="20"/>
          <w:szCs w:val="20"/>
        </w:rPr>
        <w:tab/>
      </w:r>
      <w:r w:rsidR="00E240E7">
        <w:rPr>
          <w:rFonts w:ascii="Century Gothic" w:hAnsi="Century Gothic" w:cs="Arial"/>
          <w:sz w:val="20"/>
          <w:szCs w:val="20"/>
        </w:rPr>
        <w:tab/>
        <w:t xml:space="preserve">                      - </w:t>
      </w:r>
      <w:r w:rsidRPr="003F5166">
        <w:rPr>
          <w:rFonts w:ascii="Century Gothic" w:hAnsi="Century Gothic" w:cs="Arial"/>
          <w:b/>
          <w:sz w:val="20"/>
          <w:szCs w:val="20"/>
        </w:rPr>
        <w:t xml:space="preserve">proškolení celkem </w:t>
      </w:r>
      <w:r w:rsidR="00FD5BC4">
        <w:rPr>
          <w:rFonts w:ascii="Century Gothic" w:hAnsi="Century Gothic" w:cs="Arial"/>
          <w:b/>
          <w:sz w:val="20"/>
          <w:szCs w:val="20"/>
        </w:rPr>
        <w:t>2</w:t>
      </w:r>
      <w:r w:rsidRPr="003F5166">
        <w:rPr>
          <w:rFonts w:ascii="Century Gothic" w:hAnsi="Century Gothic" w:cs="Arial"/>
          <w:b/>
          <w:sz w:val="20"/>
          <w:szCs w:val="20"/>
        </w:rPr>
        <w:t xml:space="preserve"> osob</w:t>
      </w:r>
      <w:r w:rsidRPr="003F5166">
        <w:rPr>
          <w:rFonts w:ascii="Century Gothic" w:hAnsi="Century Gothic" w:cs="Arial"/>
          <w:sz w:val="20"/>
          <w:szCs w:val="20"/>
        </w:rPr>
        <w:t xml:space="preserve"> - zaměstnanců zadavatele </w:t>
      </w:r>
      <w:r w:rsidR="00E240E7">
        <w:rPr>
          <w:rFonts w:ascii="Century Gothic" w:hAnsi="Century Gothic" w:cs="Arial"/>
          <w:sz w:val="20"/>
          <w:szCs w:val="20"/>
        </w:rPr>
        <w:tab/>
      </w:r>
      <w:r w:rsidR="00E240E7">
        <w:rPr>
          <w:rFonts w:ascii="Century Gothic" w:hAnsi="Century Gothic" w:cs="Arial"/>
          <w:sz w:val="20"/>
          <w:szCs w:val="20"/>
        </w:rPr>
        <w:tab/>
      </w:r>
      <w:r w:rsidR="00E240E7">
        <w:rPr>
          <w:rFonts w:ascii="Century Gothic" w:hAnsi="Century Gothic" w:cs="Arial"/>
          <w:sz w:val="20"/>
          <w:szCs w:val="20"/>
        </w:rPr>
        <w:tab/>
      </w:r>
      <w:r w:rsidR="00E240E7">
        <w:rPr>
          <w:rFonts w:ascii="Century Gothic" w:hAnsi="Century Gothic" w:cs="Arial"/>
          <w:sz w:val="20"/>
          <w:szCs w:val="20"/>
        </w:rPr>
        <w:tab/>
      </w:r>
      <w:r w:rsidR="00E240E7">
        <w:rPr>
          <w:rFonts w:ascii="Century Gothic" w:hAnsi="Century Gothic" w:cs="Arial"/>
          <w:sz w:val="20"/>
          <w:szCs w:val="20"/>
        </w:rPr>
        <w:tab/>
        <w:t xml:space="preserve">                   </w:t>
      </w:r>
    </w:p>
    <w:p w:rsidRPr="00717C12" w:rsidR="00717C12" w:rsidP="00195787" w:rsidRDefault="00717C12" w14:paraId="15EB0E95" w14:textId="4E577D90">
      <w:pPr>
        <w:rPr>
          <w:rFonts w:ascii="Century Gothic" w:hAnsi="Century Gothic" w:cs="Arial"/>
          <w:sz w:val="20"/>
          <w:szCs w:val="20"/>
          <w:u w:val="single"/>
        </w:rPr>
      </w:pPr>
      <w:r>
        <w:rPr>
          <w:rFonts w:ascii="Century Gothic" w:hAnsi="Century Gothic" w:cs="Arial"/>
          <w:sz w:val="20"/>
          <w:szCs w:val="20"/>
        </w:rPr>
        <w:t>Z</w:t>
      </w:r>
      <w:r w:rsidRPr="00717C12">
        <w:rPr>
          <w:rFonts w:ascii="Century Gothic" w:hAnsi="Century Gothic" w:cs="Arial"/>
          <w:sz w:val="20"/>
          <w:szCs w:val="20"/>
          <w:u w:val="single"/>
        </w:rPr>
        <w:t>adavatel v rámci plnění zakázky dále požaduje:</w:t>
      </w:r>
    </w:p>
    <w:p w:rsidRPr="00717C12" w:rsidR="00717C12" w:rsidP="00717C12" w:rsidRDefault="00717C12" w14:paraId="45D580FC" w14:textId="77777777">
      <w:pPr>
        <w:pStyle w:val="Odstavecseseznamem"/>
        <w:numPr>
          <w:ilvl w:val="0"/>
          <w:numId w:val="7"/>
        </w:numPr>
        <w:rPr>
          <w:rFonts w:ascii="Century Gothic" w:hAnsi="Century Gothic" w:cs="Arial"/>
          <w:sz w:val="20"/>
          <w:szCs w:val="20"/>
        </w:rPr>
      </w:pPr>
      <w:r w:rsidRPr="00717C12">
        <w:rPr>
          <w:rFonts w:ascii="Century Gothic" w:hAnsi="Century Gothic" w:cs="Arial"/>
          <w:sz w:val="20"/>
          <w:szCs w:val="20"/>
        </w:rPr>
        <w:t>příprava a realizace kurzů za účasti kompetentního lektora,</w:t>
      </w:r>
    </w:p>
    <w:p w:rsidRPr="00717C12" w:rsidR="00717C12" w:rsidP="00717C12" w:rsidRDefault="00717C12" w14:paraId="2AC211B3" w14:textId="287924DA">
      <w:pPr>
        <w:pStyle w:val="Odstavecseseznamem"/>
        <w:numPr>
          <w:ilvl w:val="0"/>
          <w:numId w:val="7"/>
        </w:numPr>
        <w:rPr>
          <w:rFonts w:ascii="Century Gothic" w:hAnsi="Century Gothic" w:cs="Arial"/>
          <w:sz w:val="20"/>
          <w:szCs w:val="20"/>
        </w:rPr>
      </w:pPr>
      <w:r w:rsidRPr="00717C12">
        <w:rPr>
          <w:rFonts w:ascii="Century Gothic" w:hAnsi="Century Gothic" w:cs="Arial"/>
          <w:sz w:val="20"/>
          <w:szCs w:val="20"/>
        </w:rPr>
        <w:t>odborné proškolení účastníků kurzů kompetentním lektorem,</w:t>
      </w:r>
    </w:p>
    <w:p w:rsidRPr="00717C12" w:rsidR="00717C12" w:rsidP="00717C12" w:rsidRDefault="00717C12" w14:paraId="722DC4CF" w14:textId="78DADFD1">
      <w:pPr>
        <w:pStyle w:val="Odstavecseseznamem"/>
        <w:numPr>
          <w:ilvl w:val="0"/>
          <w:numId w:val="7"/>
        </w:numPr>
        <w:rPr>
          <w:rFonts w:ascii="Century Gothic" w:hAnsi="Century Gothic" w:cs="Arial"/>
          <w:sz w:val="20"/>
          <w:szCs w:val="20"/>
        </w:rPr>
      </w:pPr>
      <w:r w:rsidRPr="00717C12">
        <w:rPr>
          <w:rFonts w:ascii="Century Gothic" w:hAnsi="Century Gothic" w:cs="Arial"/>
          <w:sz w:val="20"/>
          <w:szCs w:val="20"/>
        </w:rPr>
        <w:t>poskytnutí studijních materiálů účastníkům kurzů (dle konkrétního typu kurzu),</w:t>
      </w:r>
    </w:p>
    <w:p w:rsidRPr="00717C12" w:rsidR="00717C12" w:rsidP="00717C12" w:rsidRDefault="00717C12" w14:paraId="60E42FA9" w14:textId="208B7924">
      <w:pPr>
        <w:pStyle w:val="Odstavecseseznamem"/>
        <w:numPr>
          <w:ilvl w:val="0"/>
          <w:numId w:val="7"/>
        </w:numPr>
        <w:rPr>
          <w:rFonts w:ascii="Century Gothic" w:hAnsi="Century Gothic" w:cs="Arial"/>
          <w:sz w:val="20"/>
          <w:szCs w:val="20"/>
        </w:rPr>
      </w:pPr>
      <w:r w:rsidRPr="00717C12">
        <w:rPr>
          <w:rFonts w:ascii="Century Gothic" w:hAnsi="Century Gothic" w:cs="Arial"/>
          <w:sz w:val="20"/>
          <w:szCs w:val="20"/>
        </w:rPr>
        <w:t>dodržení pravidel pro publicitu v souladu s požadavky Operačního programu Zaměstnanost,</w:t>
      </w:r>
    </w:p>
    <w:p w:rsidRPr="00717C12" w:rsidR="00717C12" w:rsidP="00717C12" w:rsidRDefault="00717C12" w14:paraId="3E80C3D4" w14:textId="55DF61EB">
      <w:pPr>
        <w:pStyle w:val="Odstavecseseznamem"/>
        <w:numPr>
          <w:ilvl w:val="0"/>
          <w:numId w:val="7"/>
        </w:numPr>
        <w:rPr>
          <w:rFonts w:ascii="Century Gothic" w:hAnsi="Century Gothic" w:cs="Arial"/>
          <w:sz w:val="20"/>
          <w:szCs w:val="20"/>
        </w:rPr>
      </w:pPr>
      <w:r w:rsidRPr="00717C12">
        <w:rPr>
          <w:rFonts w:ascii="Century Gothic" w:hAnsi="Century Gothic" w:cs="Arial"/>
          <w:sz w:val="20"/>
          <w:szCs w:val="20"/>
        </w:rPr>
        <w:t>zajištění prezenční listiny z každého kurzu na formulář požadovaný řídícím orgánem, která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17C12">
        <w:rPr>
          <w:rFonts w:ascii="Century Gothic" w:hAnsi="Century Gothic" w:cs="Arial"/>
          <w:sz w:val="20"/>
          <w:szCs w:val="20"/>
        </w:rPr>
        <w:t>bude podepsána všemi účastníky a lektorem,</w:t>
      </w:r>
    </w:p>
    <w:p w:rsidR="00717C12" w:rsidP="00717C12" w:rsidRDefault="00717C12" w14:paraId="18819B0B" w14:textId="4F20DDBE">
      <w:pPr>
        <w:pStyle w:val="Odstavecseseznamem"/>
        <w:numPr>
          <w:ilvl w:val="0"/>
          <w:numId w:val="7"/>
        </w:numPr>
        <w:rPr>
          <w:rFonts w:ascii="Century Gothic" w:hAnsi="Century Gothic" w:cs="Arial"/>
          <w:sz w:val="20"/>
          <w:szCs w:val="20"/>
        </w:rPr>
      </w:pPr>
      <w:r w:rsidRPr="00717C12">
        <w:rPr>
          <w:rFonts w:ascii="Century Gothic" w:hAnsi="Century Gothic" w:cs="Arial"/>
          <w:sz w:val="20"/>
          <w:szCs w:val="20"/>
        </w:rPr>
        <w:t>zajištění certifikátu o absolvování z každého kurz</w:t>
      </w:r>
      <w:r w:rsidR="00152D80">
        <w:rPr>
          <w:rFonts w:ascii="Century Gothic" w:hAnsi="Century Gothic" w:cs="Arial"/>
          <w:sz w:val="20"/>
          <w:szCs w:val="20"/>
        </w:rPr>
        <w:t>u pro jednotlivé účastníky.</w:t>
      </w:r>
    </w:p>
    <w:p w:rsidRPr="00717C12" w:rsidR="00717C12" w:rsidP="00717C12" w:rsidRDefault="00717C12" w14:paraId="1BC100F9" w14:textId="77777777">
      <w:pPr>
        <w:pStyle w:val="Odstavecseseznamem"/>
        <w:rPr>
          <w:rFonts w:ascii="Century Gothic" w:hAnsi="Century Gothic" w:cs="Arial"/>
          <w:sz w:val="20"/>
          <w:szCs w:val="20"/>
        </w:rPr>
      </w:pPr>
    </w:p>
    <w:p w:rsidRPr="00717C12" w:rsidR="00CF4EA6" w:rsidP="00717C12" w:rsidRDefault="00717C12" w14:paraId="027D3502" w14:textId="60AEB31F">
      <w:pPr>
        <w:rPr>
          <w:rFonts w:ascii="Century Gothic" w:hAnsi="Century Gothic" w:cs="Arial"/>
          <w:b/>
          <w:sz w:val="20"/>
          <w:szCs w:val="20"/>
        </w:rPr>
      </w:pPr>
      <w:r w:rsidRPr="00717C12">
        <w:rPr>
          <w:rFonts w:ascii="Century Gothic" w:hAnsi="Century Gothic" w:cs="Arial"/>
          <w:b/>
          <w:sz w:val="20"/>
          <w:szCs w:val="20"/>
        </w:rPr>
        <w:t>II. Podrobná specifikace vzdělávacích aktivit:</w:t>
      </w:r>
      <w:r w:rsidRPr="00717C12" w:rsidR="00A82F63">
        <w:rPr>
          <w:rFonts w:ascii="Century Gothic" w:hAnsi="Century Gothic" w:cs="Arial"/>
          <w:b/>
          <w:sz w:val="20"/>
          <w:szCs w:val="20"/>
        </w:rPr>
        <w:tab/>
      </w:r>
      <w:r w:rsidRPr="00717C12" w:rsidR="00A82F63">
        <w:rPr>
          <w:rFonts w:ascii="Century Gothic" w:hAnsi="Century Gothic" w:cs="Arial"/>
          <w:b/>
          <w:sz w:val="20"/>
          <w:szCs w:val="20"/>
        </w:rPr>
        <w:tab/>
      </w:r>
      <w:r w:rsidRPr="00717C12" w:rsidR="00A82F63">
        <w:rPr>
          <w:rFonts w:ascii="Century Gothic" w:hAnsi="Century Gothic" w:cs="Arial"/>
          <w:b/>
          <w:sz w:val="20"/>
          <w:szCs w:val="20"/>
        </w:rPr>
        <w:tab/>
      </w:r>
      <w:r w:rsidRPr="00717C12" w:rsidR="00A82F63">
        <w:rPr>
          <w:rFonts w:ascii="Century Gothic" w:hAnsi="Century Gothic" w:cs="Arial"/>
          <w:b/>
          <w:sz w:val="20"/>
          <w:szCs w:val="20"/>
        </w:rPr>
        <w:tab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31"/>
        <w:gridCol w:w="4531"/>
      </w:tblGrid>
      <w:tr w:rsidR="00CF4EA6" w:rsidTr="003F1C80" w14:paraId="3735F964" w14:textId="77777777">
        <w:tc>
          <w:tcPr>
            <w:tcW w:w="9062" w:type="dxa"/>
            <w:gridSpan w:val="2"/>
          </w:tcPr>
          <w:p w:rsidR="00A82F63" w:rsidP="00CF4EA6" w:rsidRDefault="00A82F63" w14:paraId="7D1EA226" w14:textId="777777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7012C" w:rsidP="00195787" w:rsidRDefault="00A7012C" w14:paraId="0782ED10" w14:textId="77777777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Školení musí splňovat níže uvedenou specifikaci:</w:t>
            </w:r>
          </w:p>
          <w:p w:rsidRPr="00A82F63" w:rsidR="00A7012C" w:rsidP="00195787" w:rsidRDefault="00A7012C" w14:paraId="7100652A" w14:textId="67CEE70E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CF4EA6" w:rsidTr="00D46361" w14:paraId="68A899D9" w14:textId="77777777">
        <w:tc>
          <w:tcPr>
            <w:tcW w:w="4531" w:type="dxa"/>
            <w:shd w:val="clear" w:color="auto" w:fill="D9D9D9" w:themeFill="background1" w:themeFillShade="D9"/>
          </w:tcPr>
          <w:p w:rsidR="00CF4EA6" w:rsidP="00195787" w:rsidRDefault="00CF4EA6" w14:paraId="14B1735A" w14:textId="1406DAA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Celková výuka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CF4EA6" w:rsidP="00195787" w:rsidRDefault="00152D80" w14:paraId="76A30FF8" w14:textId="4F8BD944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193,75</w:t>
            </w:r>
            <w:r w:rsidR="00CF4EA6">
              <w:rPr>
                <w:rFonts w:ascii="Century Gothic" w:hAnsi="Century Gothic" w:cs="Arial"/>
                <w:sz w:val="20"/>
                <w:szCs w:val="20"/>
              </w:rPr>
              <w:t xml:space="preserve"> hod</w:t>
            </w:r>
          </w:p>
        </w:tc>
      </w:tr>
      <w:tr w:rsidR="00CF4EA6" w:rsidTr="00D46361" w14:paraId="288FAEA6" w14:textId="77777777">
        <w:tc>
          <w:tcPr>
            <w:tcW w:w="4531" w:type="dxa"/>
            <w:shd w:val="clear" w:color="auto" w:fill="D9D9D9" w:themeFill="background1" w:themeFillShade="D9"/>
          </w:tcPr>
          <w:p w:rsidR="00CF4EA6" w:rsidP="00195787" w:rsidRDefault="00CF4EA6" w14:paraId="2723044F" w14:textId="7ABCB8D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Závěrečná zkouška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CF4EA6" w:rsidP="00195787" w:rsidRDefault="00152D80" w14:paraId="05690273" w14:textId="7BBC099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1,75</w:t>
            </w:r>
            <w:r w:rsidR="00CF4EA6">
              <w:rPr>
                <w:rFonts w:ascii="Century Gothic" w:hAnsi="Century Gothic" w:cs="Arial"/>
                <w:sz w:val="20"/>
                <w:szCs w:val="20"/>
              </w:rPr>
              <w:t xml:space="preserve"> hod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(1 hodina = 60 minut)</w:t>
            </w:r>
          </w:p>
        </w:tc>
      </w:tr>
      <w:tr w:rsidR="00CF4EA6" w:rsidTr="00D46361" w14:paraId="573FE078" w14:textId="77777777">
        <w:tc>
          <w:tcPr>
            <w:tcW w:w="4531" w:type="dxa"/>
            <w:shd w:val="clear" w:color="auto" w:fill="F2F2F2" w:themeFill="background1" w:themeFillShade="F2"/>
          </w:tcPr>
          <w:p w:rsidR="00CF4EA6" w:rsidP="00195787" w:rsidRDefault="00D46361" w14:paraId="2B2BEAFA" w14:textId="322DA4B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Teoretická část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CF4EA6" w:rsidP="00195787" w:rsidRDefault="00152D80" w14:paraId="4EE23609" w14:textId="5F7E735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120</w:t>
            </w:r>
            <w:r w:rsidR="00D46361">
              <w:rPr>
                <w:rFonts w:ascii="Century Gothic" w:hAnsi="Century Gothic" w:cs="Arial"/>
                <w:sz w:val="20"/>
                <w:szCs w:val="20"/>
              </w:rPr>
              <w:t xml:space="preserve"> hod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(1 hodina = 45 minut)</w:t>
            </w:r>
          </w:p>
        </w:tc>
      </w:tr>
      <w:tr w:rsidR="00CF4EA6" w:rsidTr="00D46361" w14:paraId="33FA6AB7" w14:textId="77777777">
        <w:tc>
          <w:tcPr>
            <w:tcW w:w="4531" w:type="dxa"/>
            <w:shd w:val="clear" w:color="auto" w:fill="F2F2F2" w:themeFill="background1" w:themeFillShade="F2"/>
          </w:tcPr>
          <w:p w:rsidR="00CF4EA6" w:rsidP="00195787" w:rsidRDefault="00D46361" w14:paraId="48933655" w14:textId="6486BDD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Praktická část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CF4EA6" w:rsidP="00195787" w:rsidRDefault="00152D80" w14:paraId="52983371" w14:textId="6D4C2C1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72</w:t>
            </w:r>
            <w:r w:rsidR="00D46361">
              <w:rPr>
                <w:rFonts w:ascii="Century Gothic" w:hAnsi="Century Gothic" w:cs="Arial"/>
                <w:sz w:val="20"/>
                <w:szCs w:val="20"/>
              </w:rPr>
              <w:t xml:space="preserve"> hod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(1 hodina = 60 minut)</w:t>
            </w:r>
          </w:p>
        </w:tc>
      </w:tr>
      <w:tr w:rsidR="00CF4EA6" w:rsidTr="00CF4EA6" w14:paraId="0E1F13A6" w14:textId="77777777">
        <w:tc>
          <w:tcPr>
            <w:tcW w:w="4531" w:type="dxa"/>
          </w:tcPr>
          <w:p w:rsidR="00CF4EA6" w:rsidP="00195787" w:rsidRDefault="00D74ADB" w14:paraId="28DCC134" w14:textId="21E5635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Počet účastníků zadavatele</w:t>
            </w:r>
          </w:p>
        </w:tc>
        <w:tc>
          <w:tcPr>
            <w:tcW w:w="4531" w:type="dxa"/>
          </w:tcPr>
          <w:p w:rsidR="00CF4EA6" w:rsidP="00D46361" w:rsidRDefault="00152D80" w14:paraId="37ECAFBF" w14:textId="0CA5A2D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</w:tr>
    </w:tbl>
    <w:p w:rsidR="00CF4EA6" w:rsidP="00195787" w:rsidRDefault="00CF4EA6" w14:paraId="75716A8E" w14:textId="3D6EA980">
      <w:pPr>
        <w:rPr>
          <w:rFonts w:ascii="Century Gothic" w:hAnsi="Century Gothic" w:cs="Arial"/>
          <w:sz w:val="20"/>
          <w:szCs w:val="20"/>
        </w:rPr>
      </w:pPr>
    </w:p>
    <w:p w:rsidRPr="00152D80" w:rsidR="006459F0" w:rsidP="00195787" w:rsidRDefault="00A7012C" w14:paraId="55C06CB8" w14:textId="616B5F69">
      <w:pPr>
        <w:rPr>
          <w:rFonts w:ascii="Century Gothic" w:hAnsi="Century Gothic" w:cs="Arial"/>
          <w:sz w:val="20"/>
          <w:szCs w:val="20"/>
          <w:u w:val="single"/>
        </w:rPr>
      </w:pPr>
      <w:r w:rsidRPr="00152D80">
        <w:rPr>
          <w:rFonts w:ascii="Century Gothic" w:hAnsi="Century Gothic" w:cs="Arial"/>
          <w:sz w:val="20"/>
          <w:szCs w:val="20"/>
          <w:u w:val="single"/>
        </w:rPr>
        <w:t>Požadované okruhy</w:t>
      </w:r>
      <w:r w:rsidRPr="00152D80" w:rsidR="006459F0">
        <w:rPr>
          <w:rFonts w:ascii="Century Gothic" w:hAnsi="Century Gothic" w:cs="Arial"/>
          <w:sz w:val="20"/>
          <w:szCs w:val="20"/>
          <w:u w:val="single"/>
        </w:rPr>
        <w:t xml:space="preserve"> školení:</w:t>
      </w:r>
    </w:p>
    <w:p w:rsidRPr="00152D80" w:rsidR="00152D80" w:rsidP="00152D80" w:rsidRDefault="00152D80" w14:paraId="276204F2" w14:textId="77777777">
      <w:pPr>
        <w:pStyle w:val="Odstavecseseznamem"/>
        <w:numPr>
          <w:ilvl w:val="0"/>
          <w:numId w:val="9"/>
        </w:numPr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Poučení o bezpečnosti a ochraně zdraví při práci. </w:t>
      </w:r>
    </w:p>
    <w:p w:rsidRPr="00152D80" w:rsidR="00152D80" w:rsidP="00152D80" w:rsidRDefault="00152D80" w14:paraId="7664805E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• Úvod do průmyslového inženýrství a do procesních inovací. </w:t>
      </w:r>
    </w:p>
    <w:p w:rsidRPr="00152D80" w:rsidR="00152D80" w:rsidP="00152D80" w:rsidRDefault="00152D80" w14:paraId="089D88CB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• Projekty zlepšování podnikových procesů a jejich řízení. </w:t>
      </w:r>
    </w:p>
    <w:p w:rsidRPr="00152D80" w:rsidR="00152D80" w:rsidP="00152D80" w:rsidRDefault="00152D80" w14:paraId="1E9583ED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• Ekonomika a její význam při zlepšování podnikových procesů. </w:t>
      </w:r>
    </w:p>
    <w:p w:rsidRPr="00152D80" w:rsidR="00152D80" w:rsidP="00152D80" w:rsidRDefault="00152D80" w14:paraId="68F2ED11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lastRenderedPageBreak/>
        <w:t xml:space="preserve">• Zlepšování podnikových procesů. </w:t>
      </w:r>
    </w:p>
    <w:p w:rsidRPr="00152D80" w:rsidR="00152D80" w:rsidP="00152D80" w:rsidRDefault="00152D80" w14:paraId="4A7D9A70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• Zlepšování servisních procesů. </w:t>
      </w:r>
    </w:p>
    <w:p w:rsidRPr="00152D80" w:rsidR="00152D80" w:rsidP="00152D80" w:rsidRDefault="00152D80" w14:paraId="4F9A9ECB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• Metody procesní analýzy. </w:t>
      </w:r>
    </w:p>
    <w:p w:rsidRPr="00152D80" w:rsidR="00152D80" w:rsidP="00152D80" w:rsidRDefault="00152D80" w14:paraId="79CA9EFE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• Techniky analýzy a měření práce. </w:t>
      </w:r>
    </w:p>
    <w:p w:rsidRPr="00152D80" w:rsidR="00152D80" w:rsidP="00152D80" w:rsidRDefault="00152D80" w14:paraId="6D4280E3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• VSM – mapování hodnotového toku. </w:t>
      </w:r>
    </w:p>
    <w:p w:rsidRPr="00152D80" w:rsidR="00152D80" w:rsidP="00152D80" w:rsidRDefault="00152D80" w14:paraId="2B57862B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• Ergonomie a pohybová ekonomie. </w:t>
      </w:r>
    </w:p>
    <w:p w:rsidRPr="00152D80" w:rsidR="00152D80" w:rsidP="00152D80" w:rsidRDefault="00152D80" w14:paraId="57C2E348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• Řízení materiálových a informačních toků. </w:t>
      </w:r>
    </w:p>
    <w:p w:rsidRPr="00152D80" w:rsidR="00152D80" w:rsidP="00152D80" w:rsidRDefault="00152D80" w14:paraId="6A961BD1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• Standardizace a pracovní postupy. </w:t>
      </w:r>
    </w:p>
    <w:p w:rsidRPr="00152D80" w:rsidR="00152D80" w:rsidP="00152D80" w:rsidRDefault="00152D80" w14:paraId="1BB618E3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• Vizuální řízení. </w:t>
      </w:r>
    </w:p>
    <w:p w:rsidRPr="00152D80" w:rsidR="00152D80" w:rsidP="00152D80" w:rsidRDefault="00152D80" w14:paraId="7ADD170C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• Zvyšování efektivity strojních zařízení. </w:t>
      </w:r>
    </w:p>
    <w:p w:rsidRPr="00152D80" w:rsidR="00152D80" w:rsidP="00152D80" w:rsidRDefault="00152D80" w14:paraId="0ECA1CDA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• Kvalita ve výrobním procesu. </w:t>
      </w:r>
    </w:p>
    <w:p w:rsidRPr="00152D80" w:rsidR="00152D80" w:rsidP="00152D80" w:rsidRDefault="00152D80" w14:paraId="7AC1837A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• Efektivní řešení kořenových příčin problému. </w:t>
      </w:r>
    </w:p>
    <w:p w:rsidRPr="00152D80" w:rsidR="00152D80" w:rsidP="00152D80" w:rsidRDefault="00152D80" w14:paraId="6CDDC692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• Projektování výrobních buněk. </w:t>
      </w:r>
    </w:p>
    <w:p w:rsidRPr="00152D80" w:rsidR="00152D80" w:rsidP="00152D80" w:rsidRDefault="00152D80" w14:paraId="1317B492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• Průmysl 4.0 v kontextu LEAN managementu. </w:t>
      </w:r>
    </w:p>
    <w:p w:rsidRPr="00152D80" w:rsidR="00152D80" w:rsidP="00152D80" w:rsidRDefault="00152D80" w14:paraId="0F76FD50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• Robotizace a automatizace procesů. </w:t>
      </w:r>
    </w:p>
    <w:p w:rsidRPr="00152D80" w:rsidR="00152D80" w:rsidP="00152D80" w:rsidRDefault="00152D80" w14:paraId="62E0A959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• Týmová práce ve výrobní oblasti. </w:t>
      </w:r>
    </w:p>
    <w:p w:rsidRPr="00152D80" w:rsidR="00152D80" w:rsidP="00152D80" w:rsidRDefault="00152D80" w14:paraId="5FCD9984" w14:textId="77777777">
      <w:pPr>
        <w:ind w:left="360"/>
        <w:rPr>
          <w:rFonts w:ascii="Century Gothic" w:hAnsi="Century Gothic" w:cs="Arial"/>
          <w:sz w:val="20"/>
          <w:szCs w:val="20"/>
        </w:rPr>
      </w:pPr>
      <w:r w:rsidRPr="00152D80">
        <w:rPr>
          <w:rFonts w:ascii="Century Gothic" w:hAnsi="Century Gothic" w:cs="Arial"/>
          <w:sz w:val="20"/>
          <w:szCs w:val="20"/>
        </w:rPr>
        <w:t xml:space="preserve">• Týmová práce v nevýrobní oblasti. </w:t>
      </w:r>
    </w:p>
    <w:p w:rsidRPr="00A7012C" w:rsidR="00717C12" w:rsidP="00717C12" w:rsidRDefault="00717C12" w14:paraId="0E6B440C" w14:textId="77777777">
      <w:pPr>
        <w:pStyle w:val="Odstavecseseznamem"/>
        <w:rPr>
          <w:rFonts w:ascii="Century Gothic" w:hAnsi="Century Gothic"/>
          <w:sz w:val="20"/>
          <w:szCs w:val="20"/>
        </w:rPr>
      </w:pPr>
    </w:p>
    <w:p w:rsidR="00FF0047" w:rsidP="00FF0047" w:rsidRDefault="00717C12" w14:paraId="106AA85B" w14:textId="50DEAA0A">
      <w:pPr>
        <w:autoSpaceDE w:val="false"/>
        <w:autoSpaceDN w:val="false"/>
        <w:adjustRightInd w:val="false"/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 xml:space="preserve">III. </w:t>
      </w:r>
      <w:r w:rsidRPr="00CF4EA6" w:rsidR="00002220">
        <w:rPr>
          <w:rFonts w:ascii="Century Gothic" w:hAnsi="Century Gothic"/>
          <w:b/>
          <w:sz w:val="20"/>
          <w:szCs w:val="20"/>
          <w:u w:val="single"/>
        </w:rPr>
        <w:t xml:space="preserve">Požadované </w:t>
      </w:r>
      <w:r w:rsidRPr="00CF4EA6" w:rsidR="00FF0047">
        <w:rPr>
          <w:rFonts w:ascii="Century Gothic" w:hAnsi="Century Gothic" w:cs="Arial"/>
          <w:b/>
          <w:sz w:val="20"/>
          <w:szCs w:val="20"/>
          <w:u w:val="single"/>
        </w:rPr>
        <w:t>minimální technické parametry</w:t>
      </w:r>
      <w:r>
        <w:rPr>
          <w:rFonts w:ascii="Century Gothic" w:hAnsi="Century Gothic" w:cs="Arial"/>
          <w:b/>
          <w:sz w:val="20"/>
          <w:szCs w:val="20"/>
          <w:u w:val="single"/>
        </w:rPr>
        <w:t xml:space="preserve"> pro plnění vzdělávací</w:t>
      </w:r>
      <w:r w:rsidR="00E240E7">
        <w:rPr>
          <w:rFonts w:ascii="Century Gothic" w:hAnsi="Century Gothic" w:cs="Arial"/>
          <w:b/>
          <w:sz w:val="20"/>
          <w:szCs w:val="20"/>
          <w:u w:val="single"/>
        </w:rPr>
        <w:t xml:space="preserve"> aktivit</w:t>
      </w:r>
      <w:r w:rsidR="00FD5BC4">
        <w:rPr>
          <w:rFonts w:ascii="Century Gothic" w:hAnsi="Century Gothic" w:cs="Arial"/>
          <w:b/>
          <w:sz w:val="20"/>
          <w:szCs w:val="20"/>
          <w:u w:val="single"/>
        </w:rPr>
        <w:t>y</w:t>
      </w:r>
      <w:r w:rsidRPr="00CF4EA6" w:rsidR="00FF0047">
        <w:rPr>
          <w:rFonts w:ascii="Century Gothic" w:hAnsi="Century Gothic" w:cs="Arial"/>
          <w:b/>
          <w:sz w:val="20"/>
          <w:szCs w:val="20"/>
          <w:u w:val="single"/>
        </w:rPr>
        <w:t>:</w:t>
      </w:r>
    </w:p>
    <w:tbl>
      <w:tblPr>
        <w:tblW w:w="9282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2549"/>
        <w:gridCol w:w="3574"/>
        <w:gridCol w:w="3159"/>
      </w:tblGrid>
      <w:tr w:rsidRPr="00B66953" w:rsidR="00FF0047" w:rsidTr="00D74ADB" w14:paraId="3FCFFA41" w14:textId="77777777">
        <w:trPr>
          <w:trHeight w:val="120"/>
        </w:trPr>
        <w:tc>
          <w:tcPr>
            <w:tcW w:w="2549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FF0047" w:rsidP="00FA0698" w:rsidRDefault="00E240E7" w14:paraId="66C9766F" w14:textId="25CF6219">
            <w:pPr>
              <w:spacing w:after="0" w:line="240" w:lineRule="auto"/>
              <w:rPr>
                <w:rFonts w:ascii="Century Gothic" w:hAnsi="Century Gothic" w:eastAsia="Times New Roman" w:cs="Arial"/>
                <w:b/>
                <w:sz w:val="20"/>
                <w:szCs w:val="20"/>
                <w:lang w:eastAsia="cs-CZ"/>
              </w:rPr>
            </w:pPr>
            <w:r w:rsidRPr="00B66953">
              <w:rPr>
                <w:rFonts w:ascii="Century Gothic" w:hAnsi="Century Gothic" w:eastAsia="Times New Roman" w:cs="Arial"/>
                <w:b/>
                <w:sz w:val="20"/>
                <w:szCs w:val="20"/>
                <w:lang w:eastAsia="cs-CZ"/>
              </w:rPr>
              <w:t xml:space="preserve">Požadavky </w:t>
            </w:r>
          </w:p>
        </w:tc>
        <w:tc>
          <w:tcPr>
            <w:tcW w:w="3574" w:type="dxa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FF0047" w:rsidP="00FA0698" w:rsidRDefault="00E240E7" w14:paraId="4326E1D2" w14:textId="0C560AD6">
            <w:pPr>
              <w:spacing w:after="0" w:line="240" w:lineRule="auto"/>
              <w:rPr>
                <w:rFonts w:ascii="Century Gothic" w:hAnsi="Century Gothic" w:eastAsia="Times New Roman" w:cs="Arial"/>
                <w:b/>
                <w:sz w:val="20"/>
                <w:szCs w:val="20"/>
                <w:lang w:eastAsia="cs-CZ"/>
              </w:rPr>
            </w:pPr>
            <w:r w:rsidRPr="00B66953">
              <w:rPr>
                <w:rFonts w:ascii="Century Gothic" w:hAnsi="Century Gothic" w:eastAsia="Times New Roman" w:cs="Arial"/>
                <w:b/>
                <w:sz w:val="20"/>
                <w:szCs w:val="20"/>
                <w:lang w:eastAsia="cs-CZ"/>
              </w:rPr>
              <w:t>Požadovaný parametr</w:t>
            </w:r>
          </w:p>
          <w:p w:rsidRPr="00B66953" w:rsidR="00E240E7" w:rsidP="00FA0698" w:rsidRDefault="00E240E7" w14:paraId="59D1762F" w14:textId="5D0C7D11">
            <w:pPr>
              <w:spacing w:after="0" w:line="240" w:lineRule="auto"/>
              <w:rPr>
                <w:rFonts w:ascii="Century Gothic" w:hAnsi="Century Gothic"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59" w:type="dxa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:rsidRPr="00B66953" w:rsidR="00007085" w:rsidP="00FA0698" w:rsidRDefault="00E240E7" w14:paraId="1CFA0CF6" w14:textId="3F6C9FF0">
            <w:pPr>
              <w:spacing w:after="0" w:line="240" w:lineRule="auto"/>
              <w:rPr>
                <w:rFonts w:ascii="Century Gothic" w:hAnsi="Century Gothic" w:eastAsia="Times New Roman" w:cs="Arial"/>
                <w:b/>
                <w:sz w:val="20"/>
                <w:szCs w:val="20"/>
                <w:highlight w:val="yellow"/>
                <w:lang w:eastAsia="cs-CZ"/>
              </w:rPr>
            </w:pPr>
            <w:r w:rsidRPr="00B66953">
              <w:rPr>
                <w:rFonts w:ascii="Century Gothic" w:hAnsi="Century Gothic" w:eastAsia="Times New Roman" w:cs="Arial"/>
                <w:b/>
                <w:sz w:val="20"/>
                <w:szCs w:val="20"/>
                <w:highlight w:val="yellow"/>
                <w:lang w:eastAsia="cs-CZ"/>
              </w:rPr>
              <w:t>S</w:t>
            </w:r>
            <w:r w:rsidRPr="00B66953" w:rsidR="00FF0047">
              <w:rPr>
                <w:rFonts w:ascii="Century Gothic" w:hAnsi="Century Gothic" w:eastAsia="Times New Roman" w:cs="Arial"/>
                <w:b/>
                <w:sz w:val="20"/>
                <w:szCs w:val="20"/>
                <w:highlight w:val="yellow"/>
                <w:lang w:eastAsia="cs-CZ"/>
              </w:rPr>
              <w:t>plnění technického parametru</w:t>
            </w:r>
          </w:p>
        </w:tc>
      </w:tr>
      <w:tr w:rsidRPr="00B66953" w:rsidR="00FD5BC4" w:rsidTr="00D74ADB" w14:paraId="22197403" w14:textId="77777777">
        <w:trPr>
          <w:trHeight w:val="120"/>
        </w:trPr>
        <w:tc>
          <w:tcPr>
            <w:tcW w:w="2549" w:type="dxa"/>
            <w:tcBorders>
              <w:top w:val="single" w:color="000000" w:sz="6" w:space="0"/>
              <w:left w:val="single" w:color="000000" w:sz="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FD5BC4" w:rsidP="00FA0698" w:rsidRDefault="00FD5BC4" w14:paraId="1A0477F9" w14:textId="2FFD507F">
            <w:pPr>
              <w:spacing w:after="0" w:line="240" w:lineRule="auto"/>
              <w:rPr>
                <w:rFonts w:ascii="Century Gothic" w:hAnsi="Century Gothic" w:eastAsia="Times New Roman"/>
                <w:sz w:val="20"/>
                <w:szCs w:val="20"/>
              </w:rPr>
            </w:pPr>
            <w:r>
              <w:rPr>
                <w:rFonts w:ascii="Century Gothic" w:hAnsi="Century Gothic" w:eastAsia="Times New Roman"/>
                <w:sz w:val="20"/>
                <w:szCs w:val="20"/>
              </w:rPr>
              <w:t>Specifikace vzdělávací aktivity</w:t>
            </w:r>
          </w:p>
        </w:tc>
        <w:tc>
          <w:tcPr>
            <w:tcW w:w="3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FD5BC4" w:rsidP="00E240E7" w:rsidRDefault="00FD5BC4" w14:paraId="387B3BDD" w14:textId="14205E2E">
            <w:pPr>
              <w:spacing w:after="0" w:line="240" w:lineRule="auto"/>
              <w:rPr>
                <w:rFonts w:ascii="Century Gothic" w:hAnsi="Century Gothic" w:eastAsia="Times New Roman"/>
                <w:sz w:val="20"/>
                <w:szCs w:val="20"/>
              </w:rPr>
            </w:pPr>
            <w:r>
              <w:rPr>
                <w:rFonts w:ascii="Century Gothic" w:hAnsi="Century Gothic" w:eastAsia="Times New Roman"/>
                <w:sz w:val="20"/>
                <w:szCs w:val="20"/>
              </w:rPr>
              <w:t>Další profesní vzdělávací - akreditované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:rsidRPr="00B66953" w:rsidR="00FD5BC4" w:rsidP="00FA0698" w:rsidRDefault="00FD5BC4" w14:paraId="6AB44DCC" w14:textId="32691CE2">
            <w:pPr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</w:pPr>
            <w:proofErr w:type="spellStart"/>
            <w:r w:rsidRPr="00B66953"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  <w:t>xxx</w:t>
            </w:r>
            <w:proofErr w:type="spellEnd"/>
          </w:p>
        </w:tc>
      </w:tr>
      <w:tr w:rsidRPr="00B66953" w:rsidR="008E6E86" w:rsidTr="00D74ADB" w14:paraId="54B03FE5" w14:textId="77777777">
        <w:trPr>
          <w:trHeight w:val="120"/>
        </w:trPr>
        <w:tc>
          <w:tcPr>
            <w:tcW w:w="2549" w:type="dxa"/>
            <w:vMerge w:val="restart"/>
            <w:tcBorders>
              <w:top w:val="single" w:color="000000" w:sz="6" w:space="0"/>
              <w:left w:val="single" w:color="000000" w:sz="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8E6E86" w:rsidP="00FA0698" w:rsidRDefault="00E240E7" w14:paraId="01916EE2" w14:textId="4F6D9AF5">
            <w:pPr>
              <w:spacing w:after="0" w:line="240" w:lineRule="auto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  <w:r w:rsidRPr="00B66953">
              <w:rPr>
                <w:rFonts w:ascii="Century Gothic" w:hAnsi="Century Gothic" w:eastAsia="Times New Roman"/>
                <w:sz w:val="20"/>
                <w:szCs w:val="20"/>
              </w:rPr>
              <w:t>Studijní materiály</w:t>
            </w:r>
          </w:p>
        </w:tc>
        <w:tc>
          <w:tcPr>
            <w:tcW w:w="3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8E6E86" w:rsidP="00E240E7" w:rsidRDefault="00E240E7" w14:paraId="43577C90" w14:textId="765C049B">
            <w:pPr>
              <w:spacing w:after="0" w:line="240" w:lineRule="auto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  <w:r w:rsidRPr="00B66953">
              <w:rPr>
                <w:rFonts w:ascii="Century Gothic" w:hAnsi="Century Gothic" w:eastAsia="Times New Roman"/>
                <w:sz w:val="20"/>
                <w:szCs w:val="20"/>
              </w:rPr>
              <w:t>strukturovanost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:rsidRPr="00B66953" w:rsidR="008E6E86" w:rsidP="00FA0698" w:rsidRDefault="00E240E7" w14:paraId="0DA3819E" w14:textId="6ACA8EDD">
            <w:pPr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</w:pPr>
            <w:proofErr w:type="spellStart"/>
            <w:r w:rsidRPr="00B66953"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  <w:t>xxx</w:t>
            </w:r>
            <w:proofErr w:type="spellEnd"/>
          </w:p>
        </w:tc>
      </w:tr>
      <w:tr w:rsidRPr="00B66953" w:rsidR="008E6E86" w:rsidTr="00D74ADB" w14:paraId="43DF574A" w14:textId="77777777">
        <w:trPr>
          <w:trHeight w:val="120"/>
        </w:trPr>
        <w:tc>
          <w:tcPr>
            <w:tcW w:w="2549" w:type="dxa"/>
            <w:vMerge/>
            <w:tcBorders>
              <w:left w:val="single" w:color="000000" w:sz="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8E6E86" w:rsidP="00FA0698" w:rsidRDefault="008E6E86" w14:paraId="0890288F" w14:textId="77777777">
            <w:pPr>
              <w:spacing w:after="0" w:line="240" w:lineRule="auto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8E6E86" w:rsidP="008E6E86" w:rsidRDefault="00E240E7" w14:paraId="1D70ACCD" w14:textId="572C03CC">
            <w:pPr>
              <w:spacing w:after="0" w:line="240" w:lineRule="auto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  <w:r w:rsidRPr="00B66953">
              <w:rPr>
                <w:rFonts w:ascii="Century Gothic" w:hAnsi="Century Gothic" w:eastAsia="Times New Roman"/>
                <w:sz w:val="20"/>
                <w:szCs w:val="20"/>
              </w:rPr>
              <w:t>přehlednost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:rsidRPr="00B66953" w:rsidR="008E6E86" w:rsidP="00FA0698" w:rsidRDefault="00E240E7" w14:paraId="42FECBDB" w14:textId="5884695A">
            <w:pPr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</w:pPr>
            <w:proofErr w:type="spellStart"/>
            <w:r w:rsidRPr="00B66953"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  <w:t>xxx</w:t>
            </w:r>
            <w:proofErr w:type="spellEnd"/>
          </w:p>
        </w:tc>
      </w:tr>
      <w:tr w:rsidRPr="00B66953" w:rsidR="008E6E86" w:rsidTr="00D74ADB" w14:paraId="6312AEE0" w14:textId="77777777">
        <w:trPr>
          <w:trHeight w:val="120"/>
        </w:trPr>
        <w:tc>
          <w:tcPr>
            <w:tcW w:w="2549" w:type="dxa"/>
            <w:vMerge/>
            <w:tcBorders>
              <w:left w:val="single" w:color="000000" w:sz="2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8E6E86" w:rsidP="00FA0698" w:rsidRDefault="008E6E86" w14:paraId="6A249DB4" w14:textId="77777777">
            <w:pPr>
              <w:spacing w:after="0" w:line="240" w:lineRule="auto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8E6E86" w:rsidP="008E6E86" w:rsidRDefault="00E240E7" w14:paraId="19C2EAD8" w14:textId="3C4857CE">
            <w:pPr>
              <w:tabs>
                <w:tab w:val="left" w:pos="1440"/>
              </w:tabs>
              <w:spacing w:after="0" w:line="240" w:lineRule="auto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  <w:r w:rsidRPr="00B66953">
              <w:rPr>
                <w:rFonts w:ascii="Century Gothic" w:hAnsi="Century Gothic" w:eastAsia="Times New Roman"/>
                <w:sz w:val="20"/>
                <w:szCs w:val="20"/>
              </w:rPr>
              <w:t>názornost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:rsidRPr="00B66953" w:rsidR="008E6E86" w:rsidP="00FA0698" w:rsidRDefault="00E240E7" w14:paraId="65B81BE3" w14:textId="6B69E509">
            <w:pPr>
              <w:spacing w:after="0" w:line="240" w:lineRule="auto"/>
              <w:rPr>
                <w:rFonts w:ascii="Century Gothic" w:hAnsi="Century Gothic" w:eastAsia="Times New Roman" w:cs="Arial"/>
                <w:b/>
                <w:sz w:val="20"/>
                <w:szCs w:val="20"/>
                <w:highlight w:val="yellow"/>
                <w:lang w:eastAsia="cs-CZ"/>
              </w:rPr>
            </w:pPr>
            <w:proofErr w:type="spellStart"/>
            <w:r w:rsidRPr="00B66953"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  <w:t>xxx</w:t>
            </w:r>
            <w:proofErr w:type="spellEnd"/>
          </w:p>
        </w:tc>
      </w:tr>
      <w:tr w:rsidRPr="00B66953" w:rsidR="00717C12" w:rsidTr="00D74ADB" w14:paraId="4AA81608" w14:textId="77777777">
        <w:trPr>
          <w:trHeight w:val="120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717C12" w:rsidP="00DA1721" w:rsidRDefault="00717C12" w14:paraId="1CAD4577" w14:textId="77777777">
            <w:pPr>
              <w:spacing w:after="0" w:line="240" w:lineRule="auto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  <w:r w:rsidRPr="00B66953">
              <w:rPr>
                <w:rFonts w:ascii="Century Gothic" w:hAnsi="Century Gothic" w:cs="Helv"/>
                <w:color w:val="000000"/>
                <w:sz w:val="20"/>
                <w:szCs w:val="20"/>
              </w:rPr>
              <w:t>Manuály</w:t>
            </w:r>
          </w:p>
          <w:p w:rsidRPr="00B66953" w:rsidR="00717C12" w:rsidP="008E6E86" w:rsidRDefault="00717C12" w14:paraId="49C38D30" w14:textId="26F47A04">
            <w:pPr>
              <w:spacing w:after="0" w:line="240" w:lineRule="auto"/>
              <w:jc w:val="center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717C12" w:rsidP="00FA0698" w:rsidRDefault="00717C12" w14:paraId="6E0C58A8" w14:textId="4678CE0E">
            <w:pPr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lang w:eastAsia="cs-CZ"/>
              </w:rPr>
            </w:pPr>
            <w:r w:rsidRPr="00B66953">
              <w:rPr>
                <w:rFonts w:ascii="Century Gothic" w:hAnsi="Century Gothic" w:eastAsia="Times New Roman" w:cs="Arial"/>
                <w:sz w:val="20"/>
                <w:szCs w:val="20"/>
                <w:lang w:eastAsia="cs-CZ"/>
              </w:rPr>
              <w:t>Aktuálnost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:rsidRPr="00B66953" w:rsidR="00717C12" w:rsidRDefault="00717C12" w14:paraId="6AB20649" w14:textId="77777777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B66953"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  <w:t>xxx</w:t>
            </w:r>
            <w:proofErr w:type="spellEnd"/>
          </w:p>
        </w:tc>
      </w:tr>
      <w:tr w:rsidRPr="00B66953" w:rsidR="00717C12" w:rsidTr="00D74ADB" w14:paraId="795AB8E8" w14:textId="77777777">
        <w:trPr>
          <w:trHeight w:val="120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717C12" w:rsidP="00FA0698" w:rsidRDefault="00152D80" w14:paraId="3225CABC" w14:textId="73AD0F71">
            <w:pPr>
              <w:spacing w:after="0" w:line="240" w:lineRule="auto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  <w:t>Osvědčení</w:t>
            </w:r>
            <w:r w:rsidR="00D74ADB"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  <w:t xml:space="preserve"> za úspěšné absolvování vzdělávací aktivity a složení závěrečné zkoušky</w:t>
            </w:r>
          </w:p>
        </w:tc>
        <w:tc>
          <w:tcPr>
            <w:tcW w:w="357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717C12" w:rsidP="00152D80" w:rsidRDefault="00717C12" w14:paraId="6EDF6044" w14:textId="13B0C097">
            <w:pPr>
              <w:spacing w:after="0" w:line="240" w:lineRule="auto"/>
              <w:rPr>
                <w:rFonts w:ascii="Century Gothic" w:hAnsi="Century Gothic" w:cs="Helv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Helv"/>
                <w:color w:val="000000"/>
                <w:sz w:val="20"/>
                <w:szCs w:val="20"/>
              </w:rPr>
              <w:t xml:space="preserve">Vystavení </w:t>
            </w:r>
            <w:r w:rsidR="00152D80">
              <w:rPr>
                <w:rFonts w:ascii="Century Gothic" w:hAnsi="Century Gothic" w:cs="Helv"/>
                <w:color w:val="000000"/>
                <w:sz w:val="20"/>
                <w:szCs w:val="20"/>
              </w:rPr>
              <w:t>osvědčení o rekvalifikaci dle vyhlášky MŠMT č. 176/2009 Sb.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:rsidRPr="00B66953" w:rsidR="00717C12" w:rsidRDefault="00FD5BC4" w14:paraId="0A7D05F8" w14:textId="616D9C15">
            <w:pPr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</w:pPr>
            <w:proofErr w:type="spellStart"/>
            <w:r w:rsidRPr="00B66953"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  <w:t>xxx</w:t>
            </w:r>
            <w:proofErr w:type="spellEnd"/>
          </w:p>
        </w:tc>
      </w:tr>
    </w:tbl>
    <w:p w:rsidRPr="00B66953" w:rsidR="00195787" w:rsidP="00195787" w:rsidRDefault="00195787" w14:paraId="4332FEA6" w14:textId="77777777">
      <w:pPr>
        <w:rPr>
          <w:rFonts w:ascii="Century Gothic" w:hAnsi="Century Gothic"/>
          <w:sz w:val="20"/>
          <w:szCs w:val="20"/>
        </w:rPr>
      </w:pPr>
      <w:bookmarkStart w:name="_GoBack" w:id="0"/>
      <w:bookmarkEnd w:id="0"/>
    </w:p>
    <w:sectPr w:rsidRPr="00B66953" w:rsidR="00195787" w:rsidSect="00D46361">
      <w:headerReference w:type="default" r:id="rId7"/>
      <w:pgSz w:w="11906" w:h="16838"/>
      <w:pgMar w:top="1417" w:right="1417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2F4550" w:rsidP="00C3282D" w:rsidRDefault="002F4550" w14:paraId="1BEFBF49" w14:textId="77777777">
      <w:pPr>
        <w:spacing w:after="0" w:line="240" w:lineRule="auto"/>
      </w:pPr>
      <w:r>
        <w:separator/>
      </w:r>
    </w:p>
  </w:endnote>
  <w:endnote w:type="continuationSeparator" w:id="0">
    <w:p w:rsidR="002F4550" w:rsidP="00C3282D" w:rsidRDefault="002F4550" w14:paraId="653296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2F4550" w:rsidP="00C3282D" w:rsidRDefault="002F4550" w14:paraId="5CE96FE0" w14:textId="77777777">
      <w:pPr>
        <w:spacing w:after="0" w:line="240" w:lineRule="auto"/>
      </w:pPr>
      <w:r>
        <w:separator/>
      </w:r>
    </w:p>
  </w:footnote>
  <w:footnote w:type="continuationSeparator" w:id="0">
    <w:p w:rsidR="002F4550" w:rsidP="00C3282D" w:rsidRDefault="002F4550" w14:paraId="7BB2C2C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FF0047" w:rsidRDefault="00FF0047" w14:paraId="1B1D90EB" w14:textId="77777777">
    <w:pPr>
      <w:pStyle w:val="Zhlav"/>
    </w:pPr>
  </w:p>
  <w:tbl>
    <w:tblPr>
      <w:tblW w:w="9212" w:type="dxa"/>
      <w:tblLayout w:type="fixed"/>
      <w:tblCellMar>
        <w:left w:w="70" w:type="dxa"/>
        <w:right w:w="70" w:type="dxa"/>
      </w:tblCellMar>
      <w:tblLook w:firstRow="1" w:lastRow="0" w:firstColumn="1" w:lastColumn="0" w:noHBand="0" w:noVBand="1" w:val="04A0"/>
    </w:tblPr>
    <w:tblGrid>
      <w:gridCol w:w="4606"/>
      <w:gridCol w:w="4606"/>
    </w:tblGrid>
    <w:tr w:rsidR="00FF0047" w:rsidTr="002E0E99" w14:paraId="69777198" w14:textId="77777777">
      <w:tc>
        <w:tcPr>
          <w:tcW w:w="4606" w:type="dxa"/>
          <w:vAlign w:val="center"/>
        </w:tcPr>
        <w:p w:rsidR="00FF0047" w:rsidP="002E0E99" w:rsidRDefault="00AE58AB" w14:paraId="6380C0E5" w14:textId="77777777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>
                <wp:extent cx="2493034" cy="514074"/>
                <wp:effectExtent l="0" t="0" r="2540" b="635"/>
                <wp:docPr id="7" name="Obrázek 7" descr="V:\PUBLICITA\OBDOBÍ _2014+\VIZUALNI_IDENTITA\logo\OPZ_CB_cerne.jpg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2" descr="V:\PUBLICITA\OBDOBÍ _2014+\VIZUALNI_IDENTITA\logo\OPZ_CB_cerne.jpg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085" cy="522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E58AB" w:rsidP="002E0E99" w:rsidRDefault="00AE58AB" w14:paraId="584D3B4C" w14:textId="40ED1D10">
          <w:pPr>
            <w:pStyle w:val="Zhlav"/>
          </w:pPr>
        </w:p>
      </w:tc>
      <w:tc>
        <w:tcPr>
          <w:tcW w:w="4606" w:type="dxa"/>
        </w:tcPr>
        <w:p w:rsidR="00FF0047" w:rsidP="002E0E99" w:rsidRDefault="00FF0047" w14:paraId="25E8A7BB" w14:textId="77777777">
          <w:pPr>
            <w:pStyle w:val="Zhlav"/>
            <w:spacing w:line="276" w:lineRule="auto"/>
            <w:jc w:val="right"/>
          </w:pPr>
        </w:p>
      </w:tc>
    </w:tr>
  </w:tbl>
  <w:p w:rsidRPr="00D46361" w:rsidR="00FF0047" w:rsidP="00D46361" w:rsidRDefault="00FF0047" w14:paraId="6C67985C" w14:textId="215F9CCF">
    <w:pPr>
      <w:pStyle w:val="Zhlav"/>
      <w:rPr>
        <w:b/>
        <w:sz w:val="26"/>
        <w:szCs w:val="2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F6D039F"/>
    <w:multiLevelType w:val="hybridMultilevel"/>
    <w:tmpl w:val="96941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C25C7"/>
    <w:multiLevelType w:val="hybridMultilevel"/>
    <w:tmpl w:val="E2F6A31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51A2C54"/>
    <w:multiLevelType w:val="hybridMultilevel"/>
    <w:tmpl w:val="D62C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73A28"/>
    <w:multiLevelType w:val="hybridMultilevel"/>
    <w:tmpl w:val="BCD25FE6"/>
    <w:lvl w:ilvl="0" w:tplc="AE268312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44F189A"/>
    <w:multiLevelType w:val="hybridMultilevel"/>
    <w:tmpl w:val="B51225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91569"/>
    <w:multiLevelType w:val="hybridMultilevel"/>
    <w:tmpl w:val="28A243B0"/>
    <w:lvl w:ilvl="0" w:tplc="CB68ECA6">
      <w:start w:val="1"/>
      <w:numFmt w:val="bullet"/>
      <w:lvlText w:val="-"/>
      <w:lvlJc w:val="left"/>
      <w:pPr>
        <w:ind w:left="1080" w:hanging="360"/>
      </w:pPr>
      <w:rPr>
        <w:rFonts w:hint="default" w:ascii="Century Gothic" w:hAnsi="Century Gothic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nsid w:val="624C37A3"/>
    <w:multiLevelType w:val="hybridMultilevel"/>
    <w:tmpl w:val="4E9C2DD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43B544F"/>
    <w:multiLevelType w:val="hybridMultilevel"/>
    <w:tmpl w:val="5128DB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220"/>
    <w:rsid w:val="00007085"/>
    <w:rsid w:val="0003069D"/>
    <w:rsid w:val="000A373A"/>
    <w:rsid w:val="000C4EE1"/>
    <w:rsid w:val="0010704A"/>
    <w:rsid w:val="00135827"/>
    <w:rsid w:val="00152D80"/>
    <w:rsid w:val="001848D7"/>
    <w:rsid w:val="00193F89"/>
    <w:rsid w:val="00195787"/>
    <w:rsid w:val="0019666C"/>
    <w:rsid w:val="001B7474"/>
    <w:rsid w:val="002236B9"/>
    <w:rsid w:val="00236A00"/>
    <w:rsid w:val="00246186"/>
    <w:rsid w:val="002F4550"/>
    <w:rsid w:val="003976E3"/>
    <w:rsid w:val="003B6D63"/>
    <w:rsid w:val="003C192A"/>
    <w:rsid w:val="0041115B"/>
    <w:rsid w:val="004472BF"/>
    <w:rsid w:val="004A72E7"/>
    <w:rsid w:val="00530A27"/>
    <w:rsid w:val="00536E77"/>
    <w:rsid w:val="005702AC"/>
    <w:rsid w:val="005718F3"/>
    <w:rsid w:val="005911D4"/>
    <w:rsid w:val="005A34A5"/>
    <w:rsid w:val="005C62A6"/>
    <w:rsid w:val="006459F0"/>
    <w:rsid w:val="00645EA7"/>
    <w:rsid w:val="006669BC"/>
    <w:rsid w:val="0069408C"/>
    <w:rsid w:val="00696E05"/>
    <w:rsid w:val="006A2C57"/>
    <w:rsid w:val="006A5148"/>
    <w:rsid w:val="006C47ED"/>
    <w:rsid w:val="006F1046"/>
    <w:rsid w:val="00717C12"/>
    <w:rsid w:val="00737372"/>
    <w:rsid w:val="007A3AE0"/>
    <w:rsid w:val="007E0A6E"/>
    <w:rsid w:val="007E78A2"/>
    <w:rsid w:val="007F1C73"/>
    <w:rsid w:val="007F7F85"/>
    <w:rsid w:val="0086367F"/>
    <w:rsid w:val="00871768"/>
    <w:rsid w:val="008944B2"/>
    <w:rsid w:val="008E6E86"/>
    <w:rsid w:val="009221E7"/>
    <w:rsid w:val="00927FC3"/>
    <w:rsid w:val="00941290"/>
    <w:rsid w:val="00942CC8"/>
    <w:rsid w:val="00986DBB"/>
    <w:rsid w:val="009966D5"/>
    <w:rsid w:val="00A7012C"/>
    <w:rsid w:val="00A81C79"/>
    <w:rsid w:val="00A82F63"/>
    <w:rsid w:val="00AA7B20"/>
    <w:rsid w:val="00AA7EA1"/>
    <w:rsid w:val="00AE58AB"/>
    <w:rsid w:val="00AF1DC3"/>
    <w:rsid w:val="00AF69C3"/>
    <w:rsid w:val="00B04B32"/>
    <w:rsid w:val="00B27F9E"/>
    <w:rsid w:val="00B573D6"/>
    <w:rsid w:val="00B66953"/>
    <w:rsid w:val="00BA35E3"/>
    <w:rsid w:val="00BA4C4A"/>
    <w:rsid w:val="00BA75F0"/>
    <w:rsid w:val="00BB0B8E"/>
    <w:rsid w:val="00BF0506"/>
    <w:rsid w:val="00C3282D"/>
    <w:rsid w:val="00C4739D"/>
    <w:rsid w:val="00C529FB"/>
    <w:rsid w:val="00C57453"/>
    <w:rsid w:val="00C70DE9"/>
    <w:rsid w:val="00C9441C"/>
    <w:rsid w:val="00CB30B5"/>
    <w:rsid w:val="00CF4EA6"/>
    <w:rsid w:val="00CF5C01"/>
    <w:rsid w:val="00D1094E"/>
    <w:rsid w:val="00D46361"/>
    <w:rsid w:val="00D64DFF"/>
    <w:rsid w:val="00D74ADB"/>
    <w:rsid w:val="00D954F5"/>
    <w:rsid w:val="00D97265"/>
    <w:rsid w:val="00DA1721"/>
    <w:rsid w:val="00E05CC8"/>
    <w:rsid w:val="00E240E7"/>
    <w:rsid w:val="00E274FD"/>
    <w:rsid w:val="00F15935"/>
    <w:rsid w:val="00FA0698"/>
    <w:rsid w:val="00FA2D20"/>
    <w:rsid w:val="00FC0881"/>
    <w:rsid w:val="00FD3794"/>
    <w:rsid w:val="00FD5BC4"/>
    <w:rsid w:val="00FF0047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4:docId w14:val="5BD755A0"/>
  <w15:docId w15:val="{EE827FF2-22E8-449E-8E01-4DA357E35E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2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328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3282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3282D"/>
  </w:style>
  <w:style w:type="paragraph" w:styleId="Zpat">
    <w:name w:val="footer"/>
    <w:basedOn w:val="Normln"/>
    <w:link w:val="ZpatChar"/>
    <w:uiPriority w:val="99"/>
    <w:unhideWhenUsed/>
    <w:rsid w:val="00C3282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3282D"/>
  </w:style>
  <w:style w:type="character" w:styleId="Odkaznakoment">
    <w:name w:val="annotation reference"/>
    <w:basedOn w:val="Standardnpsmoodstavce"/>
    <w:uiPriority w:val="99"/>
    <w:semiHidden/>
    <w:unhideWhenUsed/>
    <w:rsid w:val="008E6E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E8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E6E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E8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E6E8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F4EA6"/>
    <w:pPr>
      <w:ind w:left="720"/>
      <w:contextualSpacing/>
    </w:pPr>
  </w:style>
  <w:style w:type="table" w:styleId="Mkatabulky">
    <w:name w:val="Table Grid"/>
    <w:basedOn w:val="Normlntabulka"/>
    <w:uiPriority w:val="59"/>
    <w:rsid w:val="00CF4E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463830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87844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211205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092208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156526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1911848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WITTE Nejdek, spol. s r.o.</properties:Company>
  <properties:Pages>2</properties:Pages>
  <properties:Words>458</properties:Words>
  <properties:Characters>2705</properties:Characters>
  <properties:Lines>22</properties:Lines>
  <properties:Paragraphs>6</properties:Paragraphs>
  <properties:TotalTime>30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3157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2021-12-16T13:43:00Z</dcterms:created>
  <dc:creator/>
  <cp:lastModifiedBy/>
  <cp:lastPrinted>2019-03-27T09:14:00Z</cp:lastPrinted>
  <dcterms:modified xmlns:xsi="http://www.w3.org/2001/XMLSchema-instance" xsi:type="dcterms:W3CDTF">2022-01-03T11:15:00Z</dcterms:modified>
  <cp:revision>7</cp:revision>
</cp:coreProperties>
</file>