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53AA4" w:rsidP="00464683" w:rsidRDefault="00553AA4" w14:paraId="4492597E" w14:textId="082685A8">
      <w:pPr>
        <w:autoSpaceDE w:val="false"/>
        <w:autoSpaceDN w:val="false"/>
        <w:adjustRightInd w:val="false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bookmarkStart w:name="_Hlk25224823" w:id="0"/>
      <w:r w:rsidR="00464683">
        <w:rPr>
          <w:rFonts w:ascii="Arial" w:hAnsi="Arial" w:cs="Arial"/>
          <w:b/>
          <w:sz w:val="20"/>
          <w:u w:val="single"/>
        </w:rPr>
        <w:t xml:space="preserve">Doplňující informace k zadávací dokumentaci v rámci výběrového řízení </w:t>
      </w:r>
      <w:r w:rsidRPr="00464683" w:rsidR="00464683">
        <w:rPr>
          <w:rFonts w:ascii="Arial" w:hAnsi="Arial" w:cs="Arial"/>
          <w:b/>
          <w:sz w:val="20"/>
          <w:u w:val="single"/>
        </w:rPr>
        <w:t>„V 00548B – Automatizace a inovace pro město Hustopeče – dodávka POB – nové vyhlášení“</w:t>
      </w:r>
    </w:p>
    <w:bookmarkEnd w:id="0"/>
    <w:p w:rsidR="00464683" w:rsidP="001956A4" w:rsidRDefault="00464683" w14:paraId="3D444561" w14:textId="7714A53D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Zadavatel </w:t>
      </w:r>
      <w:bookmarkStart w:name="_Hlk76721943" w:id="1"/>
      <w:r w:rsidRPr="004429A6">
        <w:rPr>
          <w:rFonts w:ascii="Arial" w:hAnsi="Arial" w:cs="Arial"/>
          <w:b/>
          <w:bCs/>
          <w:sz w:val="20"/>
          <w:szCs w:val="20"/>
        </w:rPr>
        <w:t>Město Hustopeče</w:t>
      </w:r>
      <w:bookmarkEnd w:id="1"/>
      <w:r>
        <w:rPr>
          <w:rFonts w:ascii="Arial" w:hAnsi="Arial" w:cs="Arial"/>
          <w:bCs/>
          <w:sz w:val="20"/>
        </w:rPr>
        <w:t xml:space="preserve">, se sídlem </w:t>
      </w:r>
      <w:bookmarkStart w:name="_Hlk76721955" w:id="2"/>
      <w:r w:rsidRPr="004F187F">
        <w:rPr>
          <w:rFonts w:ascii="Arial" w:hAnsi="Arial" w:cs="Arial"/>
          <w:sz w:val="20"/>
          <w:szCs w:val="20"/>
        </w:rPr>
        <w:t>Dukelské nám. 2/2</w:t>
      </w:r>
      <w:r w:rsidRPr="009734B4">
        <w:rPr>
          <w:rFonts w:ascii="Arial" w:hAnsi="Arial" w:cs="Arial"/>
          <w:sz w:val="20"/>
          <w:szCs w:val="20"/>
        </w:rPr>
        <w:t xml:space="preserve">, </w:t>
      </w:r>
      <w:r w:rsidRPr="004F187F">
        <w:rPr>
          <w:rFonts w:ascii="Arial" w:hAnsi="Arial" w:cs="Arial"/>
          <w:sz w:val="20"/>
          <w:szCs w:val="20"/>
        </w:rPr>
        <w:t>693 01</w:t>
      </w:r>
      <w:r>
        <w:rPr>
          <w:rFonts w:ascii="Arial" w:hAnsi="Arial" w:cs="Arial"/>
          <w:sz w:val="20"/>
          <w:szCs w:val="20"/>
        </w:rPr>
        <w:t xml:space="preserve"> Hustopeče</w:t>
      </w:r>
      <w:bookmarkEnd w:id="2"/>
      <w:r>
        <w:rPr>
          <w:rFonts w:ascii="Arial" w:hAnsi="Arial" w:cs="Arial"/>
          <w:bCs/>
          <w:sz w:val="20"/>
        </w:rPr>
        <w:t xml:space="preserve">, IČO: </w:t>
      </w:r>
      <w:bookmarkStart w:name="_Hlk76721947" w:id="3"/>
      <w:r w:rsidRPr="004F187F">
        <w:rPr>
          <w:rFonts w:ascii="Arial" w:hAnsi="Arial" w:cs="Arial"/>
          <w:sz w:val="20"/>
          <w:szCs w:val="20"/>
        </w:rPr>
        <w:t>00283193</w:t>
      </w:r>
      <w:bookmarkEnd w:id="3"/>
      <w:r>
        <w:rPr>
          <w:rFonts w:ascii="Arial" w:hAnsi="Arial" w:cs="Arial"/>
          <w:sz w:val="20"/>
          <w:szCs w:val="20"/>
        </w:rPr>
        <w:t xml:space="preserve"> obdržel v rámci předchozího výběrového řízen</w:t>
      </w:r>
      <w:r w:rsidR="00F93FA4">
        <w:rPr>
          <w:rFonts w:ascii="Arial" w:hAnsi="Arial" w:cs="Arial"/>
          <w:sz w:val="20"/>
          <w:szCs w:val="20"/>
        </w:rPr>
        <w:t xml:space="preserve">í </w:t>
      </w:r>
      <w:r>
        <w:rPr>
          <w:rFonts w:ascii="Arial" w:hAnsi="Arial" w:cs="Arial"/>
          <w:sz w:val="20"/>
          <w:szCs w:val="20"/>
        </w:rPr>
        <w:t xml:space="preserve">s názvem </w:t>
      </w:r>
      <w:bookmarkStart w:name="_Hlk76721913" w:id="4"/>
      <w:r w:rsidRPr="00464683">
        <w:rPr>
          <w:rFonts w:ascii="Arial" w:hAnsi="Arial" w:cs="Arial"/>
          <w:b/>
          <w:bCs/>
          <w:sz w:val="20"/>
          <w:szCs w:val="20"/>
        </w:rPr>
        <w:t>„V 00548B – Automatizace a inovace pro město Hustopeče – dodávka POB</w:t>
      </w:r>
      <w:bookmarkEnd w:id="4"/>
      <w:r>
        <w:rPr>
          <w:rFonts w:ascii="Arial" w:hAnsi="Arial" w:cs="Arial"/>
          <w:b/>
          <w:bCs/>
          <w:sz w:val="20"/>
          <w:szCs w:val="20"/>
        </w:rPr>
        <w:t>“</w:t>
      </w:r>
      <w:r w:rsidR="00F93FA4">
        <w:rPr>
          <w:rFonts w:ascii="Arial" w:hAnsi="Arial" w:cs="Arial"/>
          <w:sz w:val="20"/>
          <w:szCs w:val="20"/>
        </w:rPr>
        <w:t>, které bylo vyhlášeno na stejný předmět plnění,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dotazy k zadávací dokumentaci, na které ale již nebylo odpovězeno z důvodu zrušení </w:t>
      </w:r>
      <w:r w:rsidR="00FF2F9B">
        <w:rPr>
          <w:rFonts w:ascii="Arial" w:hAnsi="Arial" w:cs="Arial"/>
          <w:sz w:val="20"/>
          <w:szCs w:val="20"/>
        </w:rPr>
        <w:t>tohoto předchozího</w:t>
      </w:r>
      <w:r>
        <w:rPr>
          <w:rFonts w:ascii="Arial" w:hAnsi="Arial" w:cs="Arial"/>
          <w:sz w:val="20"/>
          <w:szCs w:val="20"/>
        </w:rPr>
        <w:t xml:space="preserve"> řízení. Aby zadavatel předešel </w:t>
      </w:r>
      <w:r w:rsidR="00F93FA4">
        <w:rPr>
          <w:rFonts w:ascii="Arial" w:hAnsi="Arial" w:cs="Arial"/>
          <w:sz w:val="20"/>
          <w:szCs w:val="20"/>
        </w:rPr>
        <w:t>zopakování vznesených dotazů i v rámci tohoto opětovně vyhlášeného řízení, tak v rámci doplnění informací k zadávací dokumentaci uvádí i tyto dotazy z předchozího řízení a uvádí k nim i odpovědi objasňující danou situaci.</w:t>
      </w:r>
    </w:p>
    <w:p w:rsidRPr="00464683" w:rsidR="00F3003C" w:rsidP="001956A4" w:rsidRDefault="00F3003C" w14:paraId="138A87F5" w14:textId="77777777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bookmarkStart w:name="_GoBack" w:id="5"/>
      <w:bookmarkEnd w:id="5"/>
    </w:p>
    <w:p w:rsidRPr="007D4160" w:rsidR="007D4160" w:rsidP="001956A4" w:rsidRDefault="007D4160" w14:paraId="4AD8606A" w14:textId="27CEA2B2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:rsidRPr="00F93FA4" w:rsidR="00F93FA4" w:rsidP="00F93FA4" w:rsidRDefault="00F93FA4" w14:paraId="1CC0C2DC" w14:textId="6E13FEF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93FA4">
        <w:rPr>
          <w:rFonts w:ascii="Arial" w:hAnsi="Arial" w:cs="Arial"/>
          <w:sz w:val="20"/>
          <w:szCs w:val="20"/>
        </w:rPr>
        <w:t xml:space="preserve">V článku 12 smlouvy o dílo uvádíte, že zhotovitel má pro účely ochrany osobních údajů postavení zpracovatele osobních údajů ve smyslu GDPR a k tomu jsou stanoveny související povinnosti. Tato formulace se nám nezdá správná, neboť při dodávce informačního systému a poskytování podpory k němu nemůže být zhotovitel považován za zpracovatele osobních údajů ve smyslu GDPR, jeho hlavní činností není zpracování osobních údajů obsažených v informačním systému, ale právě dodávka IS a poskytování služeb podpory. V případě nahodilého styku zhotovitele s osobními údaji zpracovávanými zadavatelem jako správcem, není zhotovitel považován za zpracovatele osobních údajů – viz https://www.uoou.cz/zpracovatel/d-29316/p1=5855. </w:t>
      </w:r>
    </w:p>
    <w:p w:rsidR="00F93FA4" w:rsidP="00F93FA4" w:rsidRDefault="00F93FA4" w14:paraId="02C30746" w14:textId="77777777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3FA4">
        <w:rPr>
          <w:rFonts w:ascii="Arial" w:hAnsi="Arial" w:cs="Arial"/>
          <w:b/>
          <w:bCs/>
          <w:sz w:val="20"/>
          <w:szCs w:val="20"/>
        </w:rPr>
        <w:t xml:space="preserve">Z jakého důvodu je ze strany zadavatele zhotovitel bez dalšího považován za zpracovatele osobních údajů, když z plnění předmětu smlouvy nevyplývá, že by měl nakládat s osobními údaji? </w:t>
      </w:r>
    </w:p>
    <w:p w:rsidRPr="007D4160" w:rsidR="00182F8A" w:rsidP="00F93FA4" w:rsidRDefault="007D4160" w14:paraId="68248A27" w14:textId="1761172E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="00FF2F9B" w:rsidP="00FF2F9B" w:rsidRDefault="00FF2F9B" w14:paraId="44C4EBEF" w14:textId="77777777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Zpracování osobních údajů sice není hlavní činností dodavatele informačního systému, nicméně v rámci jeho dodání budou dodavateli předávány zadavatelem (správcem osobních údajů) osobní údaje osob (zaměstnanců zadavatele) v rámci nastavení dodávaného systému (přístupů, oprávnění, agendy, apod.). Z tohoto titulu bude dodavatel v pozici zpracovatele osobních údajů ve smyslu GDPR.</w:t>
      </w:r>
    </w:p>
    <w:p w:rsidR="003E26F6" w:rsidP="001956A4" w:rsidRDefault="003E26F6" w14:paraId="131AB169" w14:textId="77777777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:rsidRPr="007D4160" w:rsidR="00BC4E75" w:rsidP="001956A4" w:rsidRDefault="00BC4E75" w14:paraId="0E5C85C7" w14:textId="2680F480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2:</w:t>
      </w:r>
    </w:p>
    <w:p w:rsidRPr="00FF2F9B" w:rsidR="00FF2F9B" w:rsidP="00FF2F9B" w:rsidRDefault="00FF2F9B" w14:paraId="049EDF2C" w14:textId="77777777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F2F9B">
        <w:rPr>
          <w:rFonts w:ascii="Arial" w:hAnsi="Arial" w:cs="Arial"/>
          <w:sz w:val="20"/>
          <w:szCs w:val="20"/>
        </w:rPr>
        <w:t>Smlouva o dílo je dle názvu a téměř celého jejího textu koncipována jako smlouva o dílo. V předmětu smlouvy se hovoří pouze o dodávce IS a až v jiných ustanoveních je zmínka o technické podpoře. Dále v článku o ceně jsou k doplnění dvě položky – jedna za dodávku POB a druhá za 1 rok technické podpory, pak celková cena. Pokud má být předmětem smlouvy i poskytování technické podpory, mělo by toto zaznít v předmětu smlouvy. Navíc v čl. 10, který mimo jiné stanovuje záruční dobu díla v délce 36 měsíců, která počíná běžet následujícím dnem po ukončení zkušebního provozu jednotlivých částí díla a předání do rutinního provozu (podpis Předávacího protokolu celého díla), je upraveno i poskytování technické podpory na dobu určitou – 1 rok – a tato technická podpora má být poskytována od podpisu předávacího protokolu a uvedení do provozu. Dle čl. 10.6 se technickou podporou rozumí</w:t>
      </w:r>
      <w:r>
        <w:rPr>
          <w:rFonts w:ascii="Arial" w:hAnsi="Arial" w:cs="Arial"/>
          <w:sz w:val="20"/>
          <w:szCs w:val="20"/>
        </w:rPr>
        <w:t xml:space="preserve"> </w:t>
      </w:r>
      <w:r w:rsidRPr="00FF2F9B">
        <w:rPr>
          <w:rFonts w:ascii="Arial" w:hAnsi="Arial" w:cs="Arial"/>
          <w:sz w:val="20"/>
          <w:szCs w:val="20"/>
        </w:rPr>
        <w:t xml:space="preserve">příjem požadavků na opravu a rozvoj prostřednictvím </w:t>
      </w:r>
      <w:proofErr w:type="spellStart"/>
      <w:r w:rsidRPr="00FF2F9B">
        <w:rPr>
          <w:rFonts w:ascii="Arial" w:hAnsi="Arial" w:cs="Arial"/>
          <w:sz w:val="20"/>
          <w:szCs w:val="20"/>
        </w:rPr>
        <w:t>service</w:t>
      </w:r>
      <w:proofErr w:type="spellEnd"/>
      <w:r w:rsidRPr="00FF2F9B">
        <w:rPr>
          <w:rFonts w:ascii="Arial" w:hAnsi="Arial" w:cs="Arial"/>
          <w:sz w:val="20"/>
          <w:szCs w:val="20"/>
        </w:rPr>
        <w:t xml:space="preserve"> desku, realizace řešení incidentů a požadavků na rozvoj.</w:t>
      </w:r>
    </w:p>
    <w:p w:rsidRPr="00FF2F9B" w:rsidR="001176F9" w:rsidP="00FF2F9B" w:rsidRDefault="00FF2F9B" w14:paraId="237DF03E" w14:textId="5DE45A4C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F2F9B">
        <w:rPr>
          <w:rFonts w:ascii="Arial" w:hAnsi="Arial" w:cs="Arial"/>
          <w:b/>
          <w:bCs/>
          <w:sz w:val="20"/>
          <w:szCs w:val="20"/>
        </w:rPr>
        <w:t>Nemělo by být tedy poskytování technické podpory uvedeno v předmětu smlouvy o dílo? Může zadavatel vysvětlit, zda technická podpora opravdu běží souběžně se záruční dobou, pouze se vztahuje na jiné služby, které jsou uvedeny v čl. 10.6 a na ostatní opravy vad se použije „neplacená“ záruční doba?</w:t>
      </w:r>
    </w:p>
    <w:p w:rsidRPr="007D4160" w:rsidR="00BC4E75" w:rsidP="001956A4" w:rsidRDefault="00BC4E75" w14:paraId="188C3C9D" w14:textId="3C308FDE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="00FF2F9B" w:rsidP="00FF2F9B" w:rsidRDefault="00FF2F9B" w14:paraId="768DC102" w14:textId="4CCE728A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Uvedení technické podpory do předmětu smlouvy není nutné, smluvní vztah se řídí dle obsahu celé smlouvy. A ano, technická podpora běží souběžně se záruční dobou a principiálně se vztahuje na jiné služby, než opravu vad plnění</w:t>
      </w:r>
      <w:r w:rsidR="0067797D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492FDE" w:rsidP="001956A4" w:rsidRDefault="00492FDE" w14:paraId="4AECAA14" w14:textId="270CEC47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</w:pPr>
    </w:p>
    <w:p w:rsidR="00F3003C" w:rsidRDefault="00F3003C" w14:paraId="1C44B96F" w14:textId="77777777">
      <w:pPr>
        <w:rPr>
          <w:rFonts w:ascii="Arial" w:hAnsi="Arial" w:cs="Arial" w:eastAsiaTheme="minorHAnsi"/>
          <w:b/>
          <w:bCs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br w:type="page"/>
      </w:r>
    </w:p>
    <w:p w:rsidR="0067797D" w:rsidP="0067797D" w:rsidRDefault="0067797D" w14:paraId="2E9052F8" w14:textId="1FD728CB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>Dotaz 3:</w:t>
      </w:r>
    </w:p>
    <w:p w:rsidRPr="0067797D" w:rsidR="0067797D" w:rsidP="0067797D" w:rsidRDefault="0067797D" w14:paraId="212780C8" w14:textId="77777777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67797D">
        <w:rPr>
          <w:rFonts w:ascii="Arial" w:hAnsi="Arial" w:cs="Arial"/>
          <w:iCs/>
          <w:sz w:val="20"/>
          <w:szCs w:val="20"/>
        </w:rPr>
        <w:t xml:space="preserve">Ve smlouvě je článek 13 s názvem „Doba trvání smlouvy, ukončení smlouvy“, avšak v tomto článku není doba trvání smlouvy nikde uvedena. </w:t>
      </w:r>
    </w:p>
    <w:p w:rsidR="0067797D" w:rsidP="0067797D" w:rsidRDefault="0067797D" w14:paraId="316BE9B9" w14:textId="038444A3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67797D">
        <w:rPr>
          <w:rFonts w:ascii="Arial" w:hAnsi="Arial" w:cs="Arial"/>
          <w:b/>
          <w:bCs/>
          <w:iCs/>
          <w:sz w:val="20"/>
          <w:szCs w:val="20"/>
        </w:rPr>
        <w:t>Na jakou dobu je tedy smlouva uzavřena, když provedení díla je jednorázovou neopakující se činností a služby technické podpory mají být poskytovány pouze 1 rok?</w:t>
      </w:r>
    </w:p>
    <w:p w:rsidR="0067797D" w:rsidP="0067797D" w:rsidRDefault="0067797D" w14:paraId="13F2308E" w14:textId="77777777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:rsidRPr="0067797D" w:rsidR="00F71DCC" w:rsidP="0067797D" w:rsidRDefault="0067797D" w14:paraId="4DFC5326" w14:textId="36752F20">
      <w:pPr>
        <w:pStyle w:val="Default"/>
        <w:spacing w:line="30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Název článku je myšlen ve smyslu možností ukončení trvání smlouvy. Co se týká doby trvání, tak je to přesně jak uvádíte, tj. jde o jednorázovou neopakující se činnost, tj. jde o smlouvu na dobu určitou končící uplynutím 1 roku poskytování technické podpory.</w:t>
      </w:r>
    </w:p>
    <w:sectPr w:rsidRPr="0067797D" w:rsidR="00F71DCC" w:rsidSect="00F3003C">
      <w:headerReference w:type="default" r:id="rId8"/>
      <w:footerReference w:type="default" r:id="rId9"/>
      <w:pgSz w:w="11906" w:h="16838"/>
      <w:pgMar w:top="1790" w:right="720" w:bottom="1418" w:left="720" w:header="708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51710" w:rsidP="00B634F5" w:rsidRDefault="00951710" w14:paraId="37508F44" w14:textId="77777777">
      <w:pPr>
        <w:spacing w:after="0" w:line="240" w:lineRule="auto"/>
      </w:pPr>
      <w:r>
        <w:separator/>
      </w:r>
    </w:p>
  </w:endnote>
  <w:endnote w:type="continuationSeparator" w:id="0">
    <w:p w:rsidR="00951710" w:rsidP="00B634F5" w:rsidRDefault="00951710" w14:paraId="7698F1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3003C" w:rsidP="00F3003C" w:rsidRDefault="00F3003C" w14:paraId="6D615DDE" w14:textId="77777777">
    <w:pPr>
      <w:spacing w:after="0"/>
      <w:jc w:val="right"/>
      <w:rPr>
        <w:rFonts w:cs="Calibri"/>
        <w:b/>
        <w:sz w:val="18"/>
      </w:rPr>
    </w:pPr>
    <w:r w:rsidRPr="00FE52EF">
      <w:rPr>
        <w:sz w:val="18"/>
      </w:rPr>
      <w:t xml:space="preserve">název zakázky: </w:t>
    </w:r>
    <w:r w:rsidRPr="00FE52EF">
      <w:rPr>
        <w:rFonts w:cs="Calibri"/>
        <w:b/>
        <w:sz w:val="18"/>
      </w:rPr>
      <w:t>V 00548B – Automatizace a inovace pro město Hustopeče – dodávka POB</w:t>
    </w:r>
    <w:r>
      <w:rPr>
        <w:rFonts w:cs="Calibri"/>
        <w:b/>
        <w:sz w:val="18"/>
      </w:rPr>
      <w:t xml:space="preserve"> – nové vyhlášení</w:t>
    </w:r>
  </w:p>
  <w:p w:rsidRPr="00F3003C" w:rsidR="00F3003C" w:rsidP="00F3003C" w:rsidRDefault="00F3003C" w14:paraId="5BBCBFDF" w14:textId="4B5B0CE0">
    <w:pPr>
      <w:spacing w:after="0"/>
      <w:jc w:val="right"/>
      <w:rPr>
        <w:sz w:val="18"/>
      </w:rPr>
    </w:pPr>
    <w:r w:rsidRPr="00FE52EF">
      <w:rPr>
        <w:rFonts w:cs="Calibri"/>
        <w:sz w:val="18"/>
      </w:rPr>
      <w:t>název projektu:</w:t>
    </w:r>
    <w:r w:rsidRPr="00FE52EF">
      <w:rPr>
        <w:rFonts w:cs="Calibri"/>
        <w:b/>
        <w:sz w:val="18"/>
      </w:rPr>
      <w:t xml:space="preserve"> Automatizace a inovace pro město Hustopeče</w:t>
    </w:r>
    <w:r w:rsidRPr="00FE52EF">
      <w:rPr>
        <w:rFonts w:cs="Calibri"/>
        <w:sz w:val="18"/>
      </w:rPr>
      <w:t xml:space="preserve"> </w:t>
    </w:r>
  </w:p>
  <w:p w:rsidRPr="00FE52EF" w:rsidR="00F3003C" w:rsidP="00F3003C" w:rsidRDefault="00F3003C" w14:paraId="7319B8A2" w14:textId="77777777">
    <w:pPr>
      <w:pStyle w:val="Zpat"/>
      <w:jc w:val="right"/>
      <w:rPr>
        <w:rFonts w:cs="Calibri"/>
        <w:sz w:val="18"/>
      </w:rPr>
    </w:pPr>
    <w:r w:rsidRPr="00FE52EF">
      <w:rPr>
        <w:rFonts w:cs="Calibri"/>
        <w:sz w:val="18"/>
      </w:rPr>
      <w:t xml:space="preserve">registrační číslo: </w:t>
    </w:r>
    <w:r w:rsidRPr="00FE52EF">
      <w:rPr>
        <w:rFonts w:cs="Calibri"/>
        <w:b/>
        <w:sz w:val="18"/>
      </w:rPr>
      <w:t>CZ.03.4.74/0.0/0.0/19_109/0016661</w:t>
    </w:r>
  </w:p>
  <w:p w:rsidR="00F3003C" w:rsidRDefault="00F3003C" w14:paraId="11C93C7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51710" w:rsidP="00B634F5" w:rsidRDefault="00951710" w14:paraId="64BD5013" w14:textId="77777777">
      <w:pPr>
        <w:spacing w:after="0" w:line="240" w:lineRule="auto"/>
      </w:pPr>
      <w:r>
        <w:separator/>
      </w:r>
    </w:p>
  </w:footnote>
  <w:footnote w:type="continuationSeparator" w:id="0">
    <w:p w:rsidR="00951710" w:rsidP="00B634F5" w:rsidRDefault="00951710" w14:paraId="54DC78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3003C" w:rsidRDefault="00F3003C" w14:paraId="1CE1FAA2" w14:textId="552A2F04">
    <w:pPr>
      <w:pStyle w:val="Zhlav"/>
    </w:pPr>
    <w:r>
      <w:rPr>
        <w:noProof/>
        <w:lang w:eastAsia="cs-CZ"/>
      </w:rPr>
      <w:drawing>
        <wp:inline distT="0" distB="0" distL="0" distR="0">
          <wp:extent cx="2628900" cy="541020"/>
          <wp:effectExtent l="0" t="0" r="0" b="0"/>
          <wp:docPr id="23" name="Obrázek 23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8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2pt" id="_x0000_i1040" o:bullet="t">
        <v:imagedata o:title="kostky" r:id="rId1"/>
      </v:shape>
    </w:pict>
  </w:numPicBullet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true">
      <w:start w:val="1"/>
      <w:numFmt w:val="lowerRoman"/>
      <w:lvlText w:val="%3."/>
      <w:lvlJc w:val="right"/>
      <w:pPr>
        <w:ind w:left="2160" w:hanging="180"/>
      </w:pPr>
    </w:lvl>
    <w:lvl w:ilvl="3" w:tplc="2B108D7A" w:tentative="true">
      <w:start w:val="1"/>
      <w:numFmt w:val="decimal"/>
      <w:lvlText w:val="%4."/>
      <w:lvlJc w:val="left"/>
      <w:pPr>
        <w:ind w:left="2880" w:hanging="360"/>
      </w:pPr>
    </w:lvl>
    <w:lvl w:ilvl="4" w:tplc="0F34BC74" w:tentative="true">
      <w:start w:val="1"/>
      <w:numFmt w:val="lowerLetter"/>
      <w:lvlText w:val="%5."/>
      <w:lvlJc w:val="left"/>
      <w:pPr>
        <w:ind w:left="3600" w:hanging="360"/>
      </w:pPr>
    </w:lvl>
    <w:lvl w:ilvl="5" w:tplc="536E1C94" w:tentative="true">
      <w:start w:val="1"/>
      <w:numFmt w:val="lowerRoman"/>
      <w:lvlText w:val="%6."/>
      <w:lvlJc w:val="right"/>
      <w:pPr>
        <w:ind w:left="4320" w:hanging="180"/>
      </w:pPr>
    </w:lvl>
    <w:lvl w:ilvl="6" w:tplc="A168ABFA" w:tentative="true">
      <w:start w:val="1"/>
      <w:numFmt w:val="decimal"/>
      <w:lvlText w:val="%7."/>
      <w:lvlJc w:val="left"/>
      <w:pPr>
        <w:ind w:left="5040" w:hanging="360"/>
      </w:pPr>
    </w:lvl>
    <w:lvl w:ilvl="7" w:tplc="0750EE46" w:tentative="true">
      <w:start w:val="1"/>
      <w:numFmt w:val="lowerLetter"/>
      <w:lvlText w:val="%8."/>
      <w:lvlJc w:val="left"/>
      <w:pPr>
        <w:ind w:left="5760" w:hanging="360"/>
      </w:pPr>
    </w:lvl>
    <w:lvl w:ilvl="8" w:tplc="9DB0E794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4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false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9"/>
  </w:num>
  <w:num w:numId="5">
    <w:abstractNumId w:val="20"/>
  </w:num>
  <w:num w:numId="6">
    <w:abstractNumId w:val="5"/>
  </w:num>
  <w:num w:numId="7">
    <w:abstractNumId w:val="16"/>
  </w:num>
  <w:num w:numId="8">
    <w:abstractNumId w:val="30"/>
  </w:num>
  <w:num w:numId="9">
    <w:abstractNumId w:val="0"/>
  </w:num>
  <w:num w:numId="10">
    <w:abstractNumId w:val="26"/>
  </w:num>
  <w:num w:numId="11">
    <w:abstractNumId w:val="1"/>
  </w:num>
  <w:num w:numId="12">
    <w:abstractNumId w:val="18"/>
  </w:num>
  <w:num w:numId="13">
    <w:abstractNumId w:val="33"/>
  </w:num>
  <w:num w:numId="14">
    <w:abstractNumId w:val="1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  <w:num w:numId="22">
    <w:abstractNumId w:val="21"/>
  </w:num>
  <w:num w:numId="23">
    <w:abstractNumId w:val="13"/>
  </w:num>
  <w:num w:numId="24">
    <w:abstractNumId w:val="3"/>
  </w:num>
  <w:num w:numId="25">
    <w:abstractNumId w:val="27"/>
  </w:num>
  <w:num w:numId="26">
    <w:abstractNumId w:val="25"/>
  </w:num>
  <w:num w:numId="27">
    <w:abstractNumId w:val="11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 w:numId="32">
    <w:abstractNumId w:val="19"/>
  </w:num>
  <w:num w:numId="33">
    <w:abstractNumId w:val="31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C2"/>
    <w:rsid w:val="000018EE"/>
    <w:rsid w:val="00010176"/>
    <w:rsid w:val="00040D86"/>
    <w:rsid w:val="00047E93"/>
    <w:rsid w:val="0005123C"/>
    <w:rsid w:val="000550FE"/>
    <w:rsid w:val="00071C86"/>
    <w:rsid w:val="00075120"/>
    <w:rsid w:val="0008454A"/>
    <w:rsid w:val="00084AC4"/>
    <w:rsid w:val="000976FA"/>
    <w:rsid w:val="000D480B"/>
    <w:rsid w:val="000E3DC7"/>
    <w:rsid w:val="001023ED"/>
    <w:rsid w:val="00102B3F"/>
    <w:rsid w:val="001176F9"/>
    <w:rsid w:val="00121D0A"/>
    <w:rsid w:val="0012226C"/>
    <w:rsid w:val="00134EE0"/>
    <w:rsid w:val="001422AA"/>
    <w:rsid w:val="00147D60"/>
    <w:rsid w:val="00150D19"/>
    <w:rsid w:val="00167DEC"/>
    <w:rsid w:val="0017169A"/>
    <w:rsid w:val="00182F8A"/>
    <w:rsid w:val="0019068D"/>
    <w:rsid w:val="0019161C"/>
    <w:rsid w:val="001956A4"/>
    <w:rsid w:val="001A0AAF"/>
    <w:rsid w:val="001B16DE"/>
    <w:rsid w:val="001C07B3"/>
    <w:rsid w:val="001E1EDE"/>
    <w:rsid w:val="001E45EA"/>
    <w:rsid w:val="001E5F68"/>
    <w:rsid w:val="001F6913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87A7C"/>
    <w:rsid w:val="002948D8"/>
    <w:rsid w:val="002B4812"/>
    <w:rsid w:val="002B7B6B"/>
    <w:rsid w:val="002C1D01"/>
    <w:rsid w:val="002D5978"/>
    <w:rsid w:val="002D626C"/>
    <w:rsid w:val="002E01D0"/>
    <w:rsid w:val="002E2FCD"/>
    <w:rsid w:val="002E30E6"/>
    <w:rsid w:val="002E7D86"/>
    <w:rsid w:val="002F0BB8"/>
    <w:rsid w:val="003005E2"/>
    <w:rsid w:val="00303671"/>
    <w:rsid w:val="00313BEA"/>
    <w:rsid w:val="00357C58"/>
    <w:rsid w:val="00360305"/>
    <w:rsid w:val="003B5CF8"/>
    <w:rsid w:val="003E26F6"/>
    <w:rsid w:val="0041223A"/>
    <w:rsid w:val="00424C00"/>
    <w:rsid w:val="00442835"/>
    <w:rsid w:val="004525D2"/>
    <w:rsid w:val="00456E5C"/>
    <w:rsid w:val="00464683"/>
    <w:rsid w:val="00471116"/>
    <w:rsid w:val="00477D4C"/>
    <w:rsid w:val="004874EB"/>
    <w:rsid w:val="00491048"/>
    <w:rsid w:val="00492FDE"/>
    <w:rsid w:val="00496AA1"/>
    <w:rsid w:val="004A1D4D"/>
    <w:rsid w:val="004A2692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1396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7797D"/>
    <w:rsid w:val="0068157A"/>
    <w:rsid w:val="00681E72"/>
    <w:rsid w:val="006A3909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B1465"/>
    <w:rsid w:val="007C453B"/>
    <w:rsid w:val="007D2C1A"/>
    <w:rsid w:val="007D4160"/>
    <w:rsid w:val="007E347F"/>
    <w:rsid w:val="00811536"/>
    <w:rsid w:val="00815D73"/>
    <w:rsid w:val="00817B50"/>
    <w:rsid w:val="00826B80"/>
    <w:rsid w:val="00836CC9"/>
    <w:rsid w:val="008444E7"/>
    <w:rsid w:val="00845BCD"/>
    <w:rsid w:val="008877B5"/>
    <w:rsid w:val="008A06C4"/>
    <w:rsid w:val="008A7A16"/>
    <w:rsid w:val="008B20F3"/>
    <w:rsid w:val="008C12D0"/>
    <w:rsid w:val="008C2210"/>
    <w:rsid w:val="008C46B7"/>
    <w:rsid w:val="008C6162"/>
    <w:rsid w:val="008D4003"/>
    <w:rsid w:val="008D42BB"/>
    <w:rsid w:val="008E1F7E"/>
    <w:rsid w:val="008F2AB3"/>
    <w:rsid w:val="008F5447"/>
    <w:rsid w:val="009023B8"/>
    <w:rsid w:val="0091198D"/>
    <w:rsid w:val="00921023"/>
    <w:rsid w:val="00927AC1"/>
    <w:rsid w:val="0095015C"/>
    <w:rsid w:val="00951710"/>
    <w:rsid w:val="00951FEC"/>
    <w:rsid w:val="00955A9C"/>
    <w:rsid w:val="009739F9"/>
    <w:rsid w:val="00984F24"/>
    <w:rsid w:val="009A724C"/>
    <w:rsid w:val="009A79C1"/>
    <w:rsid w:val="009B6D22"/>
    <w:rsid w:val="009B76A3"/>
    <w:rsid w:val="009E688C"/>
    <w:rsid w:val="00A06663"/>
    <w:rsid w:val="00A10186"/>
    <w:rsid w:val="00A2082C"/>
    <w:rsid w:val="00A254FD"/>
    <w:rsid w:val="00A27FE3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96634"/>
    <w:rsid w:val="00AA4CB8"/>
    <w:rsid w:val="00AB7950"/>
    <w:rsid w:val="00AC5E04"/>
    <w:rsid w:val="00AC628B"/>
    <w:rsid w:val="00AD2932"/>
    <w:rsid w:val="00AD40DF"/>
    <w:rsid w:val="00AD6EDE"/>
    <w:rsid w:val="00AF743A"/>
    <w:rsid w:val="00B004FD"/>
    <w:rsid w:val="00B05F4D"/>
    <w:rsid w:val="00B16D0E"/>
    <w:rsid w:val="00B203DB"/>
    <w:rsid w:val="00B3008B"/>
    <w:rsid w:val="00B34361"/>
    <w:rsid w:val="00B5163B"/>
    <w:rsid w:val="00B524D5"/>
    <w:rsid w:val="00B5636B"/>
    <w:rsid w:val="00B634F5"/>
    <w:rsid w:val="00B91551"/>
    <w:rsid w:val="00B9167A"/>
    <w:rsid w:val="00BA576F"/>
    <w:rsid w:val="00BB7D0F"/>
    <w:rsid w:val="00BC4E75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A17BD"/>
    <w:rsid w:val="00CA1B48"/>
    <w:rsid w:val="00CC1284"/>
    <w:rsid w:val="00CC7AC7"/>
    <w:rsid w:val="00CD7749"/>
    <w:rsid w:val="00CE223F"/>
    <w:rsid w:val="00D00C10"/>
    <w:rsid w:val="00D12F19"/>
    <w:rsid w:val="00D5030C"/>
    <w:rsid w:val="00D535BD"/>
    <w:rsid w:val="00D602FE"/>
    <w:rsid w:val="00D61BB0"/>
    <w:rsid w:val="00D818E2"/>
    <w:rsid w:val="00D81AB6"/>
    <w:rsid w:val="00DB10E3"/>
    <w:rsid w:val="00DB28B1"/>
    <w:rsid w:val="00DD653A"/>
    <w:rsid w:val="00DF39E7"/>
    <w:rsid w:val="00E005FC"/>
    <w:rsid w:val="00E1113C"/>
    <w:rsid w:val="00E1507C"/>
    <w:rsid w:val="00E168E4"/>
    <w:rsid w:val="00E1761C"/>
    <w:rsid w:val="00E24CD5"/>
    <w:rsid w:val="00E25BD0"/>
    <w:rsid w:val="00E518E7"/>
    <w:rsid w:val="00E67BCB"/>
    <w:rsid w:val="00E75BCA"/>
    <w:rsid w:val="00E77EC6"/>
    <w:rsid w:val="00E93F08"/>
    <w:rsid w:val="00EA15EE"/>
    <w:rsid w:val="00EA5042"/>
    <w:rsid w:val="00EA6AA9"/>
    <w:rsid w:val="00ED1BA8"/>
    <w:rsid w:val="00EE1D6E"/>
    <w:rsid w:val="00EF1882"/>
    <w:rsid w:val="00F15B6A"/>
    <w:rsid w:val="00F2402C"/>
    <w:rsid w:val="00F3003C"/>
    <w:rsid w:val="00F3105B"/>
    <w:rsid w:val="00F35FFC"/>
    <w:rsid w:val="00F41641"/>
    <w:rsid w:val="00F51E2F"/>
    <w:rsid w:val="00F52B18"/>
    <w:rsid w:val="00F6312B"/>
    <w:rsid w:val="00F67611"/>
    <w:rsid w:val="00F6785D"/>
    <w:rsid w:val="00F71B4C"/>
    <w:rsid w:val="00F71DCC"/>
    <w:rsid w:val="00F71FA6"/>
    <w:rsid w:val="00F93FA4"/>
    <w:rsid w:val="00FB3607"/>
    <w:rsid w:val="00FB6024"/>
    <w:rsid w:val="00FC3B97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E1EDE"/>
    <w:rPr>
      <w:rFonts w:ascii="Calibri" w:hAnsi="Calibri" w:eastAsia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hAnsi="Arial" w:eastAsia="Times New Roman" w:cs="Arial"/>
      <w:b/>
      <w:bCs/>
      <w:iCs/>
      <w:color w:val="B00040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A724C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styleId="Default" w:customStyle="true">
    <w:name w:val="Default"/>
    <w:rsid w:val="00F2402C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styleId="CharChar2CharCharCharCharChar" w:customStyle="true">
    <w:name w:val="Char Char2 Char Char Char Char Char"/>
    <w:basedOn w:val="Normln"/>
    <w:rsid w:val="0068157A"/>
    <w:pPr>
      <w:spacing w:after="160" w:line="240" w:lineRule="exact"/>
    </w:pPr>
    <w:rPr>
      <w:rFonts w:ascii="Times New Roman Bold" w:hAnsi="Times New Roman Bold" w:eastAsia="Times New Roman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634F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634F5"/>
    <w:rPr>
      <w:rFonts w:ascii="Calibri" w:hAnsi="Calibri" w:eastAsia="Calibri" w:cs="Times New Roman"/>
    </w:rPr>
  </w:style>
  <w:style w:type="paragraph" w:styleId="odrakyrds" w:customStyle="true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hAnsi="Arial" w:eastAsia="Times New Roman" w:cs="Arial"/>
      <w:szCs w:val="24"/>
      <w:lang w:eastAsia="cs-CZ"/>
    </w:rPr>
  </w:style>
  <w:style w:type="character" w:styleId="Nadpis2Char" w:customStyle="true">
    <w:name w:val="Nadpis 2 Char"/>
    <w:basedOn w:val="Standardnpsmoodstavce"/>
    <w:uiPriority w:val="9"/>
    <w:semiHidden/>
    <w:rsid w:val="00CC7AC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2Char1" w:customStyle="true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hAnsi="Arial" w:eastAsia="Times New Roman" w:cs="Arial"/>
      <w:b/>
      <w:bCs/>
      <w:iCs/>
      <w:color w:val="B00040"/>
      <w:szCs w:val="28"/>
    </w:rPr>
  </w:style>
  <w:style w:type="paragraph" w:styleId="Textpsmene" w:customStyle="tru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stavecseseznamemChar" w:customStyle="true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hAnsi="Calibri" w:eastAsia="Calibri" w:cs="Times New Roman"/>
    </w:rPr>
  </w:style>
  <w:style w:type="paragraph" w:styleId="normalodsazene" w:customStyle="true">
    <w:name w:val="normalodsazene"/>
    <w:basedOn w:val="Normln"/>
    <w:rsid w:val="006E1672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0"/>
      <w:szCs w:val="24"/>
      <w:lang w:eastAsia="cs-CZ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styleId="Zdurazneny" w:customStyle="true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styleId="ruznytext" w:customStyle="true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7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79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A79C1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79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A79C1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946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398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133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136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952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34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6515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387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399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491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84101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82179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1635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63502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00068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716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0741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9862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5277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17528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3401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5223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1410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5496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9709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6988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796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36543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666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46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82643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732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8527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29505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593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9261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40399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8157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96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072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7192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73472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1746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0722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7590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5137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77587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3964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3601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266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9286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654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1700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326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9440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2433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8718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127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7087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8996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7369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5843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4403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4620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1519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4234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4810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8082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26921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80869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560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9008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28178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18005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0740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27649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692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1860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5042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18643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2245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6008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522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5894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0155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87680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1969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8214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09542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2013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35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38913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71154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9079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7305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4100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8320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8666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4602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5063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08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5885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9293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3441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8600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5472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10262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0059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07799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28252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46923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8771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24370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01FF5BD-0D48-400C-8D28-AA107BF1A50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608</properties:Words>
  <properties:Characters>3592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2022-04-13T11:28:00Z</dcterms:created>
  <dc:creator/>
  <cp:lastModifiedBy/>
  <cp:lastPrinted>2013-07-09T05:46:00Z</cp:lastPrinted>
  <dcterms:modified xmlns:xsi="http://www.w3.org/2001/XMLSchema-instance" xsi:type="dcterms:W3CDTF">2022-04-13T11:28:00Z</dcterms:modified>
  <cp:revision>2</cp:revision>
</cp:coreProperties>
</file>