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E50090" w:rsidR="005C6C32" w:rsidP="00D92737" w:rsidRDefault="005C6C32" w14:paraId="38938759" w14:textId="77777777">
      <w:pPr>
        <w:rPr>
          <w:b/>
          <w:sz w:val="24"/>
          <w:szCs w:val="24"/>
        </w:rPr>
      </w:pPr>
      <w:r w:rsidRPr="00E50090">
        <w:rPr>
          <w:b/>
          <w:sz w:val="24"/>
          <w:szCs w:val="24"/>
        </w:rPr>
        <w:t>Výzva k podání nabídek, na kterou se nevztahuje</w:t>
      </w:r>
      <w:r w:rsidRPr="00E50090" w:rsidR="00E14E40">
        <w:rPr>
          <w:b/>
          <w:sz w:val="24"/>
          <w:szCs w:val="24"/>
        </w:rPr>
        <w:t xml:space="preserve"> </w:t>
      </w:r>
      <w:r w:rsidR="00FA5DA8">
        <w:rPr>
          <w:b/>
          <w:sz w:val="24"/>
          <w:szCs w:val="24"/>
        </w:rPr>
        <w:t>postup pro zadávací řízení dle </w:t>
      </w:r>
      <w:r w:rsidRPr="00E50090">
        <w:rPr>
          <w:b/>
          <w:sz w:val="24"/>
          <w:szCs w:val="24"/>
        </w:rPr>
        <w:t xml:space="preserve">zákona č. </w:t>
      </w:r>
      <w:r w:rsidR="007E6E16">
        <w:rPr>
          <w:b/>
          <w:sz w:val="24"/>
          <w:szCs w:val="24"/>
        </w:rPr>
        <w:t>134/2016</w:t>
      </w:r>
      <w:r w:rsidRPr="00E50090">
        <w:rPr>
          <w:b/>
          <w:sz w:val="24"/>
          <w:szCs w:val="24"/>
        </w:rPr>
        <w:t>.</w:t>
      </w:r>
      <w:r w:rsidRPr="00E50090" w:rsidR="00FB60CE">
        <w:rPr>
          <w:b/>
          <w:sz w:val="24"/>
          <w:szCs w:val="24"/>
        </w:rPr>
        <w:t xml:space="preserve">, o </w:t>
      </w:r>
      <w:r w:rsidR="007E6E16">
        <w:rPr>
          <w:b/>
          <w:sz w:val="24"/>
          <w:szCs w:val="24"/>
        </w:rPr>
        <w:t xml:space="preserve">zadávání </w:t>
      </w:r>
      <w:r w:rsidRPr="00E50090" w:rsidR="00FB60CE">
        <w:rPr>
          <w:b/>
          <w:sz w:val="24"/>
          <w:szCs w:val="24"/>
        </w:rPr>
        <w:t>veřejných zakáz</w:t>
      </w:r>
      <w:r w:rsidR="007E6E16">
        <w:rPr>
          <w:b/>
          <w:sz w:val="24"/>
          <w:szCs w:val="24"/>
        </w:rPr>
        <w:t>e</w:t>
      </w:r>
      <w:r w:rsidRPr="00E50090" w:rsidR="00FB60CE">
        <w:rPr>
          <w:b/>
          <w:sz w:val="24"/>
          <w:szCs w:val="24"/>
        </w:rPr>
        <w:t>k</w:t>
      </w:r>
      <w:r w:rsidRPr="00E50090">
        <w:rPr>
          <w:b/>
          <w:sz w:val="24"/>
          <w:szCs w:val="24"/>
          <w:vertAlign w:val="superscript"/>
        </w:rPr>
        <w:footnoteReference w:id="1"/>
      </w:r>
    </w:p>
    <w:tbl>
      <w:tblPr>
        <w:tblW w:w="9072" w:type="dxa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9"/>
        <w:gridCol w:w="5738"/>
        <w:gridCol w:w="85"/>
      </w:tblGrid>
      <w:tr w:rsidRPr="00E50090" w:rsidR="005C6C32" w:rsidTr="0031547E" w14:paraId="6F4C869D" w14:textId="77777777">
        <w:trPr>
          <w:gridAfter w:val="1"/>
          <w:wAfter w:w="85" w:type="dxa"/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5C6C32" w14:paraId="0EBC2BF7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Číslo zakázky </w:t>
            </w:r>
            <w:r w:rsidRPr="00E50090">
              <w:t>(bude doplněno MPSV při uveřejnění)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A71240" w14:paraId="63EF52E8" w14:textId="64A32C1A">
            <w:pPr>
              <w:pStyle w:val="Tabulkatext"/>
              <w:rPr>
                <w:b/>
              </w:rPr>
            </w:pPr>
            <w:r>
              <w:rPr>
                <w:b/>
              </w:rPr>
              <w:t>14035</w:t>
            </w:r>
          </w:p>
        </w:tc>
      </w:tr>
      <w:tr w:rsidRPr="00E50090" w:rsidR="005C6C32" w:rsidTr="0031547E" w14:paraId="37E6DE9A" w14:textId="77777777">
        <w:trPr>
          <w:gridAfter w:val="1"/>
          <w:wAfter w:w="85" w:type="dxa"/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65D52A4C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Název </w:t>
            </w:r>
            <w:r w:rsidRPr="00E50090" w:rsidR="00E14E40">
              <w:rPr>
                <w:b/>
                <w:bCs/>
              </w:rPr>
              <w:t>zakázky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C30C17" w14:paraId="3DC489CA" w14:textId="4A5B62F4">
            <w:pPr>
              <w:pStyle w:val="Tabulkatext"/>
              <w:rPr>
                <w:b/>
              </w:rPr>
            </w:pPr>
            <w:r w:rsidRPr="00C30C17">
              <w:rPr>
                <w:b/>
              </w:rPr>
              <w:t>Dodávka 2ks elektronických úředních desek pro město Nový Jičín</w:t>
            </w:r>
          </w:p>
        </w:tc>
      </w:tr>
      <w:tr w:rsidRPr="00E50090" w:rsidR="005C6C32" w:rsidTr="0031547E" w14:paraId="1F9BB982" w14:textId="77777777">
        <w:trPr>
          <w:gridAfter w:val="1"/>
          <w:wAfter w:w="85" w:type="dxa"/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2EF69A14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CD0D19" w14:paraId="4581CCD4" w14:textId="5E0B94A1">
            <w:pPr>
              <w:pStyle w:val="Tabulkatext"/>
              <w:rPr>
                <w:b/>
              </w:rPr>
            </w:pPr>
            <w:r>
              <w:rPr>
                <w:b/>
              </w:rPr>
              <w:t>dodávka</w:t>
            </w:r>
          </w:p>
        </w:tc>
      </w:tr>
      <w:tr w:rsidRPr="00E50090" w:rsidR="005C6C32" w:rsidTr="0031547E" w14:paraId="2956563B" w14:textId="77777777">
        <w:trPr>
          <w:gridAfter w:val="1"/>
          <w:wAfter w:w="85" w:type="dxa"/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 w14:paraId="3428778F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Datum vyhlášení </w:t>
            </w:r>
            <w:r w:rsidRPr="00E50090" w:rsidR="004B48DE">
              <w:rPr>
                <w:b/>
                <w:bCs/>
              </w:rPr>
              <w:t>výzvy k podání nabídek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907FF8" w14:paraId="0F7F7FCB" w14:textId="62DFDFEC">
            <w:pPr>
              <w:pStyle w:val="Tabulkatext"/>
              <w:rPr>
                <w:b/>
              </w:rPr>
            </w:pPr>
            <w:proofErr w:type="gramStart"/>
            <w:r w:rsidRPr="00865598">
              <w:rPr>
                <w:b/>
              </w:rPr>
              <w:t>06</w:t>
            </w:r>
            <w:r w:rsidRPr="00865598" w:rsidR="00077641">
              <w:rPr>
                <w:b/>
              </w:rPr>
              <w:t>.0</w:t>
            </w:r>
            <w:r w:rsidRPr="00865598">
              <w:rPr>
                <w:b/>
              </w:rPr>
              <w:t>5</w:t>
            </w:r>
            <w:r w:rsidRPr="00865598" w:rsidR="00077641">
              <w:rPr>
                <w:b/>
              </w:rPr>
              <w:t>.2022</w:t>
            </w:r>
            <w:proofErr w:type="gramEnd"/>
          </w:p>
        </w:tc>
      </w:tr>
      <w:tr w:rsidRPr="00E50090" w:rsidR="005C6C32" w:rsidTr="0031547E" w14:paraId="3A2BB4DA" w14:textId="77777777">
        <w:trPr>
          <w:gridAfter w:val="1"/>
          <w:wAfter w:w="85" w:type="dxa"/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5C6C32" w:rsidP="00D92737" w:rsidRDefault="00E14E40" w14:paraId="7036D3D9" w14:textId="77777777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50090" w:rsidR="000C0FA8" w:rsidP="00D92737" w:rsidRDefault="00CD0D19" w14:paraId="026A1170" w14:textId="1F9DED86">
            <w:pPr>
              <w:pStyle w:val="Tabulkatext"/>
            </w:pPr>
            <w:r w:rsidRPr="00CD0D19">
              <w:t>CZ.03.4.74/0.0/0.0/19_109/0016813</w:t>
            </w:r>
          </w:p>
        </w:tc>
      </w:tr>
      <w:tr w:rsidRPr="00E50090" w:rsidR="005C6C32" w:rsidTr="0031547E" w14:paraId="00C1B15A" w14:textId="77777777">
        <w:trPr>
          <w:gridAfter w:val="1"/>
          <w:wAfter w:w="85" w:type="dxa"/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E14E40" w14:paraId="39C5EDC2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CD0D19" w14:paraId="793EFECB" w14:textId="58D41CF6">
            <w:pPr>
              <w:pStyle w:val="Tabulkatext"/>
              <w:rPr>
                <w:b/>
              </w:rPr>
            </w:pPr>
            <w:r w:rsidRPr="00CD0D19">
              <w:rPr>
                <w:b/>
              </w:rPr>
              <w:t xml:space="preserve">Efektivní veřejná </w:t>
            </w:r>
            <w:r w:rsidRPr="00CD0D19" w:rsidR="00B4247B">
              <w:rPr>
                <w:b/>
              </w:rPr>
              <w:t>správa – Město</w:t>
            </w:r>
            <w:r w:rsidRPr="00CD0D19">
              <w:rPr>
                <w:b/>
              </w:rPr>
              <w:t xml:space="preserve"> Nový Jičín</w:t>
            </w:r>
          </w:p>
        </w:tc>
      </w:tr>
      <w:tr w:rsidRPr="00E50090" w:rsidR="005C6C32" w:rsidTr="0031547E" w14:paraId="1028811F" w14:textId="77777777">
        <w:trPr>
          <w:gridAfter w:val="1"/>
          <w:wAfter w:w="85" w:type="dxa"/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21BD8A10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</w:t>
            </w:r>
            <w:r w:rsidRPr="00E50090" w:rsidR="00E14E40">
              <w:rPr>
                <w:b/>
                <w:bCs/>
              </w:rPr>
              <w:t>zev / obchodní firma zadavatele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5B4CD3" w14:paraId="7F663C69" w14:textId="4A6744E6">
            <w:pPr>
              <w:pStyle w:val="Tabulkatext"/>
            </w:pPr>
            <w:r>
              <w:t>Město Nový Jičín</w:t>
            </w:r>
          </w:p>
        </w:tc>
      </w:tr>
      <w:tr w:rsidRPr="00E50090" w:rsidR="005C6C32" w:rsidTr="0031547E" w14:paraId="05FDD09C" w14:textId="77777777">
        <w:trPr>
          <w:gridAfter w:val="1"/>
          <w:wAfter w:w="85" w:type="dxa"/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7CEE2C98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Sídlo </w:t>
            </w:r>
            <w:r w:rsidRPr="00E50090" w:rsidR="00E14E40">
              <w:rPr>
                <w:b/>
                <w:bCs/>
              </w:rPr>
              <w:t>zadavatele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5B4CD3" w14:paraId="5831B51C" w14:textId="31233861">
            <w:pPr>
              <w:pStyle w:val="Tabulkatext"/>
            </w:pPr>
            <w:r>
              <w:t>Masarykovo náměstí 1/1, 741 01 Nový Jičín</w:t>
            </w:r>
          </w:p>
        </w:tc>
      </w:tr>
      <w:tr w:rsidRPr="00E50090" w:rsidR="005C6C32" w:rsidTr="0031547E" w14:paraId="78149E77" w14:textId="77777777">
        <w:trPr>
          <w:gridAfter w:val="1"/>
          <w:wAfter w:w="85" w:type="dxa"/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5C6C32" w14:paraId="7538B78D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</w:t>
            </w:r>
            <w:r w:rsidRPr="00E50090" w:rsidR="00E14E40">
              <w:rPr>
                <w:b/>
                <w:bCs/>
              </w:rPr>
              <w:t xml:space="preserve">její telefon </w:t>
            </w:r>
            <w:r w:rsidRPr="00E50090" w:rsidR="00B3216D">
              <w:rPr>
                <w:b/>
                <w:bCs/>
              </w:rPr>
              <w:br/>
            </w:r>
            <w:r w:rsidRPr="00E50090" w:rsidR="00E14E40">
              <w:rPr>
                <w:b/>
                <w:bCs/>
              </w:rPr>
              <w:t>a e-mailová adresa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E50090" w:rsidR="005C6C32" w:rsidP="00D92737" w:rsidRDefault="00CD0D19" w14:paraId="1BE695FC" w14:textId="3D3FC678">
            <w:pPr>
              <w:pStyle w:val="Tabulkatext"/>
            </w:pPr>
            <w:r>
              <w:t>Mgr. Stanislav Kopecký, starosta</w:t>
            </w:r>
            <w:r>
              <w:br/>
              <w:t xml:space="preserve">tel.: </w:t>
            </w:r>
            <w:r w:rsidRPr="00CD0D19">
              <w:t>556 768</w:t>
            </w:r>
            <w:r>
              <w:t> </w:t>
            </w:r>
            <w:r w:rsidRPr="00CD0D19">
              <w:t>225</w:t>
            </w:r>
            <w:r>
              <w:t>, e-mail: stanislav.kopecky@novyjicin.cz</w:t>
            </w:r>
          </w:p>
        </w:tc>
      </w:tr>
      <w:tr w:rsidRPr="00E50090" w:rsidR="005C6C32" w:rsidTr="0031547E" w14:paraId="75EDD527" w14:textId="77777777">
        <w:trPr>
          <w:gridAfter w:val="1"/>
          <w:wAfter w:w="85" w:type="dxa"/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 w14:paraId="4A1024BB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</w:t>
            </w:r>
            <w:r w:rsidRPr="00E50090" w:rsidR="004B48DE">
              <w:rPr>
                <w:b/>
                <w:bCs/>
              </w:rPr>
              <w:t xml:space="preserve"> / DIČ zadavatele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5B4CD3" w14:paraId="685DEA2E" w14:textId="4284698F">
            <w:pPr>
              <w:pStyle w:val="Tabulkatext"/>
            </w:pPr>
            <w:r w:rsidRPr="00D515CF">
              <w:rPr>
                <w:szCs w:val="20"/>
              </w:rPr>
              <w:t>00298212</w:t>
            </w:r>
            <w:r>
              <w:rPr>
                <w:szCs w:val="20"/>
              </w:rPr>
              <w:t xml:space="preserve"> /</w:t>
            </w:r>
            <w:r w:rsidRPr="00D515CF">
              <w:rPr>
                <w:szCs w:val="20"/>
              </w:rPr>
              <w:t xml:space="preserve"> CZ00298212</w:t>
            </w:r>
          </w:p>
        </w:tc>
      </w:tr>
      <w:tr w:rsidRPr="00E50090" w:rsidR="005C6C32" w:rsidTr="0031547E" w14:paraId="3D742DFC" w14:textId="77777777">
        <w:trPr>
          <w:gridAfter w:val="1"/>
          <w:wAfter w:w="85" w:type="dxa"/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40172F55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5C6C32" w:rsidP="00D92737" w:rsidRDefault="005B4CD3" w14:paraId="547F9496" w14:textId="7DF472E2">
            <w:pPr>
              <w:pStyle w:val="Tabulkatext"/>
            </w:pPr>
            <w:r>
              <w:t>Ing. Jiří Kalinec, tel. 556 768 390,</w:t>
            </w:r>
            <w:r w:rsidR="0004253F">
              <w:br/>
            </w:r>
            <w:r>
              <w:t>email: jiri.kalinec@novyjicin.cz</w:t>
            </w:r>
          </w:p>
        </w:tc>
      </w:tr>
      <w:tr w:rsidRPr="00E50090" w:rsidR="005C6C32" w:rsidTr="0031547E" w14:paraId="7FA9A7DB" w14:textId="77777777">
        <w:trPr>
          <w:gridAfter w:val="1"/>
          <w:wAfter w:w="85" w:type="dxa"/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B3216D" w14:paraId="2D15012D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Lhůta pro podání nabídek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A9617E" w:rsidR="005C6C32" w:rsidP="00865598" w:rsidRDefault="00B4247B" w14:paraId="19DAF304" w14:textId="6C31F7CF">
            <w:pPr>
              <w:pStyle w:val="Tabulkatext"/>
              <w:rPr>
                <w:iCs/>
              </w:rPr>
            </w:pPr>
            <w:r w:rsidRPr="00865598">
              <w:rPr>
                <w:iCs/>
              </w:rPr>
              <w:t xml:space="preserve">Do </w:t>
            </w:r>
            <w:proofErr w:type="gramStart"/>
            <w:r w:rsidRPr="00865598" w:rsidR="00907FF8">
              <w:rPr>
                <w:iCs/>
              </w:rPr>
              <w:t>20</w:t>
            </w:r>
            <w:r w:rsidRPr="00865598" w:rsidR="00077641">
              <w:rPr>
                <w:iCs/>
              </w:rPr>
              <w:t>.05.2022</w:t>
            </w:r>
            <w:proofErr w:type="gramEnd"/>
            <w:r w:rsidRPr="00865598" w:rsidR="00077641">
              <w:rPr>
                <w:iCs/>
              </w:rPr>
              <w:t xml:space="preserve"> do </w:t>
            </w:r>
            <w:r w:rsidRPr="00865598" w:rsidR="00865598">
              <w:rPr>
                <w:iCs/>
              </w:rPr>
              <w:t>11</w:t>
            </w:r>
            <w:r w:rsidRPr="00865598" w:rsidR="00077641">
              <w:rPr>
                <w:iCs/>
              </w:rPr>
              <w:t>:</w:t>
            </w:r>
            <w:r w:rsidRPr="00865598" w:rsidR="00865598">
              <w:rPr>
                <w:iCs/>
              </w:rPr>
              <w:t>00</w:t>
            </w:r>
            <w:r w:rsidRPr="00865598" w:rsidR="00077641">
              <w:rPr>
                <w:iCs/>
              </w:rPr>
              <w:t xml:space="preserve"> hod</w:t>
            </w:r>
            <w:r w:rsidRPr="00A9617E" w:rsidR="005C6C32">
              <w:rPr>
                <w:iCs/>
              </w:rPr>
              <w:t xml:space="preserve"> </w:t>
            </w:r>
          </w:p>
        </w:tc>
      </w:tr>
      <w:tr w:rsidRPr="00E50090" w:rsidR="005C6C32" w:rsidTr="0031547E" w14:paraId="5284652F" w14:textId="77777777">
        <w:trPr>
          <w:gridAfter w:val="1"/>
          <w:wAfter w:w="85" w:type="dxa"/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2A9980BC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pro podání nabídek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8812F0" w14:paraId="5DEC6FA8" w14:textId="25314536">
            <w:pPr>
              <w:pStyle w:val="Tabulkatext"/>
            </w:pPr>
            <w:r w:rsidRPr="008812F0">
              <w:t>Nabídku včetně všech požadovaných příloh v uzavřené obálce výrazně označené slovy “Nabídkové řízení Dodávka 2ks elektronických úředních desek pro město Nový Jičín – NEOTVÍRAT”</w:t>
            </w:r>
            <w:r w:rsidR="00EE3F1E">
              <w:t xml:space="preserve">, </w:t>
            </w:r>
            <w:r w:rsidRPr="005B4CD3" w:rsidR="005B4CD3">
              <w:t xml:space="preserve">je možno </w:t>
            </w:r>
            <w:r w:rsidRPr="009572BE" w:rsidR="005B4CD3">
              <w:t>podat poštou na adresu sídla zadavatele</w:t>
            </w:r>
            <w:r w:rsidRPr="009572BE" w:rsidR="00EE3F1E">
              <w:t xml:space="preserve"> nebo osobně</w:t>
            </w:r>
            <w:r w:rsidRPr="009572BE" w:rsidR="005B4CD3">
              <w:t xml:space="preserve"> na podatelnu města Nový Jičín, </w:t>
            </w:r>
            <w:r w:rsidRPr="009572BE">
              <w:t>Divadelní 1</w:t>
            </w:r>
            <w:r w:rsidRPr="009572BE" w:rsidR="005B4CD3">
              <w:t xml:space="preserve">, Nový Jičín, a to ve dnech pondělí a středa od 8 do 17 hodin, úterý </w:t>
            </w:r>
            <w:r w:rsidRPr="009572BE">
              <w:t xml:space="preserve">a čtvrtek </w:t>
            </w:r>
            <w:r w:rsidRPr="009572BE" w:rsidR="005B4CD3">
              <w:t>v době od 8 do 14 hodin</w:t>
            </w:r>
            <w:r w:rsidRPr="009572BE">
              <w:t>, pátek v době od 8 do 11 hodin</w:t>
            </w:r>
            <w:r w:rsidRPr="009572BE" w:rsidR="005B4CD3">
              <w:t xml:space="preserve">. </w:t>
            </w:r>
            <w:r w:rsidRPr="009572BE" w:rsidR="008723CA">
              <w:t xml:space="preserve">Na obálce musí být uvedeno jméno a adresa odesílatele. </w:t>
            </w:r>
            <w:r w:rsidRPr="009572BE" w:rsidR="005B4CD3">
              <w:t>Nabídky doručené po skončení lhůty pro podání nabídek nebudou otvírány.</w:t>
            </w:r>
          </w:p>
        </w:tc>
      </w:tr>
      <w:tr w:rsidRPr="00E50090" w:rsidR="00E14E40" w:rsidTr="0031547E" w14:paraId="4A023574" w14:textId="77777777">
        <w:trPr>
          <w:gridAfter w:val="1"/>
          <w:wAfter w:w="85" w:type="dxa"/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 w14:paraId="3C2A9E28" w14:textId="77777777">
            <w:pPr>
              <w:pStyle w:val="Tabulkatext"/>
            </w:pPr>
            <w:r w:rsidRPr="00E50090">
              <w:rPr>
                <w:b/>
                <w:bCs/>
              </w:rPr>
              <w:t>Popis (specifikace) předmětu zakázky</w:t>
            </w:r>
          </w:p>
        </w:tc>
      </w:tr>
      <w:tr w:rsidRPr="00E50090" w:rsidR="00E14E40" w:rsidTr="0031547E" w14:paraId="41DD5659" w14:textId="77777777">
        <w:trPr>
          <w:gridAfter w:val="1"/>
          <w:wAfter w:w="85" w:type="dxa"/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E14E40" w:rsidP="00D92737" w:rsidRDefault="00D241EC" w14:paraId="253B3ADA" w14:textId="77777777">
            <w:pPr>
              <w:pStyle w:val="Tabulkatext"/>
              <w:rPr>
                <w:iCs/>
              </w:rPr>
            </w:pPr>
            <w:r w:rsidRPr="00D241EC">
              <w:rPr>
                <w:iCs/>
              </w:rPr>
              <w:t>Předmětem veřejné zakázky je:</w:t>
            </w:r>
          </w:p>
          <w:p w:rsidR="00D241EC" w:rsidP="002F5284" w:rsidRDefault="00D241EC" w14:paraId="65DDA3CE" w14:textId="5F769348">
            <w:pPr>
              <w:pStyle w:val="Tabulkatext"/>
              <w:numPr>
                <w:ilvl w:val="0"/>
                <w:numId w:val="29"/>
              </w:numPr>
              <w:rPr>
                <w:iCs/>
              </w:rPr>
            </w:pPr>
            <w:r w:rsidRPr="00D241EC">
              <w:rPr>
                <w:iCs/>
              </w:rPr>
              <w:t xml:space="preserve">dodávka </w:t>
            </w:r>
            <w:r>
              <w:rPr>
                <w:iCs/>
              </w:rPr>
              <w:t xml:space="preserve">2ks </w:t>
            </w:r>
            <w:r w:rsidRPr="00D241EC">
              <w:rPr>
                <w:iCs/>
              </w:rPr>
              <w:t>elektronické úřední desky</w:t>
            </w:r>
            <w:r>
              <w:rPr>
                <w:iCs/>
              </w:rPr>
              <w:t xml:space="preserve"> </w:t>
            </w:r>
            <w:r w:rsidR="00525BC9">
              <w:rPr>
                <w:iCs/>
              </w:rPr>
              <w:t>(dále jen EÚD)</w:t>
            </w:r>
            <w:r w:rsidR="00B4247B">
              <w:rPr>
                <w:iCs/>
              </w:rPr>
              <w:t xml:space="preserve"> </w:t>
            </w:r>
            <w:r>
              <w:rPr>
                <w:iCs/>
              </w:rPr>
              <w:t>v totožném provedení</w:t>
            </w:r>
            <w:r w:rsidRPr="00D241EC">
              <w:rPr>
                <w:iCs/>
              </w:rPr>
              <w:t xml:space="preserve"> (vč</w:t>
            </w:r>
            <w:r w:rsidR="009072BC">
              <w:rPr>
                <w:iCs/>
              </w:rPr>
              <w:t>etně</w:t>
            </w:r>
            <w:r w:rsidRPr="00D241EC">
              <w:rPr>
                <w:iCs/>
              </w:rPr>
              <w:t xml:space="preserve"> dopravy na místo plnění) a její osazení v místě plnění </w:t>
            </w:r>
            <w:r>
              <w:rPr>
                <w:iCs/>
              </w:rPr>
              <w:t>ve vestibulu radnice</w:t>
            </w:r>
            <w:r w:rsidRPr="00D241EC">
              <w:rPr>
                <w:iCs/>
              </w:rPr>
              <w:t xml:space="preserve"> městského úřadu</w:t>
            </w:r>
            <w:r w:rsidR="009072BC">
              <w:rPr>
                <w:iCs/>
              </w:rPr>
              <w:t xml:space="preserve"> s tím že vlastní jednotky budou umístněné uvnitř vestibulu a ovládací dotykový panel bude umístěn z venkovní strany v prostorech podloubí</w:t>
            </w:r>
            <w:r w:rsidRPr="00D241EC">
              <w:rPr>
                <w:iCs/>
              </w:rPr>
              <w:t xml:space="preserve">. </w:t>
            </w:r>
            <w:r w:rsidR="009D0C27">
              <w:rPr>
                <w:iCs/>
              </w:rPr>
              <w:t xml:space="preserve">Napojení EÚD na datový zdroj IS používaného Zadavatelem kterým je </w:t>
            </w:r>
            <w:r w:rsidR="00525BC9">
              <w:rPr>
                <w:iCs/>
              </w:rPr>
              <w:t xml:space="preserve">informační systém VERA. </w:t>
            </w:r>
            <w:r>
              <w:rPr>
                <w:iCs/>
              </w:rPr>
              <w:t>Konektivitu internetu (2x standartní zásuvka LAN) a napájení (2x standartní zásuvka 230V/10A)</w:t>
            </w:r>
            <w:r w:rsidRPr="00D241EC">
              <w:rPr>
                <w:iCs/>
              </w:rPr>
              <w:t xml:space="preserve"> zajistí </w:t>
            </w:r>
            <w:r w:rsidR="009072BC">
              <w:rPr>
                <w:iCs/>
              </w:rPr>
              <w:t xml:space="preserve">v prostorách vestibulu </w:t>
            </w:r>
            <w:r w:rsidRPr="00D241EC">
              <w:rPr>
                <w:iCs/>
              </w:rPr>
              <w:t>Zadavatel</w:t>
            </w:r>
            <w:r w:rsidR="00525BC9">
              <w:rPr>
                <w:iCs/>
              </w:rPr>
              <w:t>.</w:t>
            </w:r>
            <w:r w:rsidRPr="00D241EC">
              <w:rPr>
                <w:iCs/>
              </w:rPr>
              <w:t>,</w:t>
            </w:r>
          </w:p>
          <w:p w:rsidRPr="00C94312" w:rsidR="00B75A8B" w:rsidP="002F5284" w:rsidRDefault="00B75A8B" w14:paraId="3B237F27" w14:textId="43BAEAE3">
            <w:pPr>
              <w:pStyle w:val="Tabulkatext"/>
              <w:numPr>
                <w:ilvl w:val="0"/>
                <w:numId w:val="29"/>
              </w:numPr>
              <w:rPr>
                <w:iCs/>
              </w:rPr>
            </w:pPr>
            <w:r w:rsidRPr="00B75A8B">
              <w:rPr>
                <w:iCs/>
              </w:rPr>
              <w:t>zprovoznění elektronické úřední desky (napojení na datový zdroj</w:t>
            </w:r>
            <w:r w:rsidR="001968C1">
              <w:rPr>
                <w:iCs/>
              </w:rPr>
              <w:t xml:space="preserve">, připojení k síti LAN a ke </w:t>
            </w:r>
            <w:r w:rsidRPr="00B75A8B">
              <w:rPr>
                <w:iCs/>
              </w:rPr>
              <w:t>zdroj</w:t>
            </w:r>
            <w:r w:rsidR="001968C1">
              <w:rPr>
                <w:iCs/>
              </w:rPr>
              <w:t>i</w:t>
            </w:r>
            <w:r w:rsidRPr="00B75A8B">
              <w:rPr>
                <w:iCs/>
              </w:rPr>
              <w:t xml:space="preserve"> elektrické energie, oživení elektronické úřední desky a nastavení dle technické </w:t>
            </w:r>
            <w:r w:rsidRPr="00C94312">
              <w:rPr>
                <w:iCs/>
              </w:rPr>
              <w:t xml:space="preserve">specifikace </w:t>
            </w:r>
            <w:r w:rsidR="001968C1">
              <w:rPr>
                <w:iCs/>
              </w:rPr>
              <w:t>včetně jejího uvedení do plnohodnotného provozu</w:t>
            </w:r>
            <w:r w:rsidRPr="00C94312">
              <w:rPr>
                <w:iCs/>
              </w:rPr>
              <w:t>,</w:t>
            </w:r>
          </w:p>
          <w:p w:rsidR="00B75A8B" w:rsidP="002F5284" w:rsidRDefault="00B75A8B" w14:paraId="4D0A4BED" w14:textId="7B1A8473">
            <w:pPr>
              <w:pStyle w:val="Tabulkatext"/>
              <w:numPr>
                <w:ilvl w:val="0"/>
                <w:numId w:val="29"/>
              </w:numPr>
              <w:rPr>
                <w:iCs/>
              </w:rPr>
            </w:pPr>
            <w:r w:rsidRPr="00C94312">
              <w:rPr>
                <w:iCs/>
              </w:rPr>
              <w:t>administrátorské zaškolení a zaškolení obsluhy pro práci s jednotlivými zařízeními</w:t>
            </w:r>
            <w:r w:rsidRPr="00B75A8B">
              <w:rPr>
                <w:iCs/>
              </w:rPr>
              <w:t xml:space="preserve"> a softwarem v potřebném rozsahu (dále též </w:t>
            </w:r>
            <w:r w:rsidRPr="00B75A8B" w:rsidR="00C94312">
              <w:rPr>
                <w:iCs/>
              </w:rPr>
              <w:t>jen SW</w:t>
            </w:r>
            <w:r w:rsidRPr="00B75A8B">
              <w:rPr>
                <w:iCs/>
              </w:rPr>
              <w:t>“),</w:t>
            </w:r>
          </w:p>
          <w:p w:rsidR="00B75A8B" w:rsidP="002F5284" w:rsidRDefault="00B75A8B" w14:paraId="65AF3DEB" w14:textId="75C752E8">
            <w:pPr>
              <w:pStyle w:val="Tabulkatext"/>
              <w:numPr>
                <w:ilvl w:val="0"/>
                <w:numId w:val="29"/>
              </w:numPr>
              <w:rPr>
                <w:iCs/>
              </w:rPr>
            </w:pPr>
            <w:r w:rsidRPr="00B75A8B">
              <w:rPr>
                <w:iCs/>
              </w:rPr>
              <w:lastRenderedPageBreak/>
              <w:t>poskytnutí uživatelských licencí nutných k plnohodnotnému užívání zařízení, např. ve vztahu k ovládacímu SW,</w:t>
            </w:r>
          </w:p>
          <w:p w:rsidRPr="00B75A8B" w:rsidR="00B75A8B" w:rsidP="002F5284" w:rsidRDefault="00B75A8B" w14:paraId="1E69D30A" w14:textId="33348A94">
            <w:pPr>
              <w:pStyle w:val="Tabulkatext"/>
              <w:numPr>
                <w:ilvl w:val="0"/>
                <w:numId w:val="29"/>
              </w:numPr>
              <w:rPr>
                <w:iCs/>
              </w:rPr>
            </w:pPr>
            <w:r w:rsidRPr="00B75A8B">
              <w:rPr>
                <w:iCs/>
              </w:rPr>
              <w:t>zajištění všech nezbytných zkoušek, atestů a revizí podle ČSN a případných jiných právních nebo technických předpisů platných v době provádění a předání díla, kterými bude prokázáno dosažení předepsané kvality a předepsaných technických parametrů díla,</w:t>
            </w:r>
          </w:p>
          <w:p w:rsidRPr="00B75A8B" w:rsidR="00B75A8B" w:rsidP="002F5284" w:rsidRDefault="00B75A8B" w14:paraId="5CD1F41B" w14:textId="7C493265">
            <w:pPr>
              <w:pStyle w:val="Tabulkatext"/>
              <w:numPr>
                <w:ilvl w:val="0"/>
                <w:numId w:val="29"/>
              </w:numPr>
              <w:rPr>
                <w:iCs/>
              </w:rPr>
            </w:pPr>
            <w:r w:rsidRPr="00B75A8B">
              <w:rPr>
                <w:iCs/>
              </w:rPr>
              <w:t>předání veškerých dokladů nutných k převzetí a užívání díla kupujícím</w:t>
            </w:r>
            <w:r>
              <w:rPr>
                <w:iCs/>
              </w:rPr>
              <w:t>,</w:t>
            </w:r>
          </w:p>
          <w:p w:rsidRPr="00B75A8B" w:rsidR="00B75A8B" w:rsidP="002F5284" w:rsidRDefault="00B75A8B" w14:paraId="7D8EA8F7" w14:textId="0A55ED66">
            <w:pPr>
              <w:pStyle w:val="Tabulkatext"/>
              <w:numPr>
                <w:ilvl w:val="0"/>
                <w:numId w:val="29"/>
              </w:numPr>
              <w:rPr>
                <w:iCs/>
              </w:rPr>
            </w:pPr>
            <w:r w:rsidRPr="00B75A8B">
              <w:rPr>
                <w:iCs/>
              </w:rPr>
              <w:t>poskytování softwarové podpory díla</w:t>
            </w:r>
            <w:r>
              <w:rPr>
                <w:iCs/>
              </w:rPr>
              <w:t>,</w:t>
            </w:r>
          </w:p>
          <w:p w:rsidR="00B75A8B" w:rsidP="002F5284" w:rsidRDefault="00B75A8B" w14:paraId="7AC475FB" w14:textId="31914A45">
            <w:pPr>
              <w:pStyle w:val="Tabulkatext"/>
              <w:numPr>
                <w:ilvl w:val="0"/>
                <w:numId w:val="29"/>
              </w:numPr>
              <w:rPr>
                <w:iCs/>
              </w:rPr>
            </w:pPr>
            <w:r w:rsidRPr="00B75A8B">
              <w:rPr>
                <w:iCs/>
              </w:rPr>
              <w:t>poskytování servisu díla po dobu záruky 5 let (60 měsíců).</w:t>
            </w:r>
          </w:p>
          <w:p w:rsidRPr="00D241EC" w:rsidR="00B75A8B" w:rsidP="00482467" w:rsidRDefault="00B75A8B" w14:paraId="5CC66353" w14:textId="320F090E">
            <w:pPr>
              <w:pStyle w:val="Tabulkatext"/>
              <w:numPr>
                <w:ilvl w:val="0"/>
                <w:numId w:val="29"/>
              </w:numPr>
              <w:rPr>
                <w:iCs/>
              </w:rPr>
            </w:pPr>
            <w:r w:rsidRPr="00B75A8B">
              <w:rPr>
                <w:iCs/>
              </w:rPr>
              <w:t xml:space="preserve">Podrobně viz </w:t>
            </w:r>
            <w:r w:rsidRPr="008723CA" w:rsidR="008723CA">
              <w:rPr>
                <w:iCs/>
              </w:rPr>
              <w:t>Příloha č.1</w:t>
            </w:r>
            <w:r w:rsidR="008723CA">
              <w:rPr>
                <w:iCs/>
              </w:rPr>
              <w:t xml:space="preserve"> </w:t>
            </w:r>
            <w:r w:rsidR="00BE2B81">
              <w:rPr>
                <w:iCs/>
              </w:rPr>
              <w:t>- T</w:t>
            </w:r>
            <w:r w:rsidR="008723CA">
              <w:rPr>
                <w:iCs/>
              </w:rPr>
              <w:t>echnická specifikace</w:t>
            </w:r>
            <w:r w:rsidRPr="00B75A8B">
              <w:rPr>
                <w:iCs/>
              </w:rPr>
              <w:t>.</w:t>
            </w:r>
          </w:p>
        </w:tc>
      </w:tr>
      <w:tr w:rsidRPr="00E50090" w:rsidR="005C6C32" w:rsidTr="0031547E" w14:paraId="1768247E" w14:textId="77777777">
        <w:trPr>
          <w:gridAfter w:val="1"/>
          <w:wAfter w:w="85" w:type="dxa"/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94312" w:rsidR="005C6C32" w:rsidP="00D92737" w:rsidRDefault="005C6C32" w14:paraId="63465D16" w14:textId="77777777">
            <w:pPr>
              <w:pStyle w:val="Tabulkatext"/>
              <w:rPr>
                <w:b/>
                <w:bCs/>
              </w:rPr>
            </w:pPr>
            <w:r w:rsidRPr="00C94312">
              <w:rPr>
                <w:b/>
                <w:bCs/>
              </w:rPr>
              <w:lastRenderedPageBreak/>
              <w:t xml:space="preserve">Předpokládaná hodnota zakázky v Kč </w:t>
            </w:r>
            <w:r w:rsidRPr="00C94312">
              <w:t>(bez DPH)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C94312" w:rsidR="005C6C32" w:rsidP="00DB6C30" w:rsidRDefault="00C94312" w14:paraId="3AEC543B" w14:textId="0FA510CF">
            <w:pPr>
              <w:pStyle w:val="Tabulkatext"/>
              <w:rPr>
                <w:iCs/>
                <w:color w:val="auto"/>
              </w:rPr>
            </w:pPr>
            <w:r w:rsidRPr="00C94312">
              <w:rPr>
                <w:iCs/>
                <w:color w:val="auto"/>
              </w:rPr>
              <w:t>560000</w:t>
            </w:r>
            <w:r w:rsidRPr="00C94312" w:rsidR="00C76AB1">
              <w:rPr>
                <w:iCs/>
                <w:color w:val="auto"/>
              </w:rPr>
              <w:t>,00</w:t>
            </w:r>
            <w:r>
              <w:rPr>
                <w:iCs/>
                <w:color w:val="auto"/>
              </w:rPr>
              <w:t xml:space="preserve"> Kč </w:t>
            </w:r>
            <w:r w:rsidRPr="00C94312">
              <w:t>(bez DPH)</w:t>
            </w:r>
          </w:p>
        </w:tc>
      </w:tr>
      <w:tr w:rsidRPr="00E50090" w:rsidR="005C6C32" w:rsidTr="0031547E" w14:paraId="02C0C88D" w14:textId="77777777">
        <w:trPr>
          <w:gridAfter w:val="1"/>
          <w:wAfter w:w="85" w:type="dxa"/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C94312" w:rsidR="005C6C32" w:rsidP="00D92737" w:rsidRDefault="005C6C32" w14:paraId="114CAD13" w14:textId="77777777">
            <w:pPr>
              <w:pStyle w:val="Tabulkatext"/>
              <w:rPr>
                <w:b/>
                <w:bCs/>
              </w:rPr>
            </w:pPr>
            <w:r w:rsidRPr="00C94312">
              <w:rPr>
                <w:b/>
                <w:bCs/>
              </w:rPr>
              <w:t>Lhůta dodání / časový harmonogr</w:t>
            </w:r>
            <w:r w:rsidRPr="00C94312" w:rsidR="00E14E40">
              <w:rPr>
                <w:b/>
                <w:bCs/>
              </w:rPr>
              <w:t>am plnění / doba trvání zakázky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94312" w:rsidR="005C6C32" w:rsidP="00D92737" w:rsidRDefault="00A24C99" w14:paraId="45986754" w14:textId="1DAE17CC">
            <w:pPr>
              <w:pStyle w:val="Tabulkatext"/>
            </w:pPr>
            <w:r w:rsidRPr="00C94312">
              <w:t xml:space="preserve">nejpozději do </w:t>
            </w:r>
            <w:r w:rsidR="0032342B">
              <w:t>2</w:t>
            </w:r>
            <w:r w:rsidRPr="00C94312" w:rsidR="0032342B">
              <w:t xml:space="preserve"> </w:t>
            </w:r>
            <w:r w:rsidRPr="00C94312">
              <w:t>měsíců od podpisu smlouvy</w:t>
            </w:r>
          </w:p>
        </w:tc>
      </w:tr>
      <w:tr w:rsidRPr="00E50090" w:rsidR="005C6C32" w:rsidTr="0031547E" w14:paraId="637F107C" w14:textId="77777777">
        <w:trPr>
          <w:gridAfter w:val="1"/>
          <w:wAfter w:w="85" w:type="dxa"/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E14E40" w14:paraId="38DA8431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Místo dodání / převzetí plnění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5C6C32" w:rsidP="00D92737" w:rsidRDefault="00A24C99" w14:paraId="320E23C5" w14:textId="43A73ABC">
            <w:pPr>
              <w:pStyle w:val="Tabulkatext"/>
            </w:pPr>
            <w:r w:rsidRPr="00A24C99">
              <w:t>Masarykovo náměstí 1/1, 741 01 Nový Jičín</w:t>
            </w:r>
          </w:p>
        </w:tc>
      </w:tr>
      <w:tr w:rsidRPr="00E50090" w:rsidR="00E14E40" w:rsidTr="0031547E" w14:paraId="00053F2C" w14:textId="77777777">
        <w:trPr>
          <w:gridAfter w:val="1"/>
          <w:wAfter w:w="85" w:type="dxa"/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7E6E16" w14:paraId="1CA84FAC" w14:textId="77777777">
            <w:pPr>
              <w:pStyle w:val="Tabulkatext"/>
            </w:pPr>
            <w:r>
              <w:rPr>
                <w:b/>
              </w:rPr>
              <w:t>P</w:t>
            </w:r>
            <w:r w:rsidRPr="001A2981">
              <w:rPr>
                <w:b/>
              </w:rPr>
              <w:t>ravidla pro hodnocení nabídek</w:t>
            </w:r>
            <w:r w:rsidRPr="001A2981">
              <w:t xml:space="preserve">, která zahrnují i) kritéria hodnocení, </w:t>
            </w:r>
            <w:proofErr w:type="spellStart"/>
            <w:r w:rsidRPr="001A2981">
              <w:t>ii</w:t>
            </w:r>
            <w:proofErr w:type="spellEnd"/>
            <w:r w:rsidRPr="001A2981">
              <w:t xml:space="preserve">) metodu vyhodnocení nabídek v jednotlivých kritériích a </w:t>
            </w:r>
            <w:proofErr w:type="spellStart"/>
            <w:r w:rsidRPr="001A2981">
              <w:t>iii</w:t>
            </w:r>
            <w:proofErr w:type="spellEnd"/>
            <w:r w:rsidRPr="001A2981">
              <w:t>) váhu nebo jiný matematický vztah mezi kritérii</w:t>
            </w:r>
          </w:p>
        </w:tc>
      </w:tr>
      <w:tr w:rsidRPr="00E50090" w:rsidR="00E14E40" w:rsidTr="0031547E" w14:paraId="30253447" w14:textId="77777777">
        <w:trPr>
          <w:gridAfter w:val="1"/>
          <w:wAfter w:w="85" w:type="dxa"/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C94312" w:rsidR="00A24C99" w:rsidP="00A24C99" w:rsidRDefault="00A24C99" w14:paraId="26F91BC1" w14:textId="2BD24E9D">
            <w:pPr>
              <w:pStyle w:val="Tabulkatext"/>
            </w:pPr>
            <w:r>
              <w:t xml:space="preserve">Zadavatel stanovil, že nabídky </w:t>
            </w:r>
            <w:r w:rsidRPr="008C4CDD">
              <w:t>budou hodnoceny podle jejich ekonomické výhodnosti. Ek</w:t>
            </w:r>
            <w:r>
              <w:t xml:space="preserve">onomická výhodnost </w:t>
            </w:r>
            <w:r w:rsidRPr="00C94312">
              <w:t>nabídek se hodnotí na základě nejnižší nabídkové ceny:</w:t>
            </w:r>
          </w:p>
          <w:p w:rsidRPr="00C94312" w:rsidR="00A24C99" w:rsidP="00A24C99" w:rsidRDefault="00A24C99" w14:paraId="3DAA7436" w14:textId="4BA8E700">
            <w:pPr>
              <w:pStyle w:val="Tabulkatext"/>
            </w:pPr>
            <w:r w:rsidRPr="00C94312">
              <w:t xml:space="preserve">1. Kritérium: Celková nabídková cena bez DPH </w:t>
            </w:r>
            <w:r w:rsidRPr="00C94312" w:rsidR="008C4CDD">
              <w:t xml:space="preserve">(součet ceny za </w:t>
            </w:r>
            <w:r w:rsidR="0008236E">
              <w:t xml:space="preserve">celé </w:t>
            </w:r>
            <w:r w:rsidRPr="00C94312" w:rsidR="008C4CDD">
              <w:t>dílo a ceny za technickou podporu na 5</w:t>
            </w:r>
            <w:r w:rsidRPr="00C94312" w:rsidR="004E3148">
              <w:t xml:space="preserve"> </w:t>
            </w:r>
            <w:r w:rsidRPr="00C94312" w:rsidR="008C4CDD">
              <w:t xml:space="preserve">let) </w:t>
            </w:r>
            <w:r w:rsidRPr="00C94312">
              <w:t>- váha 100 %</w:t>
            </w:r>
          </w:p>
          <w:p w:rsidR="00F22B11" w:rsidP="00A24C99" w:rsidRDefault="00A24C99" w14:paraId="49CE3DF6" w14:textId="77777777">
            <w:pPr>
              <w:pStyle w:val="Tabulkatext"/>
            </w:pPr>
            <w:r w:rsidRPr="00C94312">
              <w:t xml:space="preserve">Zadavatel </w:t>
            </w:r>
            <w:r w:rsidR="00F22B11">
              <w:t xml:space="preserve">posoudí obdržené nabídky a ty které splní požadavky uvedené ve výzvě zařadí do hodnocení nabídek. </w:t>
            </w:r>
          </w:p>
          <w:p w:rsidR="00A24C99" w:rsidP="00A24C99" w:rsidRDefault="00F22B11" w14:paraId="4F38FED4" w14:textId="6422BFE2">
            <w:pPr>
              <w:pStyle w:val="Tabulkatext"/>
            </w:pPr>
            <w:r w:rsidRPr="00C94312">
              <w:t xml:space="preserve">Zadavatel </w:t>
            </w:r>
            <w:r>
              <w:t xml:space="preserve">v rámci hodnocení obdržených nabídek </w:t>
            </w:r>
            <w:r w:rsidRPr="00C94312" w:rsidR="00A24C99">
              <w:t>seřadí nabídkové</w:t>
            </w:r>
            <w:r w:rsidRPr="008C4CDD" w:rsidR="00A24C99">
              <w:t xml:space="preserve"> ceny podle jejich výše. Nejúspěšnější nabídkou je nabídka s nejnižší nabídkovou cenou při splnění všech podmínek zadavatele.</w:t>
            </w:r>
          </w:p>
          <w:p w:rsidRPr="00A24C99" w:rsidR="00E14E40" w:rsidP="00A24C99" w:rsidRDefault="005B3A71" w14:paraId="19997B8B" w14:textId="38DB10C6">
            <w:pPr>
              <w:pStyle w:val="Tabulkatext"/>
            </w:pPr>
            <w:r w:rsidRPr="005B3A71">
              <w:t>V případě rovnosti nejnižších nabídkových cen bude vítězná cena vybrána losováním.</w:t>
            </w:r>
          </w:p>
        </w:tc>
      </w:tr>
      <w:tr w:rsidRPr="00E50090" w:rsidR="00E14E40" w:rsidTr="0031547E" w14:paraId="7B82A750" w14:textId="77777777">
        <w:trPr>
          <w:gridAfter w:val="1"/>
          <w:wAfter w:w="85" w:type="dxa"/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FA16C8" w:rsidRDefault="00FA16C8" w14:paraId="1E5344C9" w14:textId="7777777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E50090" w:rsidR="00E14E40">
              <w:rPr>
                <w:b/>
                <w:bCs/>
              </w:rPr>
              <w:t>ožadavky na prokázání kvalifikace dodavatele</w:t>
            </w:r>
          </w:p>
        </w:tc>
      </w:tr>
      <w:tr w:rsidRPr="00E50090" w:rsidR="00E14E40" w:rsidTr="0031547E" w14:paraId="2C0B4CE5" w14:textId="77777777">
        <w:trPr>
          <w:gridAfter w:val="1"/>
          <w:wAfter w:w="85" w:type="dxa"/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482467" w:rsidR="00482467" w:rsidP="00925704" w:rsidRDefault="00482467" w14:paraId="04DBC67F" w14:textId="348F56D2">
            <w:pPr>
              <w:pStyle w:val="Tabulkatext"/>
              <w:numPr>
                <w:ilvl w:val="0"/>
                <w:numId w:val="30"/>
              </w:numPr>
              <w:rPr>
                <w:iCs/>
              </w:rPr>
            </w:pPr>
            <w:r w:rsidRPr="00482467">
              <w:rPr>
                <w:iCs/>
              </w:rPr>
              <w:t>Uchazeč prokáže splnění základní způsobilosti předložením:</w:t>
            </w:r>
          </w:p>
          <w:p w:rsidRPr="00482467" w:rsidR="00E14E40" w:rsidP="00925704" w:rsidRDefault="00201111" w14:paraId="4EC923A0" w14:textId="6E50D3D7">
            <w:pPr>
              <w:pStyle w:val="Tabulkatext"/>
              <w:numPr>
                <w:ilvl w:val="1"/>
                <w:numId w:val="29"/>
              </w:numPr>
              <w:rPr>
                <w:iCs/>
              </w:rPr>
            </w:pPr>
            <w:r w:rsidRPr="00482467">
              <w:rPr>
                <w:iCs/>
              </w:rPr>
              <w:t>Č</w:t>
            </w:r>
            <w:r w:rsidRPr="00482467" w:rsidR="00E14E40">
              <w:rPr>
                <w:iCs/>
              </w:rPr>
              <w:t xml:space="preserve">estné prohlášení o tom, že </w:t>
            </w:r>
            <w:r w:rsidRPr="00482467" w:rsidR="001A735A">
              <w:rPr>
                <w:iCs/>
              </w:rPr>
              <w:t xml:space="preserve">subjekt </w:t>
            </w:r>
            <w:r w:rsidRPr="00482467" w:rsidR="00E14E40">
              <w:rPr>
                <w:iCs/>
              </w:rPr>
              <w:t xml:space="preserve">nemá daňové nedoplatky, nedoplatky na pojistném či penále na veřejné zdravotní pojištění nebo na sociální zabezpečení nebo na příspěvku na státní politiku </w:t>
            </w:r>
            <w:r w:rsidRPr="00CB1E35" w:rsidR="00E14E40">
              <w:rPr>
                <w:iCs/>
              </w:rPr>
              <w:t xml:space="preserve">zaměstnanosti </w:t>
            </w:r>
            <w:r w:rsidRPr="00CB1E35" w:rsidR="009F0BEC">
              <w:rPr>
                <w:iCs/>
              </w:rPr>
              <w:t xml:space="preserve">Čestné prohlášení bude zpracováno podle vzoru, který tvoří nedílnou přílohu č. </w:t>
            </w:r>
            <w:r w:rsidRPr="00CB1E35" w:rsidR="00007B04">
              <w:rPr>
                <w:iCs/>
              </w:rPr>
              <w:t>3</w:t>
            </w:r>
            <w:r w:rsidRPr="00CB1E35" w:rsidR="001F2EB8">
              <w:rPr>
                <w:iCs/>
              </w:rPr>
              <w:t xml:space="preserve"> – Čestné prohlášení</w:t>
            </w:r>
            <w:r w:rsidRPr="00CB1E35" w:rsidR="009F0BEC">
              <w:rPr>
                <w:iCs/>
              </w:rPr>
              <w:t>. Čestné prohlášení musí prokazovat splnění požadovaného kritéria nejpozději v době 3 měsíců</w:t>
            </w:r>
            <w:r w:rsidRPr="008C4CDD" w:rsidR="009F0BEC">
              <w:rPr>
                <w:iCs/>
              </w:rPr>
              <w:t xml:space="preserve"> přede dnem podání nabídky.</w:t>
            </w:r>
          </w:p>
          <w:p w:rsidRPr="00482467" w:rsidR="00482467" w:rsidP="00925704" w:rsidRDefault="00482467" w14:paraId="0D889FD7" w14:textId="77777777">
            <w:pPr>
              <w:pStyle w:val="Tabulkatext"/>
              <w:numPr>
                <w:ilvl w:val="0"/>
                <w:numId w:val="29"/>
              </w:numPr>
              <w:rPr>
                <w:iCs/>
              </w:rPr>
            </w:pPr>
            <w:r w:rsidRPr="00482467">
              <w:rPr>
                <w:iCs/>
              </w:rPr>
              <w:t>Uchazeč prokáže splnění profesní způsobilosti předložením:</w:t>
            </w:r>
          </w:p>
          <w:p w:rsidRPr="00482467" w:rsidR="00482467" w:rsidP="00925704" w:rsidRDefault="00482467" w14:paraId="4D68BE2A" w14:textId="182E383D">
            <w:pPr>
              <w:pStyle w:val="Tabulkatext"/>
              <w:numPr>
                <w:ilvl w:val="1"/>
                <w:numId w:val="29"/>
              </w:numPr>
              <w:rPr>
                <w:iCs/>
              </w:rPr>
            </w:pPr>
            <w:r w:rsidRPr="00482467">
              <w:rPr>
                <w:iCs/>
              </w:rPr>
              <w:t>kopie výpisu z obchodního rejstříku, pokud je v něm zapsán, či výpisem z jiné obdobné evidence, pokud je v ní zapsán. Výpis z obchodního rejstříku nesmí být ke dni podání nabídky starší 90 dnů,</w:t>
            </w:r>
          </w:p>
          <w:p w:rsidRPr="00482467" w:rsidR="00482467" w:rsidP="00925704" w:rsidRDefault="00482467" w14:paraId="465440E7" w14:textId="4578D7A7">
            <w:pPr>
              <w:pStyle w:val="Tabulkatext"/>
              <w:numPr>
                <w:ilvl w:val="1"/>
                <w:numId w:val="29"/>
              </w:numPr>
              <w:rPr>
                <w:iCs/>
              </w:rPr>
            </w:pPr>
            <w:r w:rsidRPr="00482467">
              <w:rPr>
                <w:iCs/>
              </w:rPr>
              <w:t>kopie dokladu o oprávnění k podnikání podle zvláštních právních předpisů v rozsahu odpovídajícím předmětu veřejné zakázky, tj. výpisu ze živnostenského rejstříku pro obory činností:</w:t>
            </w:r>
          </w:p>
          <w:p w:rsidRPr="00482467" w:rsidR="00482467" w:rsidP="00925704" w:rsidRDefault="00482467" w14:paraId="294AAA1F" w14:textId="3840B3EE">
            <w:pPr>
              <w:pStyle w:val="Tabulkatext"/>
              <w:numPr>
                <w:ilvl w:val="2"/>
                <w:numId w:val="29"/>
              </w:numPr>
              <w:rPr>
                <w:iCs/>
              </w:rPr>
            </w:pPr>
            <w:r w:rsidRPr="00482467">
              <w:rPr>
                <w:iCs/>
              </w:rPr>
              <w:t>zprostředkování obchodu a služeb nebo</w:t>
            </w:r>
          </w:p>
          <w:p w:rsidRPr="00482467" w:rsidR="00482467" w:rsidP="00925704" w:rsidRDefault="00482467" w14:paraId="306D36B0" w14:textId="1BAD1490">
            <w:pPr>
              <w:pStyle w:val="Tabulkatext"/>
              <w:numPr>
                <w:ilvl w:val="2"/>
                <w:numId w:val="29"/>
              </w:numPr>
              <w:rPr>
                <w:iCs/>
              </w:rPr>
            </w:pPr>
            <w:r w:rsidRPr="00482467">
              <w:rPr>
                <w:iCs/>
              </w:rPr>
              <w:t xml:space="preserve">velkoobchod </w:t>
            </w:r>
            <w:r w:rsidR="001F2EB8">
              <w:rPr>
                <w:iCs/>
              </w:rPr>
              <w:t>nebo</w:t>
            </w:r>
            <w:r w:rsidRPr="00482467">
              <w:rPr>
                <w:iCs/>
              </w:rPr>
              <w:t xml:space="preserve"> maloobchod</w:t>
            </w:r>
            <w:r w:rsidR="00514FDD">
              <w:rPr>
                <w:iCs/>
              </w:rPr>
              <w:t xml:space="preserve"> nebo</w:t>
            </w:r>
          </w:p>
          <w:p w:rsidRPr="00482467" w:rsidR="00482467" w:rsidP="00925704" w:rsidRDefault="00482467" w14:paraId="68D7C617" w14:textId="05A107E3">
            <w:pPr>
              <w:pStyle w:val="Tabulkatext"/>
              <w:numPr>
                <w:ilvl w:val="2"/>
                <w:numId w:val="29"/>
              </w:numPr>
              <w:rPr>
                <w:iCs/>
              </w:rPr>
            </w:pPr>
            <w:r w:rsidRPr="00482467">
              <w:rPr>
                <w:iCs/>
              </w:rPr>
              <w:t>výroba elektronických součástek, elektrických zařízení a výroba a opravy elektrických strojů, přístrojů a elektronických zařízení pracujících na malém napětí nebo</w:t>
            </w:r>
          </w:p>
          <w:p w:rsidRPr="00482467" w:rsidR="00482467" w:rsidP="00925704" w:rsidRDefault="00482467" w14:paraId="38D75D7D" w14:textId="71404578">
            <w:pPr>
              <w:pStyle w:val="Tabulkatext"/>
              <w:numPr>
                <w:ilvl w:val="2"/>
                <w:numId w:val="29"/>
              </w:numPr>
              <w:rPr>
                <w:iCs/>
              </w:rPr>
            </w:pPr>
            <w:r w:rsidRPr="00482467">
              <w:rPr>
                <w:iCs/>
              </w:rPr>
              <w:t>poskytování software, poradenství v oblasti informačních technologií, zpracování dat, hostingové a související činnosti a webové portály nebo</w:t>
            </w:r>
          </w:p>
          <w:p w:rsidRPr="00482467" w:rsidR="00482467" w:rsidP="00925704" w:rsidRDefault="00482467" w14:paraId="392A44ED" w14:textId="675AE856">
            <w:pPr>
              <w:pStyle w:val="Tabulkatext"/>
              <w:numPr>
                <w:ilvl w:val="2"/>
                <w:numId w:val="29"/>
              </w:numPr>
              <w:rPr>
                <w:iCs/>
              </w:rPr>
            </w:pPr>
            <w:r w:rsidRPr="00482467">
              <w:rPr>
                <w:iCs/>
              </w:rPr>
              <w:lastRenderedPageBreak/>
              <w:t>poskytování technických služeb nebo</w:t>
            </w:r>
          </w:p>
          <w:p w:rsidRPr="00482467" w:rsidR="00482467" w:rsidP="00925704" w:rsidRDefault="00482467" w14:paraId="25A2FAA3" w14:textId="230B5230">
            <w:pPr>
              <w:pStyle w:val="Tabulkatext"/>
              <w:numPr>
                <w:ilvl w:val="2"/>
                <w:numId w:val="29"/>
              </w:numPr>
              <w:rPr>
                <w:iCs/>
              </w:rPr>
            </w:pPr>
            <w:r w:rsidRPr="00482467">
              <w:rPr>
                <w:iCs/>
              </w:rPr>
              <w:t>výroba, obchod a služby jinde nezařazené.</w:t>
            </w:r>
          </w:p>
          <w:p w:rsidRPr="00482467" w:rsidR="00482467" w:rsidP="00925704" w:rsidRDefault="00482467" w14:paraId="7875FE14" w14:textId="77777777">
            <w:pPr>
              <w:pStyle w:val="Tabulkatext"/>
              <w:ind w:left="1416"/>
              <w:rPr>
                <w:iCs/>
              </w:rPr>
            </w:pPr>
            <w:r w:rsidRPr="00482467">
              <w:rPr>
                <w:iCs/>
              </w:rPr>
              <w:t>Výpis z živnostenského rejstříku nesmí být ke dni podání nabídky starší 90 dnů.</w:t>
            </w:r>
          </w:p>
          <w:p w:rsidRPr="00482467" w:rsidR="00482467" w:rsidP="00925704" w:rsidRDefault="00482467" w14:paraId="61A12E50" w14:textId="77777777">
            <w:pPr>
              <w:pStyle w:val="Tabulkatext"/>
              <w:numPr>
                <w:ilvl w:val="0"/>
                <w:numId w:val="31"/>
              </w:numPr>
              <w:rPr>
                <w:iCs/>
              </w:rPr>
            </w:pPr>
            <w:r w:rsidRPr="00482467">
              <w:rPr>
                <w:iCs/>
              </w:rPr>
              <w:t>Prokazování splnění způsobilosti a kvalifikace výpisem ze seznamu kvalifikovaných dodavatelů</w:t>
            </w:r>
          </w:p>
          <w:p w:rsidRPr="00482467" w:rsidR="00482467" w:rsidP="00925704" w:rsidRDefault="00482467" w14:paraId="7F7AA660" w14:textId="77777777">
            <w:pPr>
              <w:pStyle w:val="Tabulkatext"/>
              <w:ind w:left="360"/>
              <w:rPr>
                <w:iCs/>
              </w:rPr>
            </w:pPr>
            <w:r w:rsidRPr="00482467">
              <w:rPr>
                <w:iCs/>
              </w:rPr>
              <w:t>Předloží-li uchazeč zadavateli výpis ze seznamu kvalifikovaných dodavatelů, tento výpis nahrazuje doklad prokazující:</w:t>
            </w:r>
          </w:p>
          <w:p w:rsidRPr="00482467" w:rsidR="00482467" w:rsidP="00482467" w:rsidRDefault="00482467" w14:paraId="1F4D9F9F" w14:textId="429CA4BC">
            <w:pPr>
              <w:pStyle w:val="Tabulkatext"/>
              <w:numPr>
                <w:ilvl w:val="0"/>
                <w:numId w:val="25"/>
              </w:numPr>
              <w:rPr>
                <w:iCs/>
              </w:rPr>
            </w:pPr>
            <w:r w:rsidRPr="00482467">
              <w:rPr>
                <w:iCs/>
              </w:rPr>
              <w:t>profesní způsobilost v rozsahu, v jakém údaje ve výpisu ze seznamu kvalifikovaných dodavatelů prokazují splnění kritérií profesní způsobilosti, a</w:t>
            </w:r>
          </w:p>
          <w:p w:rsidRPr="00482467" w:rsidR="00482467" w:rsidP="00482467" w:rsidRDefault="00482467" w14:paraId="7FF15C37" w14:textId="0B10A13B">
            <w:pPr>
              <w:pStyle w:val="Tabulkatext"/>
              <w:numPr>
                <w:ilvl w:val="0"/>
                <w:numId w:val="25"/>
              </w:numPr>
              <w:rPr>
                <w:iCs/>
              </w:rPr>
            </w:pPr>
            <w:r w:rsidRPr="00482467">
              <w:rPr>
                <w:iCs/>
              </w:rPr>
              <w:t>základní způsobilost.</w:t>
            </w:r>
          </w:p>
          <w:p w:rsidRPr="00482467" w:rsidR="00482467" w:rsidP="00925704" w:rsidRDefault="00482467" w14:paraId="696BB8CB" w14:textId="77777777">
            <w:pPr>
              <w:pStyle w:val="Tabulkatext"/>
              <w:ind w:left="360"/>
              <w:rPr>
                <w:iCs/>
              </w:rPr>
            </w:pPr>
            <w:r w:rsidRPr="00482467">
              <w:rPr>
                <w:iCs/>
              </w:rPr>
              <w:t>Výpis ze seznamu kvalifikovaných dodavatelů nesmí být starší než 3 měsíce. Zadavatel nesmí přijmout výpis ze seznamu kvalifikovaných dodavatelů, na kterém je vyznačeno zahájení řízení o změně údajů.</w:t>
            </w:r>
          </w:p>
          <w:p w:rsidRPr="00482467" w:rsidR="00482467" w:rsidP="00E76FEF" w:rsidRDefault="00482467" w14:paraId="649D25AD" w14:textId="77777777">
            <w:pPr>
              <w:pStyle w:val="Tabulkatext"/>
              <w:numPr>
                <w:ilvl w:val="0"/>
                <w:numId w:val="32"/>
              </w:numPr>
              <w:rPr>
                <w:iCs/>
              </w:rPr>
            </w:pPr>
            <w:r w:rsidRPr="00482467">
              <w:rPr>
                <w:iCs/>
              </w:rPr>
              <w:t>Uchazeč prokáže splnění technické způsobilosti předložením:</w:t>
            </w:r>
          </w:p>
          <w:p w:rsidRPr="00482467" w:rsidR="00482467" w:rsidP="00482467" w:rsidRDefault="00482467" w14:paraId="7BBB4732" w14:textId="36B8EF99">
            <w:pPr>
              <w:pStyle w:val="Tabulkatext"/>
              <w:numPr>
                <w:ilvl w:val="0"/>
                <w:numId w:val="25"/>
              </w:numPr>
              <w:rPr>
                <w:iCs/>
              </w:rPr>
            </w:pPr>
            <w:r w:rsidRPr="00482467">
              <w:rPr>
                <w:iCs/>
              </w:rPr>
              <w:t xml:space="preserve">seznamu významných dodávek poskytnutých za poslední </w:t>
            </w:r>
            <w:r w:rsidR="00F22B11">
              <w:rPr>
                <w:iCs/>
              </w:rPr>
              <w:t>3</w:t>
            </w:r>
            <w:r w:rsidRPr="00482467">
              <w:rPr>
                <w:iCs/>
              </w:rPr>
              <w:t xml:space="preserve"> roky před zahájením zadávacího řízení včetně uvedení ceny a doby jejich poskytnutí a identifikace objednatele pro 3 veřejné zakázky obdobného charakteru jako je předmět zadávacího řízení. Veřejnou zakázkou obdobného charakteru se rozumí dodávka a instalace elektronické úřední desky.</w:t>
            </w:r>
          </w:p>
          <w:p w:rsidRPr="00482467" w:rsidR="00482467" w:rsidP="00FC6900" w:rsidRDefault="00482467" w14:paraId="5AA731D6" w14:textId="77777777">
            <w:pPr>
              <w:pStyle w:val="Tabulkatext"/>
              <w:ind w:left="720"/>
              <w:rPr>
                <w:iCs/>
              </w:rPr>
            </w:pPr>
            <w:r w:rsidRPr="00482467">
              <w:rPr>
                <w:iCs/>
              </w:rPr>
              <w:t>Za splněnou dobu se považuje dodávka uvedená v příslušném seznamu, která byla v průběhu této doby dokončena. Uchazeč může použít dodávky, které poskytl:</w:t>
            </w:r>
          </w:p>
          <w:p w:rsidRPr="00482467" w:rsidR="00482467" w:rsidP="00E76FEF" w:rsidRDefault="00482467" w14:paraId="5B2FD581" w14:textId="4499F4E8">
            <w:pPr>
              <w:pStyle w:val="Tabulkatext"/>
              <w:numPr>
                <w:ilvl w:val="1"/>
                <w:numId w:val="25"/>
              </w:numPr>
              <w:rPr>
                <w:iCs/>
              </w:rPr>
            </w:pPr>
            <w:r w:rsidRPr="00482467">
              <w:rPr>
                <w:iCs/>
              </w:rPr>
              <w:t>společně s jinými dodavateli, a to v rozsahu, v jakém se na plnění zakázky podílel, nebo</w:t>
            </w:r>
          </w:p>
          <w:p w:rsidRPr="009642F7" w:rsidR="00482467" w:rsidP="00E76FEF" w:rsidRDefault="00482467" w14:paraId="551E8BE1" w14:textId="210F9754">
            <w:pPr>
              <w:pStyle w:val="Tabulkatext"/>
              <w:numPr>
                <w:ilvl w:val="1"/>
                <w:numId w:val="25"/>
              </w:numPr>
              <w:rPr>
                <w:iCs/>
              </w:rPr>
            </w:pPr>
            <w:r w:rsidRPr="00482467">
              <w:rPr>
                <w:iCs/>
              </w:rPr>
              <w:t xml:space="preserve">jako poddodavatel, a to </w:t>
            </w:r>
            <w:r w:rsidRPr="009642F7">
              <w:rPr>
                <w:iCs/>
              </w:rPr>
              <w:t>v rozsahu, v jakém se na plnění dodávky podílel.</w:t>
            </w:r>
          </w:p>
          <w:p w:rsidRPr="009642F7" w:rsidR="00482467" w:rsidP="00482467" w:rsidRDefault="00482467" w14:paraId="0FE924A9" w14:textId="0ED3E4D0">
            <w:pPr>
              <w:pStyle w:val="Tabulkatext"/>
              <w:numPr>
                <w:ilvl w:val="0"/>
                <w:numId w:val="25"/>
              </w:numPr>
              <w:rPr>
                <w:iCs/>
              </w:rPr>
            </w:pPr>
            <w:r w:rsidRPr="009642F7">
              <w:rPr>
                <w:iCs/>
              </w:rPr>
              <w:t>popisu a fotografií zboží určeného k dodání s přesným označením typu předmětu plnění nabízeného účastníkem s technickými parametry.</w:t>
            </w:r>
          </w:p>
          <w:p w:rsidRPr="00482467" w:rsidR="004920D4" w:rsidP="00514FDD" w:rsidRDefault="004920D4" w14:paraId="2CD615B3" w14:textId="6639EFD7">
            <w:pPr>
              <w:pStyle w:val="Tabulkatext"/>
              <w:numPr>
                <w:ilvl w:val="0"/>
                <w:numId w:val="32"/>
              </w:numPr>
              <w:rPr>
                <w:iCs/>
              </w:rPr>
            </w:pPr>
            <w:r w:rsidRPr="00640831">
              <w:rPr>
                <w:iCs/>
              </w:rPr>
              <w:t xml:space="preserve">Uchazeč je povinen předložit, jako součást své nabídky </w:t>
            </w:r>
            <w:r w:rsidR="001C5C21">
              <w:rPr>
                <w:iCs/>
              </w:rPr>
              <w:t>i čestné prohlášení že dodané</w:t>
            </w:r>
            <w:r w:rsidRPr="00640831">
              <w:rPr>
                <w:iCs/>
              </w:rPr>
              <w:t xml:space="preserve"> zboží </w:t>
            </w:r>
            <w:r w:rsidR="001C5C21">
              <w:rPr>
                <w:iCs/>
              </w:rPr>
              <w:t>splní</w:t>
            </w:r>
            <w:r w:rsidRPr="00640831">
              <w:rPr>
                <w:iCs/>
              </w:rPr>
              <w:t xml:space="preserve"> beze zbytku vymezené technické parametry.</w:t>
            </w:r>
          </w:p>
        </w:tc>
      </w:tr>
      <w:tr w:rsidRPr="00E50090" w:rsidR="00E14E40" w:rsidTr="0031547E" w14:paraId="1840359A" w14:textId="77777777">
        <w:trPr>
          <w:gridAfter w:val="1"/>
          <w:wAfter w:w="85" w:type="dxa"/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E14E40" w14:paraId="4891B100" w14:textId="77777777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lastRenderedPageBreak/>
              <w:t>Podmínky a požadavky na zpracování nabídky</w:t>
            </w:r>
          </w:p>
        </w:tc>
      </w:tr>
      <w:tr w:rsidRPr="00E50090" w:rsidR="00E14E40" w:rsidTr="0031547E" w14:paraId="46784325" w14:textId="77777777">
        <w:trPr>
          <w:gridAfter w:val="1"/>
          <w:wAfter w:w="85" w:type="dxa"/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014B04" w:rsidR="00014B04" w:rsidP="00014B04" w:rsidRDefault="00014B04" w14:paraId="54A049E0" w14:textId="77777777">
            <w:pPr>
              <w:pStyle w:val="Tabulkatext"/>
              <w:rPr>
                <w:iCs/>
              </w:rPr>
            </w:pPr>
            <w:r w:rsidRPr="00014B04">
              <w:rPr>
                <w:iCs/>
              </w:rPr>
              <w:t>Zadavatel požaduje následující formální členění nabídky:</w:t>
            </w:r>
          </w:p>
          <w:p w:rsidRPr="00014B04" w:rsidR="00014B04" w:rsidP="00014B04" w:rsidRDefault="00014B04" w14:paraId="243EE846" w14:textId="085734D2">
            <w:pPr>
              <w:pStyle w:val="Tabulkatext"/>
              <w:numPr>
                <w:ilvl w:val="0"/>
                <w:numId w:val="32"/>
              </w:numPr>
              <w:rPr>
                <w:iCs/>
              </w:rPr>
            </w:pPr>
            <w:r w:rsidRPr="00014B04">
              <w:rPr>
                <w:iCs/>
              </w:rPr>
              <w:t>Krycí list nabídky podepsaný osobou oprávněnou jednat za uchazeče</w:t>
            </w:r>
          </w:p>
          <w:p w:rsidRPr="00014B04" w:rsidR="00014B04" w:rsidP="00014B04" w:rsidRDefault="00014B04" w14:paraId="1C618D5D" w14:textId="43F4D28C">
            <w:pPr>
              <w:pStyle w:val="Tabulkatext"/>
              <w:numPr>
                <w:ilvl w:val="0"/>
                <w:numId w:val="32"/>
              </w:numPr>
              <w:rPr>
                <w:iCs/>
              </w:rPr>
            </w:pPr>
            <w:r w:rsidRPr="00014B04">
              <w:rPr>
                <w:iCs/>
              </w:rPr>
              <w:t>Doklady prokazující splnění kvalifikačních předpokladů</w:t>
            </w:r>
          </w:p>
          <w:p w:rsidRPr="00014B04" w:rsidR="00014B04" w:rsidP="00014B04" w:rsidRDefault="00014B04" w14:paraId="6578EAA5" w14:textId="41D6A599">
            <w:pPr>
              <w:pStyle w:val="Tabulkatext"/>
              <w:numPr>
                <w:ilvl w:val="0"/>
                <w:numId w:val="32"/>
              </w:numPr>
              <w:rPr>
                <w:iCs/>
              </w:rPr>
            </w:pPr>
            <w:r w:rsidRPr="00014B04">
              <w:rPr>
                <w:iCs/>
              </w:rPr>
              <w:t>Podepsaný návrh Kupní smlouvy včetně oceněného položkového rozpočtu</w:t>
            </w:r>
          </w:p>
          <w:p w:rsidRPr="00514FDD" w:rsidR="001C5C21" w:rsidP="00514FDD" w:rsidRDefault="001C5C21" w14:paraId="1549B1EB" w14:textId="57B2F6B4">
            <w:pPr>
              <w:pStyle w:val="Tabulkatext"/>
              <w:numPr>
                <w:ilvl w:val="0"/>
                <w:numId w:val="32"/>
              </w:numPr>
              <w:rPr>
                <w:iCs/>
              </w:rPr>
            </w:pPr>
            <w:r w:rsidRPr="00514FDD">
              <w:rPr>
                <w:iCs/>
              </w:rPr>
              <w:t>Čestné prohlášení že dodané zboží splní beze zbytku vymezené technické parametry</w:t>
            </w:r>
          </w:p>
          <w:p w:rsidR="00D60E77" w:rsidP="00D60E77" w:rsidRDefault="00D60E77" w14:paraId="23B8B05B" w14:textId="77777777">
            <w:pPr>
              <w:pStyle w:val="Tabulkatext"/>
              <w:ind w:left="0"/>
              <w:rPr>
                <w:iCs/>
              </w:rPr>
            </w:pPr>
            <w:r w:rsidRPr="00D60E77">
              <w:rPr>
                <w:iCs/>
              </w:rPr>
              <w:t xml:space="preserve">Uchazeč je povinen na výzvu zadavatele předvést v místě sídla zadavatele funkčnost nabízeného řešení a prokázat požadované funkcionality. </w:t>
            </w:r>
          </w:p>
          <w:p w:rsidRPr="00014B04" w:rsidR="00D97C2B" w:rsidP="00D60E77" w:rsidRDefault="00D97C2B" w14:paraId="72551E4C" w14:textId="24D2A87D">
            <w:pPr>
              <w:pStyle w:val="Tabulkatext"/>
              <w:ind w:left="0"/>
              <w:rPr>
                <w:iCs/>
              </w:rPr>
            </w:pPr>
            <w:r w:rsidRPr="00D97C2B">
              <w:rPr>
                <w:iCs/>
              </w:rPr>
              <w:t xml:space="preserve">Zadavatel umožní </w:t>
            </w:r>
            <w:r>
              <w:rPr>
                <w:iCs/>
              </w:rPr>
              <w:t>uchazeči</w:t>
            </w:r>
            <w:r w:rsidRPr="00D97C2B">
              <w:rPr>
                <w:iCs/>
              </w:rPr>
              <w:t xml:space="preserve"> obhlídku v místě plnění. V případě zájmu o tuto obhlídku je </w:t>
            </w:r>
            <w:r>
              <w:rPr>
                <w:iCs/>
              </w:rPr>
              <w:t>uchazeč</w:t>
            </w:r>
            <w:r w:rsidRPr="00D97C2B">
              <w:rPr>
                <w:iCs/>
              </w:rPr>
              <w:t xml:space="preserve"> povinen si tuto obhlídku sjednat se zadavatelem, a to minimálně v předstihu 3 pracovních dnů</w:t>
            </w:r>
            <w:r>
              <w:rPr>
                <w:iCs/>
              </w:rPr>
              <w:t>.</w:t>
            </w:r>
          </w:p>
        </w:tc>
      </w:tr>
      <w:tr w:rsidRPr="00E50090" w:rsidR="005C6C32" w:rsidTr="0031547E" w14:paraId="7DA61E65" w14:textId="77777777">
        <w:trPr>
          <w:gridAfter w:val="1"/>
          <w:wAfter w:w="85" w:type="dxa"/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8E0060" w:rsidRDefault="005C6C32" w14:paraId="0EB4ADE6" w14:textId="77777777">
            <w:pPr>
              <w:pStyle w:val="Tabulkatext"/>
              <w:keepNext/>
              <w:rPr>
                <w:i/>
              </w:rPr>
            </w:pPr>
            <w:r w:rsidRPr="00E50090">
              <w:rPr>
                <w:b/>
                <w:bCs/>
              </w:rPr>
              <w:lastRenderedPageBreak/>
              <w:t>Požadavek na způsob zpracování nabídkové ceny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B26CA8" w:rsidR="00014B04" w:rsidP="00014B04" w:rsidRDefault="00014B04" w14:paraId="046958E0" w14:textId="77777777">
            <w:pPr>
              <w:pStyle w:val="Tabulkatext"/>
              <w:keepNext/>
              <w:rPr>
                <w:iCs/>
              </w:rPr>
            </w:pPr>
            <w:r w:rsidRPr="00B26CA8">
              <w:rPr>
                <w:iCs/>
              </w:rPr>
              <w:t>Uchazeč je povinen stanovit nabídkovou cenu absolutní částkou v českých korunách v členění bez DPH, DPH a s DPH za plnění celkového předmětu zakázky včetně dopravy a veškerých vedlejších nákladů v souladu s podmínkami výběrového řízení.</w:t>
            </w:r>
          </w:p>
          <w:p w:rsidRPr="009642F7" w:rsidR="00014B04" w:rsidP="00014B04" w:rsidRDefault="00014B04" w14:paraId="3DC8089C" w14:textId="77777777">
            <w:pPr>
              <w:pStyle w:val="Tabulkatext"/>
              <w:keepNext/>
              <w:rPr>
                <w:iCs/>
              </w:rPr>
            </w:pPr>
            <w:r w:rsidRPr="009642F7">
              <w:rPr>
                <w:iCs/>
              </w:rPr>
              <w:t>Nabídková cena bude zahrnovat:</w:t>
            </w:r>
          </w:p>
          <w:p w:rsidRPr="009642F7" w:rsidR="00153DFF" w:rsidP="009642F7" w:rsidRDefault="002B1360" w14:paraId="2E0E0688" w14:textId="43FA629A">
            <w:pPr>
              <w:pStyle w:val="Tabulkatext"/>
              <w:keepNext/>
              <w:numPr>
                <w:ilvl w:val="2"/>
                <w:numId w:val="25"/>
              </w:numPr>
              <w:rPr>
                <w:iCs/>
              </w:rPr>
            </w:pPr>
            <w:r w:rsidRPr="009642F7">
              <w:rPr>
                <w:iCs/>
              </w:rPr>
              <w:t xml:space="preserve">Komplexní </w:t>
            </w:r>
            <w:r w:rsidRPr="009642F7" w:rsidR="00014B04">
              <w:rPr>
                <w:iCs/>
              </w:rPr>
              <w:t>dodávku</w:t>
            </w:r>
            <w:r w:rsidRPr="009642F7">
              <w:rPr>
                <w:iCs/>
              </w:rPr>
              <w:t xml:space="preserve">, </w:t>
            </w:r>
            <w:r w:rsidRPr="009642F7" w:rsidR="00014B04">
              <w:rPr>
                <w:iCs/>
              </w:rPr>
              <w:t xml:space="preserve">instalaci </w:t>
            </w:r>
            <w:r w:rsidRPr="009642F7">
              <w:rPr>
                <w:iCs/>
              </w:rPr>
              <w:t xml:space="preserve">a zprovoznění </w:t>
            </w:r>
            <w:r w:rsidRPr="009642F7" w:rsidR="00014B04">
              <w:rPr>
                <w:iCs/>
              </w:rPr>
              <w:t xml:space="preserve">elektronické úřední desky, včetně dopravy na místo v členění dle </w:t>
            </w:r>
            <w:r w:rsidRPr="009642F7" w:rsidR="009642F7">
              <w:rPr>
                <w:iCs/>
              </w:rPr>
              <w:t>přílohy č.2 – Krycí list nabídky</w:t>
            </w:r>
            <w:r w:rsidRPr="009642F7" w:rsidR="00014B04">
              <w:rPr>
                <w:iCs/>
              </w:rPr>
              <w:t>.</w:t>
            </w:r>
          </w:p>
          <w:p w:rsidR="00153DFF" w:rsidP="009642F7" w:rsidRDefault="00153DFF" w14:paraId="1AE7F83D" w14:textId="08A3D055">
            <w:pPr>
              <w:pStyle w:val="Tabulkatext"/>
              <w:keepNext/>
              <w:numPr>
                <w:ilvl w:val="2"/>
                <w:numId w:val="25"/>
              </w:numPr>
              <w:rPr>
                <w:iCs/>
              </w:rPr>
            </w:pPr>
            <w:r w:rsidRPr="009642F7">
              <w:rPr>
                <w:iCs/>
              </w:rPr>
              <w:t>prodloužení záruční doby na 5 let</w:t>
            </w:r>
            <w:r w:rsidRPr="009642F7" w:rsidR="00F22B11">
              <w:rPr>
                <w:iCs/>
              </w:rPr>
              <w:t xml:space="preserve"> na</w:t>
            </w:r>
            <w:r w:rsidR="00F22B11">
              <w:rPr>
                <w:iCs/>
              </w:rPr>
              <w:t xml:space="preserve"> dodané zařízení a software</w:t>
            </w:r>
          </w:p>
          <w:p w:rsidR="002B1360" w:rsidP="009642F7" w:rsidRDefault="002B1360" w14:paraId="30176CE9" w14:textId="3E8657BE">
            <w:pPr>
              <w:pStyle w:val="Tabulkatext"/>
              <w:keepNext/>
              <w:numPr>
                <w:ilvl w:val="2"/>
                <w:numId w:val="25"/>
              </w:numPr>
              <w:rPr>
                <w:iCs/>
              </w:rPr>
            </w:pPr>
            <w:r>
              <w:rPr>
                <w:iCs/>
              </w:rPr>
              <w:t xml:space="preserve">školení </w:t>
            </w:r>
            <w:r w:rsidR="005C0B59">
              <w:rPr>
                <w:iCs/>
              </w:rPr>
              <w:t xml:space="preserve">5 </w:t>
            </w:r>
            <w:r>
              <w:rPr>
                <w:iCs/>
              </w:rPr>
              <w:t>uživatelů</w:t>
            </w:r>
          </w:p>
          <w:p w:rsidR="00042575" w:rsidP="009642F7" w:rsidRDefault="00042575" w14:paraId="269D22E1" w14:textId="77777777">
            <w:pPr>
              <w:pStyle w:val="Tabulkatext"/>
              <w:keepNext/>
              <w:numPr>
                <w:ilvl w:val="2"/>
                <w:numId w:val="25"/>
              </w:numPr>
              <w:rPr>
                <w:iCs/>
              </w:rPr>
            </w:pPr>
            <w:r>
              <w:rPr>
                <w:iCs/>
              </w:rPr>
              <w:t>technickou podporu na 5 let</w:t>
            </w:r>
            <w:r w:rsidR="00F22B11">
              <w:rPr>
                <w:iCs/>
              </w:rPr>
              <w:t xml:space="preserve"> (aktualizace, řešení problémů uživatelská podpora)</w:t>
            </w:r>
          </w:p>
          <w:p w:rsidR="009642F7" w:rsidP="009642F7" w:rsidRDefault="00686F23" w14:paraId="726ED2CD" w14:textId="1D3ED983">
            <w:pPr>
              <w:pStyle w:val="Tabulkatext"/>
              <w:keepNext/>
              <w:numPr>
                <w:ilvl w:val="2"/>
                <w:numId w:val="25"/>
              </w:numPr>
              <w:rPr>
                <w:iCs/>
              </w:rPr>
            </w:pPr>
            <w:r w:rsidRPr="00686F23">
              <w:rPr>
                <w:iCs/>
              </w:rPr>
              <w:t>úpravu aplikace v souladu s jednotným vizuálním stylem města</w:t>
            </w:r>
            <w:r w:rsidR="009642F7">
              <w:rPr>
                <w:iCs/>
              </w:rPr>
              <w:t xml:space="preserve"> </w:t>
            </w:r>
            <w:r w:rsidRPr="009642F7" w:rsidR="009642F7">
              <w:rPr>
                <w:iCs/>
              </w:rPr>
              <w:t>viz.: https://www.novyjicin.cz/symboly-mesta/</w:t>
            </w:r>
          </w:p>
          <w:p w:rsidRPr="009642F7" w:rsidR="009642F7" w:rsidP="009642F7" w:rsidRDefault="00686F23" w14:paraId="39A6F16B" w14:textId="5EE310E5">
            <w:pPr>
              <w:pStyle w:val="Tabulkatext"/>
              <w:keepNext/>
              <w:numPr>
                <w:ilvl w:val="2"/>
                <w:numId w:val="25"/>
              </w:numPr>
              <w:rPr>
                <w:iCs/>
              </w:rPr>
            </w:pPr>
            <w:r w:rsidRPr="00686F23">
              <w:rPr>
                <w:iCs/>
              </w:rPr>
              <w:t xml:space="preserve">implementací a nastavení řešení dle požadavků města, zaškolení administrátorů. </w:t>
            </w:r>
          </w:p>
          <w:p w:rsidRPr="00686F23" w:rsidR="00686F23" w:rsidP="00686F23" w:rsidRDefault="00686F23" w14:paraId="16F1BF75" w14:textId="560A26DE">
            <w:pPr>
              <w:pStyle w:val="Tabulkatext"/>
              <w:keepNext/>
              <w:ind w:left="0"/>
              <w:rPr>
                <w:iCs/>
              </w:rPr>
            </w:pPr>
            <w:r w:rsidRPr="00686F23">
              <w:rPr>
                <w:iCs/>
              </w:rPr>
              <w:t>Nabídková cena bude uvedena v návrhu kupní smlouvy.</w:t>
            </w:r>
          </w:p>
          <w:p w:rsidRPr="00686F23" w:rsidR="00686F23" w:rsidP="00686F23" w:rsidRDefault="00686F23" w14:paraId="7B0E519D" w14:textId="0C2439C7">
            <w:pPr>
              <w:pStyle w:val="Tabulkatext"/>
              <w:keepNext/>
              <w:ind w:left="0"/>
              <w:rPr>
                <w:iCs/>
              </w:rPr>
            </w:pPr>
            <w:r w:rsidRPr="00686F23">
              <w:rPr>
                <w:iCs/>
              </w:rPr>
              <w:t>Ve smlouvě bude samostatně uvedena cena za technickou podporu (technická podpora, upgrade systému, zákaznická podpora a zálohování/obnova dat), která bude hrazena pravidelně 1x ročně po dobu 5 let. Fakturu za technickou podporu se splatností 21 dnů vystavuje dodavatel zpětně za uplynulé období, a to nejpozději do 30 dnů od ukončení uplynulého (fakturovaného) období.</w:t>
            </w:r>
          </w:p>
          <w:p w:rsidRPr="00014B04" w:rsidR="00686F23" w:rsidP="00686F23" w:rsidRDefault="00686F23" w14:paraId="448000A9" w14:textId="4F04B812">
            <w:pPr>
              <w:pStyle w:val="Tabulkatext"/>
              <w:keepNext/>
              <w:ind w:left="0"/>
              <w:rPr>
                <w:iCs/>
              </w:rPr>
            </w:pPr>
            <w:r w:rsidRPr="00686F23">
              <w:rPr>
                <w:iCs/>
              </w:rPr>
              <w:t>Ceny vyplní uchazeč do Krycího listu nabídky – viz příloha č.2.</w:t>
            </w:r>
          </w:p>
        </w:tc>
      </w:tr>
      <w:tr w:rsidRPr="00E50090" w:rsidR="005C6C32" w:rsidTr="0031547E" w14:paraId="564BCD9F" w14:textId="77777777">
        <w:trPr>
          <w:gridAfter w:val="1"/>
          <w:wAfter w:w="85" w:type="dxa"/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68E90213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Poža</w:t>
            </w:r>
            <w:r w:rsidRPr="00E50090" w:rsidR="00E14E40">
              <w:rPr>
                <w:b/>
                <w:bCs/>
              </w:rPr>
              <w:t>davek na písemnou formu nabídky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0D00EE" w:rsidP="00D92737" w:rsidRDefault="00C65D49" w14:paraId="35861FEB" w14:textId="77777777">
            <w:pPr>
              <w:pStyle w:val="Tabulkatext"/>
              <w:rPr>
                <w:iCs/>
              </w:rPr>
            </w:pPr>
            <w:r w:rsidRPr="000D00EE">
              <w:rPr>
                <w:iCs/>
              </w:rPr>
              <w:t xml:space="preserve">Nabídky se podávají pouze v listinné podobě. Pod pojmem nabídka se rozumí předložení údajů, dokumentů, které potřebuje zadavatel k hodnocení nabídek dle ekonomické výhodnosti nabídky a k posouzení splnění podmínek účasti v zadávacím </w:t>
            </w:r>
            <w:r w:rsidRPr="000D00EE" w:rsidR="000D00EE">
              <w:rPr>
                <w:iCs/>
              </w:rPr>
              <w:t>řízení. Nabídka</w:t>
            </w:r>
            <w:r w:rsidRPr="000D00EE">
              <w:rPr>
                <w:iCs/>
              </w:rPr>
              <w:t xml:space="preserve"> bude zpracována v českém jazyce v písemné formě, v souladu s podmínkami tohoto </w:t>
            </w:r>
            <w:r w:rsidRPr="000D00EE" w:rsidR="000D00EE">
              <w:rPr>
                <w:iCs/>
              </w:rPr>
              <w:t>zadání. Forma</w:t>
            </w:r>
            <w:r w:rsidRPr="000D00EE">
              <w:rPr>
                <w:iCs/>
              </w:rPr>
              <w:t xml:space="preserve"> nabídky:</w:t>
            </w:r>
          </w:p>
          <w:p w:rsidR="000D00EE" w:rsidP="000D00EE" w:rsidRDefault="00C65D49" w14:paraId="5CE84B87" w14:textId="7C7C039E">
            <w:pPr>
              <w:pStyle w:val="Tabulkatext"/>
              <w:numPr>
                <w:ilvl w:val="0"/>
                <w:numId w:val="36"/>
              </w:numPr>
              <w:rPr>
                <w:iCs/>
              </w:rPr>
            </w:pPr>
            <w:r w:rsidRPr="000D00EE">
              <w:rPr>
                <w:iCs/>
              </w:rPr>
              <w:t>nabídka musí být podepsána osobou oprávněnou jednat jménem či za uchazeče,</w:t>
            </w:r>
          </w:p>
          <w:p w:rsidR="000D00EE" w:rsidP="000D00EE" w:rsidRDefault="00C65D49" w14:paraId="49FD7065" w14:textId="2EF20498">
            <w:pPr>
              <w:pStyle w:val="Tabulkatext"/>
              <w:numPr>
                <w:ilvl w:val="0"/>
                <w:numId w:val="36"/>
              </w:numPr>
              <w:rPr>
                <w:iCs/>
              </w:rPr>
            </w:pPr>
            <w:r w:rsidRPr="000D00EE">
              <w:rPr>
                <w:iCs/>
              </w:rPr>
              <w:t>uchazeč musí předložit nabídku v písemné podobě, a to v jednom originále,</w:t>
            </w:r>
          </w:p>
          <w:p w:rsidR="000D00EE" w:rsidP="000D00EE" w:rsidRDefault="00C65D49" w14:paraId="497EEDA6" w14:textId="15A718F5">
            <w:pPr>
              <w:pStyle w:val="Tabulkatext"/>
              <w:numPr>
                <w:ilvl w:val="0"/>
                <w:numId w:val="36"/>
              </w:numPr>
              <w:rPr>
                <w:iCs/>
              </w:rPr>
            </w:pPr>
            <w:r w:rsidRPr="000D00EE">
              <w:rPr>
                <w:iCs/>
              </w:rPr>
              <w:t>veškeré náklady a výdaje spojené se zpracováním a předložením nabídky nese uchazeč,</w:t>
            </w:r>
          </w:p>
          <w:p w:rsidR="000D00EE" w:rsidP="000D00EE" w:rsidRDefault="00C65D49" w14:paraId="4D070F7E" w14:textId="46752B65">
            <w:pPr>
              <w:pStyle w:val="Tabulkatext"/>
              <w:numPr>
                <w:ilvl w:val="0"/>
                <w:numId w:val="36"/>
              </w:numPr>
              <w:rPr>
                <w:iCs/>
              </w:rPr>
            </w:pPr>
            <w:r w:rsidRPr="000D00EE">
              <w:rPr>
                <w:iCs/>
              </w:rPr>
              <w:t>nabídky doručené zadavateli po uplynutí stanovené lhůty nebudou hodnoceny,</w:t>
            </w:r>
          </w:p>
          <w:p w:rsidRPr="000D00EE" w:rsidR="00DA7A8F" w:rsidP="00D92737" w:rsidRDefault="00C65D49" w14:paraId="2930F5A0" w14:textId="4605356C">
            <w:pPr>
              <w:pStyle w:val="Tabulkatext"/>
              <w:rPr>
                <w:iCs/>
              </w:rPr>
            </w:pPr>
            <w:r w:rsidRPr="000D00EE">
              <w:rPr>
                <w:iCs/>
              </w:rPr>
              <w:t>Zadavatel nepřipouští varianty nabídky.</w:t>
            </w:r>
            <w:r w:rsidR="000D00EE">
              <w:rPr>
                <w:iCs/>
              </w:rPr>
              <w:t xml:space="preserve"> </w:t>
            </w:r>
            <w:r w:rsidRPr="000D00EE">
              <w:rPr>
                <w:iCs/>
              </w:rPr>
              <w:t>Nabídka bude podána výlučně v písemné podobě v</w:t>
            </w:r>
            <w:r w:rsidR="000D00EE">
              <w:rPr>
                <w:iCs/>
              </w:rPr>
              <w:t> </w:t>
            </w:r>
            <w:r w:rsidRPr="000D00EE">
              <w:rPr>
                <w:iCs/>
              </w:rPr>
              <w:t>zalepené</w:t>
            </w:r>
            <w:r w:rsidR="000D00EE">
              <w:rPr>
                <w:iCs/>
              </w:rPr>
              <w:t xml:space="preserve"> </w:t>
            </w:r>
            <w:r w:rsidRPr="000D00EE">
              <w:rPr>
                <w:iCs/>
              </w:rPr>
              <w:t xml:space="preserve">obálce s </w:t>
            </w:r>
            <w:r w:rsidRPr="000D00EE" w:rsidR="000D00EE">
              <w:rPr>
                <w:iCs/>
              </w:rPr>
              <w:t xml:space="preserve">označením: </w:t>
            </w:r>
            <w:r w:rsidR="005C799E">
              <w:rPr>
                <w:iCs/>
              </w:rPr>
              <w:t>„</w:t>
            </w:r>
            <w:r w:rsidRPr="008812F0" w:rsidR="005C799E">
              <w:t>Nabídkové řízení Dodávka 2ks elektronických úředních desek pro město Nový Jičín – NEOTVÍRAT</w:t>
            </w:r>
            <w:r w:rsidRPr="000D00EE">
              <w:rPr>
                <w:iCs/>
              </w:rPr>
              <w:t>“</w:t>
            </w:r>
            <w:r w:rsidR="00252BF4">
              <w:rPr>
                <w:iCs/>
              </w:rPr>
              <w:t xml:space="preserve">. </w:t>
            </w:r>
            <w:r w:rsidRPr="00252BF4" w:rsidR="00252BF4">
              <w:rPr>
                <w:iCs/>
              </w:rPr>
              <w:t>Na obálce musí být uvedeno jméno a adresa odesílatele</w:t>
            </w:r>
            <w:r w:rsidR="00252BF4">
              <w:rPr>
                <w:iCs/>
              </w:rPr>
              <w:t>.</w:t>
            </w:r>
          </w:p>
        </w:tc>
      </w:tr>
      <w:tr w:rsidRPr="00E50090" w:rsidR="00DA7A8F" w:rsidTr="0031547E" w14:paraId="1C67A88E" w14:textId="77777777">
        <w:trPr>
          <w:gridAfter w:val="1"/>
          <w:wAfter w:w="85" w:type="dxa"/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E50090" w:rsidR="00DA7A8F" w:rsidP="00D92737" w:rsidRDefault="00DA7A8F" w14:paraId="351C2614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Požadavek na uvedení kontaktní osoby </w:t>
            </w:r>
            <w:r w:rsidRPr="00E50090" w:rsidR="00667155">
              <w:rPr>
                <w:b/>
                <w:bCs/>
              </w:rPr>
              <w:t>dodavatele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D7E5E" w:rsidR="00DA7A8F" w:rsidP="00D92737" w:rsidRDefault="00667155" w14:paraId="13ED9487" w14:textId="77777777">
            <w:pPr>
              <w:pStyle w:val="Tabulkatext"/>
              <w:rPr>
                <w:iCs/>
              </w:rPr>
            </w:pPr>
            <w:r w:rsidRPr="00ED7E5E">
              <w:rPr>
                <w:iCs/>
              </w:rPr>
              <w:t>Dodavatel</w:t>
            </w:r>
            <w:r w:rsidRPr="00ED7E5E" w:rsidR="00DA7A8F">
              <w:rPr>
                <w:iCs/>
              </w:rPr>
              <w:t xml:space="preserve"> ve své nabídce uvede kontaktní osobu ve věci zakázky, její telefon a e-mailovou adresu. </w:t>
            </w:r>
          </w:p>
        </w:tc>
      </w:tr>
      <w:tr w:rsidRPr="00E50090" w:rsidR="005C6C32" w:rsidTr="0031547E" w14:paraId="10A4F53C" w14:textId="77777777">
        <w:trPr>
          <w:gridAfter w:val="1"/>
          <w:wAfter w:w="85" w:type="dxa"/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572BE" w:rsidR="005C6C32" w:rsidP="00D92737" w:rsidRDefault="005C6C32" w14:paraId="4FBA1B30" w14:textId="77777777">
            <w:pPr>
              <w:pStyle w:val="Tabulkatext"/>
              <w:rPr>
                <w:b/>
                <w:bCs/>
              </w:rPr>
            </w:pPr>
            <w:r w:rsidRPr="009572BE">
              <w:rPr>
                <w:b/>
              </w:rPr>
              <w:t>Požadavek na jednu nabídku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D7E5E" w:rsidR="005C6C32" w:rsidDel="002D0D04" w:rsidP="00D92737" w:rsidRDefault="005C6C32" w14:paraId="31B1E4D8" w14:textId="0482E856">
            <w:pPr>
              <w:pStyle w:val="Tabulkatext"/>
              <w:rPr>
                <w:iCs/>
              </w:rPr>
            </w:pPr>
            <w:r w:rsidRPr="009572BE">
              <w:rPr>
                <w:iCs/>
              </w:rPr>
              <w:t xml:space="preserve">Každý </w:t>
            </w:r>
            <w:r w:rsidRPr="009572BE" w:rsidR="00686F23">
              <w:rPr>
                <w:iCs/>
              </w:rPr>
              <w:t xml:space="preserve">uchazeč / </w:t>
            </w:r>
            <w:r w:rsidRPr="009572BE" w:rsidR="00667155">
              <w:rPr>
                <w:iCs/>
              </w:rPr>
              <w:t xml:space="preserve">dodavatel </w:t>
            </w:r>
            <w:r w:rsidRPr="009572BE">
              <w:rPr>
                <w:iCs/>
              </w:rPr>
              <w:t>může podat pouze jednu nabídku</w:t>
            </w:r>
            <w:r w:rsidRPr="009572BE" w:rsidR="00667155">
              <w:rPr>
                <w:iCs/>
              </w:rPr>
              <w:t>.</w:t>
            </w:r>
          </w:p>
        </w:tc>
      </w:tr>
      <w:tr w:rsidRPr="00E50090" w:rsidR="005C6C32" w:rsidTr="0031547E" w14:paraId="4EBB2394" w14:textId="77777777">
        <w:trPr>
          <w:gridAfter w:val="1"/>
          <w:wAfter w:w="85" w:type="dxa"/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B5DBD" w:rsidRDefault="005F6058" w14:paraId="2360AC35" w14:textId="77777777">
            <w:pPr>
              <w:pStyle w:val="Tabulkatext"/>
              <w:keepNext/>
              <w:rPr>
                <w:b/>
              </w:rPr>
            </w:pPr>
            <w:r>
              <w:rPr>
                <w:b/>
              </w:rPr>
              <w:lastRenderedPageBreak/>
              <w:t>Vysvětlení zadávacích podmínek</w:t>
            </w:r>
          </w:p>
        </w:tc>
      </w:tr>
      <w:tr w:rsidRPr="00E50090" w:rsidR="00E14E40" w:rsidTr="0031547E" w14:paraId="3EE4068B" w14:textId="77777777">
        <w:trPr>
          <w:gridAfter w:val="1"/>
          <w:wAfter w:w="85" w:type="dxa"/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7762C9" w:rsidR="00E14E40" w:rsidP="00640831" w:rsidRDefault="007762C9" w14:paraId="7C50B2B0" w14:textId="0209D657">
            <w:pPr>
              <w:pStyle w:val="Tabulkatext"/>
              <w:keepNext/>
              <w:rPr>
                <w:iCs/>
              </w:rPr>
            </w:pPr>
            <w:r w:rsidRPr="007762C9">
              <w:rPr>
                <w:iCs/>
              </w:rPr>
              <w:t xml:space="preserve">Uchazeč je oprávněn požadovat po zadavateli vysvětlení výzvy, a to písemně na adrese sídla zadavatele nebo elektronicky e-mailem na adrese: </w:t>
            </w:r>
            <w:hyperlink w:history="true" r:id="rId8">
              <w:r w:rsidRPr="009572BE">
                <w:rPr>
                  <w:rStyle w:val="Hypertextovodkaz"/>
                  <w:iCs/>
                </w:rPr>
                <w:t>jiri.kalinec@novyjicin.cz</w:t>
              </w:r>
            </w:hyperlink>
            <w:r w:rsidRPr="009572BE">
              <w:rPr>
                <w:iCs/>
              </w:rPr>
              <w:t>. Písemná nebo elektronická žádost musí být zadavateli doručena nejpozději 4 pracovní dny před uplynutím lhůty pro podání nabídek. Na základě žádosti o vysvětlení výzvy doručené ve stanovené lhůtě zadavatel doručí uchazeči vysvětlení k výzvě, a to nejpozději do 2 pracovních dnů ode dne doručení žádosti uchazeče. Zadavatel současně zveřejní vysvětlení (včetně přesného znění žádosti uchazeče) anebo dodatečné informace na místech, kde bude zveřejněna výzva, tj. na portál</w:t>
            </w:r>
            <w:r w:rsidRPr="009572BE" w:rsidR="00CA54F3">
              <w:rPr>
                <w:iCs/>
              </w:rPr>
              <w:t>e</w:t>
            </w:r>
            <w:r w:rsidRPr="009572BE">
              <w:rPr>
                <w:iCs/>
              </w:rPr>
              <w:t xml:space="preserve"> </w:t>
            </w:r>
            <w:r w:rsidRPr="009572BE" w:rsidR="00CA54F3">
              <w:rPr>
                <w:iCs/>
              </w:rPr>
              <w:t>www.esfcr.cz a</w:t>
            </w:r>
            <w:r w:rsidRPr="009572BE" w:rsidR="00252BF4">
              <w:rPr>
                <w:iCs/>
              </w:rPr>
              <w:t> </w:t>
            </w:r>
            <w:r w:rsidRPr="009572BE" w:rsidR="00CA54F3">
              <w:rPr>
                <w:iCs/>
              </w:rPr>
              <w:t xml:space="preserve">na portále </w:t>
            </w:r>
            <w:r w:rsidRPr="009572BE" w:rsidR="00640831">
              <w:rPr>
                <w:iCs/>
              </w:rPr>
              <w:t>ezak</w:t>
            </w:r>
            <w:r w:rsidRPr="009572BE" w:rsidR="00CA54F3">
              <w:rPr>
                <w:iCs/>
              </w:rPr>
              <w:t>.novyjicin.cz.</w:t>
            </w:r>
            <w:r w:rsidRPr="009572BE">
              <w:rPr>
                <w:iCs/>
              </w:rPr>
              <w:t xml:space="preserve"> Zadavatel má právo poskytnout uchazečům vysvětlení výzvy i bez předchozí žádosti uchazeče. Takovéto vysvětlení výzvy</w:t>
            </w:r>
            <w:r w:rsidRPr="007762C9">
              <w:rPr>
                <w:iCs/>
              </w:rPr>
              <w:t xml:space="preserve"> uveřejní zadavatel nejpozději 5 pracovních dnů před uplynutím lhůty pro podání nabídek.</w:t>
            </w:r>
          </w:p>
        </w:tc>
      </w:tr>
      <w:tr w:rsidRPr="00E50090" w:rsidR="0031547E" w:rsidTr="0031547E" w14:paraId="4BB9EDF2" w14:textId="77777777">
        <w:trPr>
          <w:trHeight w:val="20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31547E" w:rsidP="005A73A9" w:rsidRDefault="0031547E" w14:paraId="006F5FC6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Další požadavky na zpracování nabídky</w:t>
            </w:r>
          </w:p>
        </w:tc>
      </w:tr>
      <w:tr w:rsidRPr="00E50090" w:rsidR="0031547E" w:rsidTr="0031547E" w14:paraId="5D7A6BBE" w14:textId="77777777">
        <w:trPr>
          <w:trHeight w:val="20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8162B7" w:rsidR="0031547E" w:rsidP="005A73A9" w:rsidRDefault="0031547E" w14:paraId="36EA2D8A" w14:textId="77777777">
            <w:pPr>
              <w:pStyle w:val="Tabulkatext"/>
              <w:rPr>
                <w:iCs/>
              </w:rPr>
            </w:pPr>
            <w:r w:rsidRPr="008162B7">
              <w:rPr>
                <w:iCs/>
              </w:rPr>
              <w:t>Obchodní podmínky</w:t>
            </w:r>
          </w:p>
          <w:p w:rsidRPr="008162B7" w:rsidR="0031547E" w:rsidP="0031547E" w:rsidRDefault="0031547E" w14:paraId="50E1D728" w14:textId="77777777">
            <w:pPr>
              <w:pStyle w:val="Tabulkatext"/>
              <w:numPr>
                <w:ilvl w:val="0"/>
                <w:numId w:val="26"/>
              </w:numPr>
              <w:rPr>
                <w:iCs/>
              </w:rPr>
            </w:pPr>
            <w:r w:rsidRPr="008162B7">
              <w:rPr>
                <w:iCs/>
              </w:rPr>
              <w:t>Zadavatel pro plnění předmětu zakázky stanovuje obchodní podmínky formou návrhu kupní smlouvy. Obchodní podmínky tvoří nedílnou součást zadávací dokumentace.</w:t>
            </w:r>
          </w:p>
          <w:p w:rsidRPr="008162B7" w:rsidR="0031547E" w:rsidP="0031547E" w:rsidRDefault="0031547E" w14:paraId="0307F313" w14:textId="77777777">
            <w:pPr>
              <w:pStyle w:val="Tabulkatext"/>
              <w:numPr>
                <w:ilvl w:val="0"/>
                <w:numId w:val="26"/>
              </w:numPr>
              <w:rPr>
                <w:iCs/>
              </w:rPr>
            </w:pPr>
            <w:r w:rsidRPr="008162B7">
              <w:rPr>
                <w:iCs/>
              </w:rPr>
              <w:t>Uchazeč je povinen akceptovat obchodní podmínky zadavatele stanovené formou návrhu kupní smlouvy v plném rozsahu. Uchazeč není oprávněn činit v návrhu smlouvy změny či doplnění s výjimkou údajů, které jsou výslovně vyhrazeny pro doplnění ze strany uchazeče. Není rovněž oprávněn přikládat žádné přílohy k návrhu smlouvy, které tato výzva výslovně nepředpokládá. Uchazeč je oprávněn doplnit do vzoru Smlouvy pouze údaje, které jsou ve vzoru smlouvy označeny červeným textem jako nedoplněné [DOPLNÍ ÚCHAZEČ]. Návrh Smlouvy bude datován a podepsán osobou oprávněnou jednat jménem uchazeče, případně bude doložena ověřená plná moc osoby zmocněné k jednání jménem uchazeče.</w:t>
            </w:r>
          </w:p>
          <w:p w:rsidRPr="008162B7" w:rsidR="0031547E" w:rsidP="005A73A9" w:rsidRDefault="0031547E" w14:paraId="6304D5B3" w14:textId="77777777">
            <w:pPr>
              <w:pStyle w:val="Tabulkatext"/>
              <w:rPr>
                <w:iCs/>
              </w:rPr>
            </w:pPr>
            <w:r w:rsidRPr="008162B7">
              <w:rPr>
                <w:iCs/>
              </w:rPr>
              <w:t>Platební podmínky</w:t>
            </w:r>
          </w:p>
          <w:p w:rsidRPr="008162B7" w:rsidR="0031547E" w:rsidP="0031547E" w:rsidRDefault="0031547E" w14:paraId="4B871DE7" w14:textId="77777777">
            <w:pPr>
              <w:pStyle w:val="Tabulkatext"/>
              <w:numPr>
                <w:ilvl w:val="0"/>
                <w:numId w:val="26"/>
              </w:numPr>
              <w:rPr>
                <w:iCs/>
              </w:rPr>
            </w:pPr>
            <w:r w:rsidRPr="008162B7">
              <w:rPr>
                <w:iCs/>
              </w:rPr>
              <w:t>Zadavatel neposkytuje zálohy.</w:t>
            </w:r>
          </w:p>
          <w:p w:rsidR="0031547E" w:rsidP="0031547E" w:rsidRDefault="0031547E" w14:paraId="19930AA6" w14:textId="77777777">
            <w:pPr>
              <w:pStyle w:val="Tabulkatext"/>
              <w:numPr>
                <w:ilvl w:val="0"/>
                <w:numId w:val="26"/>
              </w:numPr>
              <w:rPr>
                <w:iCs/>
              </w:rPr>
            </w:pPr>
            <w:r w:rsidRPr="008162B7">
              <w:rPr>
                <w:iCs/>
              </w:rPr>
              <w:t>Úhrada ceny bude provedena jednou fakturou po předání a převzetí kompletní dodávky bez vad a nedodělků zadavateli.</w:t>
            </w:r>
          </w:p>
          <w:p w:rsidRPr="005C0B59" w:rsidR="0031547E" w:rsidP="0031547E" w:rsidRDefault="0031547E" w14:paraId="390C5314" w14:textId="77777777">
            <w:pPr>
              <w:pStyle w:val="Tabulkatext"/>
              <w:numPr>
                <w:ilvl w:val="0"/>
                <w:numId w:val="26"/>
              </w:numPr>
              <w:rPr>
                <w:iCs/>
              </w:rPr>
            </w:pPr>
            <w:r>
              <w:rPr>
                <w:iCs/>
              </w:rPr>
              <w:t>Úhrada ceny</w:t>
            </w:r>
            <w:r w:rsidRPr="00252BF4">
              <w:rPr>
                <w:iCs/>
              </w:rPr>
              <w:t xml:space="preserve"> za technickou podporu (technická podpora, upgrade systému, zákaznická podpora a zálohování/obnova dat), bude hrazena pravidelně 1x ročně po dobu 5 let. Fakturu za technickou podporu vystavuje dodavatel zpětně za uplynulé období, a to nejpozději do 30 dnů </w:t>
            </w:r>
            <w:r w:rsidRPr="005C0B59">
              <w:rPr>
                <w:iCs/>
              </w:rPr>
              <w:t>od ukončení uplynulého (fakturovaného) období.</w:t>
            </w:r>
          </w:p>
          <w:p w:rsidRPr="008162B7" w:rsidR="0031547E" w:rsidP="0031547E" w:rsidRDefault="0031547E" w14:paraId="28DBF8C3" w14:textId="77777777">
            <w:pPr>
              <w:pStyle w:val="Tabulkatext"/>
              <w:numPr>
                <w:ilvl w:val="0"/>
                <w:numId w:val="26"/>
              </w:numPr>
              <w:rPr>
                <w:iCs/>
              </w:rPr>
            </w:pPr>
            <w:r w:rsidRPr="005C0B59">
              <w:rPr>
                <w:iCs/>
              </w:rPr>
              <w:t>Splatnost faktury</w:t>
            </w:r>
            <w:r w:rsidRPr="008162B7">
              <w:rPr>
                <w:iCs/>
              </w:rPr>
              <w:t xml:space="preserve"> je </w:t>
            </w:r>
            <w:r>
              <w:rPr>
                <w:iCs/>
              </w:rPr>
              <w:t>21</w:t>
            </w:r>
            <w:r w:rsidRPr="008162B7">
              <w:rPr>
                <w:iCs/>
              </w:rPr>
              <w:t xml:space="preserve"> dnů ode dne doručení faktury zadavateli.</w:t>
            </w:r>
          </w:p>
          <w:p w:rsidRPr="0031547E" w:rsidR="0031547E" w:rsidP="0031547E" w:rsidRDefault="0031547E" w14:paraId="7750452B" w14:textId="1E0A906B">
            <w:pPr>
              <w:pStyle w:val="Tabulkatext"/>
              <w:numPr>
                <w:ilvl w:val="0"/>
                <w:numId w:val="26"/>
              </w:numPr>
              <w:rPr>
                <w:i/>
              </w:rPr>
            </w:pPr>
            <w:r w:rsidRPr="008162B7">
              <w:rPr>
                <w:iCs/>
              </w:rPr>
              <w:t>Další podmínky financování a platební podmínky jsou uvedeny v obchodních podmínkách zadavatele zpracovaných v návrhu smlouvy.</w:t>
            </w:r>
          </w:p>
        </w:tc>
      </w:tr>
      <w:tr w:rsidRPr="00E50090" w:rsidR="00E14E40" w:rsidTr="0031547E" w14:paraId="2A081C43" w14:textId="77777777">
        <w:trPr>
          <w:gridAfter w:val="1"/>
          <w:wAfter w:w="85" w:type="dxa"/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E14E40" w:rsidP="00D92737" w:rsidRDefault="00C642D8" w14:paraId="4CDBDF08" w14:textId="5620EE2D">
            <w:pPr>
              <w:pStyle w:val="Tabulkatext"/>
              <w:rPr>
                <w:b/>
                <w:bCs/>
              </w:rPr>
            </w:pPr>
            <w:r w:rsidRPr="00C642D8">
              <w:rPr>
                <w:b/>
                <w:bCs/>
              </w:rPr>
              <w:t xml:space="preserve">Společensky </w:t>
            </w:r>
            <w:r>
              <w:rPr>
                <w:b/>
                <w:bCs/>
              </w:rPr>
              <w:t>a e</w:t>
            </w:r>
            <w:r w:rsidRPr="00C642D8">
              <w:rPr>
                <w:b/>
                <w:bCs/>
              </w:rPr>
              <w:t>nvironmentálně odpovědné zadávání</w:t>
            </w:r>
          </w:p>
        </w:tc>
      </w:tr>
      <w:tr w:rsidRPr="00E50090" w:rsidR="00E14E40" w:rsidTr="0031547E" w14:paraId="2966BBC9" w14:textId="77777777">
        <w:trPr>
          <w:gridAfter w:val="1"/>
          <w:wAfter w:w="85" w:type="dxa"/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C642D8" w:rsidR="00C642D8" w:rsidP="00C642D8" w:rsidRDefault="0031547E" w14:paraId="7670172D" w14:textId="45360A7D">
            <w:pPr>
              <w:pStyle w:val="Tabulkatext"/>
              <w:numPr>
                <w:ilvl w:val="0"/>
                <w:numId w:val="26"/>
              </w:numPr>
              <w:rPr>
                <w:i/>
              </w:rPr>
            </w:pPr>
            <w:r w:rsidRPr="0031547E">
              <w:rPr>
                <w:iCs/>
              </w:rPr>
              <w:t xml:space="preserve">Objednatel má zájem dílo </w:t>
            </w:r>
            <w:proofErr w:type="gramStart"/>
            <w:r w:rsidRPr="0031547E">
              <w:rPr>
                <w:iCs/>
              </w:rPr>
              <w:t>realizovat s souladu</w:t>
            </w:r>
            <w:proofErr w:type="gramEnd"/>
            <w:r w:rsidRPr="0031547E">
              <w:rPr>
                <w:iCs/>
              </w:rPr>
              <w:t xml:space="preserve"> se zásadami společensky odpovědného zadávání. Sociálně odpovědné zadávání Objednatel podporuje krátkou splatností faktur. Zhotovitel se zavazuje tuto skutečnost zohlednit i ve vztazích vůči subjektům spolupracujícím se Zhotovitelem.</w:t>
            </w:r>
          </w:p>
          <w:p w:rsidRPr="006D4968" w:rsidR="0031547E" w:rsidP="00C642D8" w:rsidRDefault="0031547E" w14:paraId="372F373C" w14:textId="1D523962">
            <w:pPr>
              <w:pStyle w:val="Tabulkatext"/>
              <w:numPr>
                <w:ilvl w:val="0"/>
                <w:numId w:val="26"/>
              </w:numPr>
              <w:rPr>
                <w:i/>
              </w:rPr>
            </w:pPr>
            <w:r w:rsidRPr="0031547E">
              <w:rPr>
                <w:iCs/>
              </w:rPr>
              <w:t>Podmínka environmentálně odpovědného zadávání je zadavatelem zohledněna v samotném účelu veřejné zakázky, neboť projekt zaměřený na digitalizaci úřední desky nahradí stávající papírový formát, čímž dojde k eliminaci tisku vyvěšovaných materiálů, a tím významné úspoře papíru.</w:t>
            </w:r>
          </w:p>
        </w:tc>
      </w:tr>
      <w:tr w:rsidRPr="00E50090" w:rsidR="005C6C32" w:rsidTr="0031547E" w14:paraId="00FB8DF4" w14:textId="77777777">
        <w:trPr>
          <w:gridAfter w:val="1"/>
          <w:wAfter w:w="85" w:type="dxa"/>
          <w:trHeight w:val="20"/>
        </w:trPr>
        <w:tc>
          <w:tcPr>
            <w:tcW w:w="3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5C6C32" w:rsidP="00D92737" w:rsidRDefault="00630E04" w14:paraId="653EDEB7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Zadávací řízení se řídí</w:t>
            </w:r>
          </w:p>
        </w:tc>
        <w:tc>
          <w:tcPr>
            <w:tcW w:w="573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7762C9" w:rsidR="005C6C32" w:rsidP="007E6E16" w:rsidRDefault="005C6C32" w14:paraId="37F3045F" w14:textId="072F6992">
            <w:pPr>
              <w:pStyle w:val="Tabulkatext"/>
              <w:rPr>
                <w:iCs/>
                <w:u w:val="single"/>
              </w:rPr>
            </w:pPr>
            <w:r w:rsidRPr="007762C9">
              <w:rPr>
                <w:iCs/>
              </w:rPr>
              <w:t xml:space="preserve">Obecnou částí pravidel pro žadatele a příjemce v rámci </w:t>
            </w:r>
            <w:r w:rsidRPr="007762C9" w:rsidR="0019708B">
              <w:rPr>
                <w:iCs/>
              </w:rPr>
              <w:t xml:space="preserve">Operačního programu </w:t>
            </w:r>
            <w:r w:rsidRPr="005C0B59" w:rsidR="0019708B">
              <w:rPr>
                <w:iCs/>
              </w:rPr>
              <w:t xml:space="preserve">Zaměstnanost (vydání č. </w:t>
            </w:r>
            <w:r w:rsidRPr="005C0B59" w:rsidR="00D203D8">
              <w:rPr>
                <w:iCs/>
              </w:rPr>
              <w:t>14</w:t>
            </w:r>
            <w:r w:rsidRPr="005C0B59" w:rsidR="0019708B">
              <w:rPr>
                <w:iCs/>
              </w:rPr>
              <w:t>)</w:t>
            </w:r>
            <w:r w:rsidRPr="005C0B59">
              <w:rPr>
                <w:iCs/>
              </w:rPr>
              <w:t xml:space="preserve">, na </w:t>
            </w:r>
            <w:r w:rsidRPr="005C0B59" w:rsidR="0019708B">
              <w:rPr>
                <w:iCs/>
              </w:rPr>
              <w:t xml:space="preserve">toto </w:t>
            </w:r>
            <w:r w:rsidRPr="005C0B59">
              <w:rPr>
                <w:iCs/>
              </w:rPr>
              <w:t>zadávací řízení se neaplikují ustanovení zákona č.</w:t>
            </w:r>
            <w:r w:rsidRPr="005C0B59" w:rsidR="001D3B11">
              <w:rPr>
                <w:iCs/>
              </w:rPr>
              <w:t> </w:t>
            </w:r>
            <w:r w:rsidRPr="005C0B59">
              <w:rPr>
                <w:iCs/>
              </w:rPr>
              <w:t>13</w:t>
            </w:r>
            <w:r w:rsidRPr="005C0B59" w:rsidR="007E6E16">
              <w:rPr>
                <w:iCs/>
              </w:rPr>
              <w:t>4</w:t>
            </w:r>
            <w:r w:rsidRPr="007762C9">
              <w:rPr>
                <w:iCs/>
              </w:rPr>
              <w:t>/20</w:t>
            </w:r>
            <w:r w:rsidRPr="007762C9" w:rsidR="007E6E16">
              <w:rPr>
                <w:iCs/>
              </w:rPr>
              <w:t>1</w:t>
            </w:r>
            <w:r w:rsidRPr="007762C9">
              <w:rPr>
                <w:iCs/>
              </w:rPr>
              <w:t xml:space="preserve">6 Sb., o </w:t>
            </w:r>
            <w:r w:rsidRPr="007762C9" w:rsidR="007E6E16">
              <w:rPr>
                <w:iCs/>
              </w:rPr>
              <w:t xml:space="preserve">zadávání </w:t>
            </w:r>
            <w:r w:rsidRPr="007762C9">
              <w:rPr>
                <w:iCs/>
              </w:rPr>
              <w:t>veřejných zakáz</w:t>
            </w:r>
            <w:r w:rsidRPr="007762C9" w:rsidR="007E6E16">
              <w:rPr>
                <w:iCs/>
              </w:rPr>
              <w:t>e</w:t>
            </w:r>
            <w:r w:rsidRPr="007762C9">
              <w:rPr>
                <w:iCs/>
              </w:rPr>
              <w:t>k.</w:t>
            </w:r>
          </w:p>
        </w:tc>
      </w:tr>
      <w:tr w:rsidRPr="00E50090" w:rsidR="005C6C32" w:rsidTr="0031547E" w14:paraId="78D27A4A" w14:textId="77777777">
        <w:trPr>
          <w:gridAfter w:val="1"/>
          <w:wAfter w:w="85" w:type="dxa"/>
          <w:trHeight w:val="20"/>
        </w:trPr>
        <w:tc>
          <w:tcPr>
            <w:tcW w:w="8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E50090" w:rsidR="005C6C32" w:rsidP="00D92737" w:rsidRDefault="005C6C32" w14:paraId="4D816A29" w14:textId="77777777">
            <w:pPr>
              <w:pStyle w:val="Tabulkatext"/>
              <w:rPr>
                <w:i/>
              </w:rPr>
            </w:pPr>
            <w:r w:rsidRPr="00E50090">
              <w:rPr>
                <w:b/>
                <w:bCs/>
              </w:rPr>
              <w:t>Dodavatelé budou vyrozumívání o výsledku</w:t>
            </w:r>
            <w:r w:rsidRPr="00E50090" w:rsidR="009A66A1">
              <w:rPr>
                <w:b/>
                <w:bCs/>
              </w:rPr>
              <w:t>,</w:t>
            </w:r>
            <w:r w:rsidRPr="00E50090">
              <w:rPr>
                <w:b/>
                <w:bCs/>
              </w:rPr>
              <w:t xml:space="preserve"> resp. zrušení zadávacího řízení a o příp. vyloučení nabídky prostřednictvím uveřejnění informace na portálu </w:t>
            </w:r>
            <w:hyperlink w:history="true" r:id="rId9">
              <w:r w:rsidRPr="00E50090" w:rsidR="00BB0C81">
                <w:rPr>
                  <w:rStyle w:val="Hypertextovodkaz"/>
                  <w:b/>
                  <w:bCs/>
                </w:rPr>
                <w:t>www.esfcr.cz</w:t>
              </w:r>
            </w:hyperlink>
            <w:r w:rsidRPr="00E50090">
              <w:rPr>
                <w:b/>
                <w:bCs/>
              </w:rPr>
              <w:t xml:space="preserve"> pod výše u</w:t>
            </w:r>
            <w:r w:rsidRPr="00E50090" w:rsidR="00BB0C81">
              <w:rPr>
                <w:b/>
                <w:bCs/>
              </w:rPr>
              <w:t>vedeným názvem veřejné zakázky.</w:t>
            </w:r>
          </w:p>
        </w:tc>
      </w:tr>
    </w:tbl>
    <w:p w:rsidR="005C6C32" w:rsidP="00D92737" w:rsidRDefault="005C6C32" w14:paraId="3DAA548E" w14:textId="7777777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6445B9" w:rsidTr="00872B1B" w14:paraId="256CA161" w14:textId="77777777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6445B9" w:rsidP="00D92737" w:rsidRDefault="006445B9" w14:paraId="4A7AA62D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lastRenderedPageBreak/>
              <w:t xml:space="preserve">Datum a podpis osoby oprávněné jednat za zadavatele </w:t>
            </w:r>
            <w:bookmarkStart w:name="_GoBack" w:id="0"/>
            <w:bookmarkEnd w:id="0"/>
          </w:p>
        </w:tc>
        <w:tc>
          <w:tcPr>
            <w:tcW w:w="5244" w:type="dxa"/>
            <w:shd w:val="clear" w:color="auto" w:fill="auto"/>
          </w:tcPr>
          <w:p w:rsidRPr="00AB2EFF" w:rsidR="006445B9" w:rsidP="00D92737" w:rsidRDefault="006445B9" w14:paraId="5E45D6FA" w14:textId="026C7B38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</w:t>
            </w:r>
            <w:r w:rsidR="00CA587A">
              <w:rPr>
                <w:rFonts w:ascii="Arial" w:hAnsi="Arial" w:cs="Arial"/>
                <w:sz w:val="20"/>
                <w:szCs w:val="20"/>
              </w:rPr>
              <w:t>Novém Jičíně</w:t>
            </w:r>
            <w:r w:rsidRPr="00AB2EFF">
              <w:rPr>
                <w:rFonts w:ascii="Arial" w:hAnsi="Arial" w:cs="Arial"/>
                <w:sz w:val="20"/>
                <w:szCs w:val="20"/>
              </w:rPr>
              <w:t xml:space="preserve"> dne</w:t>
            </w:r>
            <w:r w:rsidR="00CA58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77C99">
              <w:rPr>
                <w:rFonts w:ascii="Arial" w:hAnsi="Arial" w:cs="Arial"/>
                <w:sz w:val="20"/>
                <w:szCs w:val="20"/>
              </w:rPr>
              <w:t>04</w:t>
            </w:r>
            <w:r w:rsidR="00CA587A">
              <w:rPr>
                <w:rFonts w:ascii="Arial" w:hAnsi="Arial" w:cs="Arial"/>
                <w:sz w:val="20"/>
                <w:szCs w:val="20"/>
              </w:rPr>
              <w:t>.</w:t>
            </w:r>
            <w:r w:rsidR="00177C99">
              <w:rPr>
                <w:rFonts w:ascii="Arial" w:hAnsi="Arial" w:cs="Arial"/>
                <w:sz w:val="20"/>
                <w:szCs w:val="20"/>
              </w:rPr>
              <w:t>05</w:t>
            </w:r>
            <w:r w:rsidR="00CA587A">
              <w:rPr>
                <w:rFonts w:ascii="Arial" w:hAnsi="Arial" w:cs="Arial"/>
                <w:sz w:val="20"/>
                <w:szCs w:val="20"/>
              </w:rPr>
              <w:t>.2022</w:t>
            </w:r>
            <w:proofErr w:type="gramEnd"/>
          </w:p>
          <w:p w:rsidRPr="00AB2EFF" w:rsidR="006445B9" w:rsidP="00D92737" w:rsidRDefault="006445B9" w14:paraId="38550B5D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6445B9" w:rsidP="00D92737" w:rsidRDefault="006445B9" w14:paraId="31A1C0C2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CB1E35" w:rsidP="00D92737" w:rsidRDefault="00CB1E35" w14:paraId="3A534BD7" w14:textId="77777777">
      <w:pPr>
        <w:spacing w:after="0"/>
        <w:rPr>
          <w:rFonts w:ascii="Arial" w:hAnsi="Arial" w:eastAsia="Times New Roman" w:cs="Arial"/>
          <w:iCs/>
          <w:color w:val="auto"/>
          <w:highlight w:val="yellow"/>
          <w:lang w:eastAsia="cs-CZ"/>
        </w:rPr>
      </w:pPr>
    </w:p>
    <w:p w:rsidRPr="00CB1E35" w:rsidR="00CB1E35" w:rsidP="00D92737" w:rsidRDefault="00CB1E35" w14:paraId="115A81A6" w14:textId="169DAF1B">
      <w:pPr>
        <w:spacing w:after="0"/>
        <w:rPr>
          <w:rFonts w:ascii="Arial" w:hAnsi="Arial" w:eastAsia="Times New Roman" w:cs="Arial"/>
          <w:iCs/>
          <w:color w:val="auto"/>
          <w:lang w:eastAsia="cs-CZ"/>
        </w:rPr>
      </w:pPr>
      <w:r w:rsidRPr="00CB1E35">
        <w:rPr>
          <w:rFonts w:ascii="Arial" w:hAnsi="Arial" w:eastAsia="Times New Roman" w:cs="Arial"/>
          <w:iCs/>
          <w:color w:val="auto"/>
          <w:lang w:eastAsia="cs-CZ"/>
        </w:rPr>
        <w:t>Přílohy:</w:t>
      </w:r>
    </w:p>
    <w:p w:rsidRPr="00CB1E35" w:rsidR="005C0B59" w:rsidP="00D92737" w:rsidRDefault="005C0B59" w14:paraId="669F34B7" w14:textId="40302078">
      <w:pPr>
        <w:spacing w:after="0"/>
        <w:rPr>
          <w:rFonts w:ascii="Arial" w:hAnsi="Arial" w:eastAsia="Times New Roman" w:cs="Arial"/>
          <w:iCs/>
          <w:color w:val="auto"/>
          <w:lang w:eastAsia="cs-CZ"/>
        </w:rPr>
      </w:pPr>
      <w:r w:rsidRPr="00CB1E35">
        <w:rPr>
          <w:rFonts w:ascii="Arial" w:hAnsi="Arial" w:eastAsia="Times New Roman" w:cs="Arial"/>
          <w:iCs/>
          <w:color w:val="auto"/>
          <w:lang w:eastAsia="cs-CZ"/>
        </w:rPr>
        <w:t>Příloha č.1 – Technická specifikace</w:t>
      </w:r>
    </w:p>
    <w:p w:rsidRPr="00CB1E35" w:rsidR="00CB1E35" w:rsidP="00D92737" w:rsidRDefault="00CB1E35" w14:paraId="2A14810B" w14:textId="02311695">
      <w:pPr>
        <w:spacing w:after="0"/>
        <w:rPr>
          <w:rFonts w:ascii="Arial" w:hAnsi="Arial" w:eastAsia="Times New Roman" w:cs="Arial"/>
          <w:iCs/>
          <w:color w:val="auto"/>
          <w:lang w:eastAsia="cs-CZ"/>
        </w:rPr>
      </w:pPr>
      <w:r w:rsidRPr="00CB1E35">
        <w:rPr>
          <w:rFonts w:ascii="Arial" w:hAnsi="Arial" w:eastAsia="Times New Roman" w:cs="Arial"/>
          <w:iCs/>
          <w:color w:val="auto"/>
          <w:lang w:eastAsia="cs-CZ"/>
        </w:rPr>
        <w:t>Příloha č.2 – Krycí list nabídky</w:t>
      </w:r>
    </w:p>
    <w:p w:rsidRPr="00CB1E35" w:rsidR="00CB1E35" w:rsidP="00CB1E35" w:rsidRDefault="00CB1E35" w14:paraId="08A48904" w14:textId="0B627814">
      <w:pPr>
        <w:spacing w:after="0"/>
        <w:rPr>
          <w:rFonts w:ascii="Arial" w:hAnsi="Arial" w:eastAsia="Times New Roman" w:cs="Arial"/>
          <w:iCs/>
          <w:color w:val="auto"/>
          <w:lang w:eastAsia="cs-CZ"/>
        </w:rPr>
      </w:pPr>
      <w:r w:rsidRPr="00CB1E35">
        <w:rPr>
          <w:rFonts w:ascii="Arial" w:hAnsi="Arial" w:eastAsia="Times New Roman" w:cs="Arial"/>
          <w:iCs/>
          <w:color w:val="auto"/>
          <w:lang w:eastAsia="cs-CZ"/>
        </w:rPr>
        <w:t>Příloha č.3 – Čestné prohlášení</w:t>
      </w:r>
    </w:p>
    <w:p w:rsidR="005C6C32" w:rsidP="000301E2" w:rsidRDefault="00CB1E35" w14:paraId="4796B047" w14:textId="571BCE11">
      <w:pPr>
        <w:spacing w:after="0"/>
        <w:rPr>
          <w:rFonts w:ascii="Arial" w:hAnsi="Arial" w:eastAsia="Times New Roman" w:cs="Arial"/>
          <w:iCs/>
          <w:color w:val="auto"/>
          <w:lang w:eastAsia="cs-CZ"/>
        </w:rPr>
      </w:pPr>
      <w:r w:rsidRPr="00CB1E35">
        <w:rPr>
          <w:rFonts w:ascii="Arial" w:hAnsi="Arial" w:eastAsia="Times New Roman" w:cs="Arial"/>
          <w:iCs/>
          <w:color w:val="auto"/>
          <w:lang w:eastAsia="cs-CZ"/>
        </w:rPr>
        <w:t>Příloha č.4 – Návrh kupní smlouvy</w:t>
      </w:r>
    </w:p>
    <w:p w:rsidRPr="000301E2" w:rsidR="009572BE" w:rsidP="000301E2" w:rsidRDefault="009572BE" w14:paraId="60BD4F92" w14:textId="1F4FD71B">
      <w:pPr>
        <w:spacing w:after="0"/>
        <w:rPr>
          <w:rFonts w:ascii="Arial" w:hAnsi="Arial" w:eastAsia="Times New Roman" w:cs="Arial"/>
          <w:iCs/>
          <w:color w:val="auto"/>
          <w:lang w:eastAsia="cs-CZ"/>
        </w:rPr>
      </w:pPr>
      <w:r w:rsidRPr="00CB1E35">
        <w:rPr>
          <w:rFonts w:ascii="Arial" w:hAnsi="Arial" w:eastAsia="Times New Roman" w:cs="Arial"/>
          <w:iCs/>
          <w:color w:val="auto"/>
          <w:lang w:eastAsia="cs-CZ"/>
        </w:rPr>
        <w:t>Příloha č.</w:t>
      </w:r>
      <w:r>
        <w:rPr>
          <w:rFonts w:ascii="Arial" w:hAnsi="Arial" w:eastAsia="Times New Roman" w:cs="Arial"/>
          <w:iCs/>
          <w:color w:val="auto"/>
          <w:lang w:eastAsia="cs-CZ"/>
        </w:rPr>
        <w:t>5</w:t>
      </w:r>
      <w:r w:rsidRPr="00CB1E35">
        <w:rPr>
          <w:rFonts w:ascii="Arial" w:hAnsi="Arial" w:eastAsia="Times New Roman" w:cs="Arial"/>
          <w:iCs/>
          <w:color w:val="auto"/>
          <w:lang w:eastAsia="cs-CZ"/>
        </w:rPr>
        <w:t xml:space="preserve"> – </w:t>
      </w:r>
      <w:r w:rsidRPr="009572BE">
        <w:rPr>
          <w:rFonts w:ascii="Arial" w:hAnsi="Arial" w:eastAsia="Times New Roman" w:cs="Arial"/>
          <w:iCs/>
          <w:color w:val="auto"/>
          <w:lang w:eastAsia="cs-CZ"/>
        </w:rPr>
        <w:t>Um</w:t>
      </w:r>
      <w:r>
        <w:rPr>
          <w:rFonts w:ascii="Arial" w:hAnsi="Arial" w:eastAsia="Times New Roman" w:cs="Arial"/>
          <w:iCs/>
          <w:color w:val="auto"/>
          <w:lang w:eastAsia="cs-CZ"/>
        </w:rPr>
        <w:t xml:space="preserve">ístění </w:t>
      </w:r>
      <w:r w:rsidRPr="009572BE">
        <w:rPr>
          <w:rFonts w:ascii="Arial" w:hAnsi="Arial" w:eastAsia="Times New Roman" w:cs="Arial"/>
          <w:iCs/>
          <w:color w:val="auto"/>
          <w:lang w:eastAsia="cs-CZ"/>
        </w:rPr>
        <w:t>E</w:t>
      </w:r>
      <w:r>
        <w:rPr>
          <w:rFonts w:ascii="Arial" w:hAnsi="Arial" w:eastAsia="Times New Roman" w:cs="Arial"/>
          <w:iCs/>
          <w:color w:val="auto"/>
          <w:lang w:eastAsia="cs-CZ"/>
        </w:rPr>
        <w:t>Ú</w:t>
      </w:r>
      <w:r w:rsidRPr="009572BE">
        <w:rPr>
          <w:rFonts w:ascii="Arial" w:hAnsi="Arial" w:eastAsia="Times New Roman" w:cs="Arial"/>
          <w:iCs/>
          <w:color w:val="auto"/>
          <w:lang w:eastAsia="cs-CZ"/>
        </w:rPr>
        <w:t>D</w:t>
      </w:r>
    </w:p>
    <w:sectPr w:rsidRPr="000301E2" w:rsidR="009572BE" w:rsidSect="00830A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A44983" w:rsidP="00744469" w:rsidRDefault="00A44983" w14:paraId="62954A47" w14:textId="77777777">
      <w:pPr>
        <w:spacing w:after="0"/>
      </w:pPr>
      <w:r>
        <w:separator/>
      </w:r>
    </w:p>
  </w:endnote>
  <w:endnote w:type="continuationSeparator" w:id="0">
    <w:p w:rsidR="00A44983" w:rsidP="00744469" w:rsidRDefault="00A44983" w14:paraId="4667A0C1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 w14:paraId="6F2CC838" w14:textId="77777777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 w14:paraId="4CABA02D" w14:textId="77777777">
          <w:pPr>
            <w:pStyle w:val="Tabulkazhlav"/>
          </w:pPr>
        </w:p>
      </w:tc>
    </w:tr>
    <w:tr w:rsidR="00A47B09" w:rsidTr="00830A79" w14:paraId="0A6606DB" w14:textId="77777777"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2409FF70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 w14:paraId="2E991F2A" w14:textId="77777777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 w14:paraId="434D5FEE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77C99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A44983">
            <w:rPr>
              <w:noProof/>
            </w:rPr>
            <w:fldChar w:fldCharType="begin"/>
          </w:r>
          <w:r w:rsidR="00A44983">
            <w:rPr>
              <w:noProof/>
            </w:rPr>
            <w:instrText xml:space="preserve"> NUMPAGES   \* MERGEFORMAT </w:instrText>
          </w:r>
          <w:r w:rsidR="00A44983">
            <w:rPr>
              <w:noProof/>
            </w:rPr>
            <w:fldChar w:fldCharType="separate"/>
          </w:r>
          <w:r w:rsidR="00177C99">
            <w:rPr>
              <w:noProof/>
            </w:rPr>
            <w:t>6</w:t>
          </w:r>
          <w:r w:rsidR="00A44983">
            <w:rPr>
              <w:noProof/>
            </w:rPr>
            <w:fldChar w:fldCharType="end"/>
          </w:r>
        </w:p>
      </w:tc>
    </w:tr>
  </w:tbl>
  <w:p w:rsidR="00830A79" w:rsidRDefault="00830A79" w14:paraId="0721A76D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 w14:paraId="69B17C2E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 w14:paraId="5A3CCDD6" w14:textId="77777777">
          <w:pPr>
            <w:pStyle w:val="Tabulkazhlav"/>
            <w:rPr>
              <w:b w:val="false"/>
            </w:rPr>
          </w:pPr>
        </w:p>
      </w:tc>
    </w:tr>
    <w:tr w:rsidR="00A34F9E" w:rsidTr="00A34F9E" w14:paraId="46A860A7" w14:textId="77777777"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58F5F110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 w14:paraId="6E2DD26B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 w14:paraId="6EEE4A61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A44983">
            <w:rPr>
              <w:noProof/>
            </w:rPr>
            <w:fldChar w:fldCharType="begin"/>
          </w:r>
          <w:r w:rsidR="00A44983">
            <w:rPr>
              <w:noProof/>
            </w:rPr>
            <w:instrText xml:space="preserve"> NUMPAGES   \* MERGEFORMAT </w:instrText>
          </w:r>
          <w:r w:rsidR="00A44983">
            <w:rPr>
              <w:noProof/>
            </w:rPr>
            <w:fldChar w:fldCharType="separate"/>
          </w:r>
          <w:r w:rsidR="00830A79">
            <w:rPr>
              <w:noProof/>
            </w:rPr>
            <w:t>1</w:t>
          </w:r>
          <w:r w:rsidR="00A44983">
            <w:rPr>
              <w:noProof/>
            </w:rPr>
            <w:fldChar w:fldCharType="end"/>
          </w:r>
        </w:p>
      </w:tc>
    </w:tr>
  </w:tbl>
  <w:p w:rsidR="00A34F9E" w:rsidRDefault="00A34F9E" w14:paraId="4490B26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A44983" w:rsidP="00744469" w:rsidRDefault="00A44983" w14:paraId="698C857D" w14:textId="77777777">
      <w:pPr>
        <w:spacing w:after="0"/>
      </w:pPr>
      <w:r>
        <w:separator/>
      </w:r>
    </w:p>
  </w:footnote>
  <w:footnote w:type="continuationSeparator" w:id="0">
    <w:p w:rsidR="00A44983" w:rsidP="00744469" w:rsidRDefault="00A44983" w14:paraId="7FF082DF" w14:textId="77777777">
      <w:pPr>
        <w:spacing w:after="0"/>
      </w:pPr>
      <w:r>
        <w:continuationSeparator/>
      </w:r>
    </w:p>
  </w:footnote>
  <w:footnote w:id="1">
    <w:p w:rsidR="005C6C32" w:rsidP="005C6C32" w:rsidRDefault="005C6C32" w14:paraId="1F58CFC5" w14:textId="77777777">
      <w:pPr>
        <w:pStyle w:val="Textpoznpodarou"/>
      </w:pPr>
      <w:r>
        <w:rPr>
          <w:rStyle w:val="Znakapoznpodarou"/>
        </w:rPr>
        <w:footnoteRef/>
      </w:r>
      <w:r>
        <w:t xml:space="preserve"> Pole s povinnými náležitostmi výzvy jsou podbarvená.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30A79" w:rsidRDefault="00830A79" w14:paraId="4579B93C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 w14:paraId="69C402D1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34F9E" w:rsidRDefault="00A34F9E" w14:paraId="4C8CA6E3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 w14:paraId="4AEB3359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7" o:bullet="t">
        <v:imagedata o:title="ul" r:id="rId1"/>
      </v:shape>
    </w:pict>
  </w:numPicBullet>
  <w:abstractNum w:abstractNumId="0">
    <w:nsid w:val="045C763D"/>
    <w:multiLevelType w:val="hybridMultilevel"/>
    <w:tmpl w:val="9F061A00"/>
    <w:lvl w:ilvl="0" w:tplc="0405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64EF8"/>
    <w:multiLevelType w:val="hybridMultilevel"/>
    <w:tmpl w:val="DA7A0A80"/>
    <w:lvl w:ilvl="0" w:tplc="A6AEEB6A">
      <w:numFmt w:val="bullet"/>
      <w:lvlText w:val="-"/>
      <w:lvlJc w:val="left"/>
      <w:pPr>
        <w:ind w:left="41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5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6">
    <w:nsid w:val="23CE446F"/>
    <w:multiLevelType w:val="hybridMultilevel"/>
    <w:tmpl w:val="D480DD22"/>
    <w:lvl w:ilvl="0" w:tplc="0405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FFFFFFFF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FFFFFFFF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7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72E17"/>
    <w:multiLevelType w:val="hybridMultilevel"/>
    <w:tmpl w:val="B7D2A24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3CA36EBF"/>
    <w:multiLevelType w:val="hybridMultilevel"/>
    <w:tmpl w:val="64F44876"/>
    <w:lvl w:ilvl="0" w:tplc="0102EFF0">
      <w:numFmt w:val="bullet"/>
      <w:lvlText w:val="-"/>
      <w:lvlJc w:val="left"/>
      <w:pPr>
        <w:ind w:left="41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2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A2A6EF3"/>
    <w:multiLevelType w:val="hybridMultilevel"/>
    <w:tmpl w:val="4C2A7516"/>
    <w:lvl w:ilvl="0" w:tplc="0405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FFFFFFFF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FFFFFFFF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FFFFFFFF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FFFFFFFF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4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E3F1415"/>
    <w:multiLevelType w:val="hybridMultilevel"/>
    <w:tmpl w:val="FFC49E5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67332DE"/>
    <w:multiLevelType w:val="hybridMultilevel"/>
    <w:tmpl w:val="687CB35A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9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5BD11C86"/>
    <w:multiLevelType w:val="hybridMultilevel"/>
    <w:tmpl w:val="DB76E20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2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41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23">
    <w:nsid w:val="69EA7F3F"/>
    <w:multiLevelType w:val="hybridMultilevel"/>
    <w:tmpl w:val="E58E064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7E171538"/>
    <w:multiLevelType w:val="hybridMultilevel"/>
    <w:tmpl w:val="5292128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4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2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3"/>
  </w:num>
  <w:num w:numId="1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7"/>
  </w:num>
  <w:num w:numId="17">
    <w:abstractNumId w:val="8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5"/>
  </w:num>
  <w:num w:numId="22">
    <w:abstractNumId w:val="16"/>
  </w:num>
  <w:num w:numId="23">
    <w:abstractNumId w:val="19"/>
  </w:num>
  <w:num w:numId="24">
    <w:abstractNumId w:val="21"/>
  </w:num>
  <w:num w:numId="25">
    <w:abstractNumId w:val="15"/>
  </w:num>
  <w:num w:numId="26">
    <w:abstractNumId w:val="22"/>
  </w:num>
  <w:num w:numId="27">
    <w:abstractNumId w:val="20"/>
  </w:num>
  <w:num w:numId="28">
    <w:abstractNumId w:val="4"/>
  </w:num>
  <w:num w:numId="29">
    <w:abstractNumId w:val="6"/>
  </w:num>
  <w:num w:numId="30">
    <w:abstractNumId w:val="0"/>
  </w:num>
  <w:num w:numId="31">
    <w:abstractNumId w:val="10"/>
  </w:num>
  <w:num w:numId="32">
    <w:abstractNumId w:val="23"/>
  </w:num>
  <w:num w:numId="33">
    <w:abstractNumId w:val="25"/>
  </w:num>
  <w:num w:numId="34">
    <w:abstractNumId w:val="18"/>
  </w:num>
  <w:num w:numId="35">
    <w:abstractNumId w:val="11"/>
  </w:num>
  <w:num w:numId="36">
    <w:abstractNumId w:val="13"/>
  </w:num>
  <w:num w:numId="37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04"/>
    <w:rsid w:val="00014B04"/>
    <w:rsid w:val="00015461"/>
    <w:rsid w:val="000208FA"/>
    <w:rsid w:val="000217DF"/>
    <w:rsid w:val="000301E2"/>
    <w:rsid w:val="0004253F"/>
    <w:rsid w:val="00042575"/>
    <w:rsid w:val="000532DA"/>
    <w:rsid w:val="00055362"/>
    <w:rsid w:val="00057C9B"/>
    <w:rsid w:val="0006328F"/>
    <w:rsid w:val="00065731"/>
    <w:rsid w:val="00067B65"/>
    <w:rsid w:val="00067F8E"/>
    <w:rsid w:val="00073CC8"/>
    <w:rsid w:val="000769AE"/>
    <w:rsid w:val="00077641"/>
    <w:rsid w:val="00077D88"/>
    <w:rsid w:val="00080E11"/>
    <w:rsid w:val="0008236E"/>
    <w:rsid w:val="00084CE4"/>
    <w:rsid w:val="000A1FE3"/>
    <w:rsid w:val="000B25D8"/>
    <w:rsid w:val="000C0FA8"/>
    <w:rsid w:val="000D00EE"/>
    <w:rsid w:val="000E11BF"/>
    <w:rsid w:val="000F0056"/>
    <w:rsid w:val="000F5592"/>
    <w:rsid w:val="00105BE3"/>
    <w:rsid w:val="001137E8"/>
    <w:rsid w:val="0011753D"/>
    <w:rsid w:val="00121E84"/>
    <w:rsid w:val="00140A0C"/>
    <w:rsid w:val="00153DFF"/>
    <w:rsid w:val="001641A3"/>
    <w:rsid w:val="001673AF"/>
    <w:rsid w:val="001769A3"/>
    <w:rsid w:val="001776A7"/>
    <w:rsid w:val="00177C99"/>
    <w:rsid w:val="001819EE"/>
    <w:rsid w:val="00184F3F"/>
    <w:rsid w:val="00185596"/>
    <w:rsid w:val="00194656"/>
    <w:rsid w:val="001968C1"/>
    <w:rsid w:val="0019708B"/>
    <w:rsid w:val="001A735A"/>
    <w:rsid w:val="001B1706"/>
    <w:rsid w:val="001B4C24"/>
    <w:rsid w:val="001B55D7"/>
    <w:rsid w:val="001C08A2"/>
    <w:rsid w:val="001C5B58"/>
    <w:rsid w:val="001C5C21"/>
    <w:rsid w:val="001D1395"/>
    <w:rsid w:val="001D3B11"/>
    <w:rsid w:val="001D3DFE"/>
    <w:rsid w:val="001D5560"/>
    <w:rsid w:val="001E7692"/>
    <w:rsid w:val="001F2EB8"/>
    <w:rsid w:val="00201111"/>
    <w:rsid w:val="00202271"/>
    <w:rsid w:val="0020570D"/>
    <w:rsid w:val="00211CCD"/>
    <w:rsid w:val="002319F2"/>
    <w:rsid w:val="002421AB"/>
    <w:rsid w:val="00252BF4"/>
    <w:rsid w:val="00254798"/>
    <w:rsid w:val="00265BDF"/>
    <w:rsid w:val="002671A0"/>
    <w:rsid w:val="00282E14"/>
    <w:rsid w:val="00283A91"/>
    <w:rsid w:val="0028620C"/>
    <w:rsid w:val="002866E8"/>
    <w:rsid w:val="00287DE2"/>
    <w:rsid w:val="002921D1"/>
    <w:rsid w:val="002B1360"/>
    <w:rsid w:val="002B3FC2"/>
    <w:rsid w:val="002B6E2F"/>
    <w:rsid w:val="002C4D5F"/>
    <w:rsid w:val="002D4DD2"/>
    <w:rsid w:val="002D7766"/>
    <w:rsid w:val="002F5284"/>
    <w:rsid w:val="00301913"/>
    <w:rsid w:val="00302400"/>
    <w:rsid w:val="00306C59"/>
    <w:rsid w:val="0031547E"/>
    <w:rsid w:val="0032342B"/>
    <w:rsid w:val="00330790"/>
    <w:rsid w:val="00334D40"/>
    <w:rsid w:val="00342EB6"/>
    <w:rsid w:val="00351AF5"/>
    <w:rsid w:val="00361FFC"/>
    <w:rsid w:val="0038447D"/>
    <w:rsid w:val="003851E9"/>
    <w:rsid w:val="00394C90"/>
    <w:rsid w:val="00394E65"/>
    <w:rsid w:val="003A5621"/>
    <w:rsid w:val="003A5981"/>
    <w:rsid w:val="003B1163"/>
    <w:rsid w:val="003B6F5A"/>
    <w:rsid w:val="003C47AF"/>
    <w:rsid w:val="003D1849"/>
    <w:rsid w:val="003E5795"/>
    <w:rsid w:val="003F02C5"/>
    <w:rsid w:val="003F69DA"/>
    <w:rsid w:val="0040213B"/>
    <w:rsid w:val="00404608"/>
    <w:rsid w:val="004162EF"/>
    <w:rsid w:val="004354DE"/>
    <w:rsid w:val="00437C20"/>
    <w:rsid w:val="004415B1"/>
    <w:rsid w:val="004461FB"/>
    <w:rsid w:val="004548E9"/>
    <w:rsid w:val="00455567"/>
    <w:rsid w:val="00482467"/>
    <w:rsid w:val="0049090F"/>
    <w:rsid w:val="004920D4"/>
    <w:rsid w:val="00497ED7"/>
    <w:rsid w:val="004B48DE"/>
    <w:rsid w:val="004C6F44"/>
    <w:rsid w:val="004C721F"/>
    <w:rsid w:val="004D73F0"/>
    <w:rsid w:val="004E3148"/>
    <w:rsid w:val="004E3441"/>
    <w:rsid w:val="004E5D87"/>
    <w:rsid w:val="00512C01"/>
    <w:rsid w:val="00514FDD"/>
    <w:rsid w:val="00525BC9"/>
    <w:rsid w:val="005278BA"/>
    <w:rsid w:val="00534CCC"/>
    <w:rsid w:val="00536184"/>
    <w:rsid w:val="00536CEE"/>
    <w:rsid w:val="0055203F"/>
    <w:rsid w:val="00556F01"/>
    <w:rsid w:val="00567C05"/>
    <w:rsid w:val="00573732"/>
    <w:rsid w:val="00597E60"/>
    <w:rsid w:val="005B3A71"/>
    <w:rsid w:val="005B4CD3"/>
    <w:rsid w:val="005B66CA"/>
    <w:rsid w:val="005B7AFA"/>
    <w:rsid w:val="005C0B59"/>
    <w:rsid w:val="005C19CB"/>
    <w:rsid w:val="005C28D2"/>
    <w:rsid w:val="005C6C32"/>
    <w:rsid w:val="005C799E"/>
    <w:rsid w:val="005D6C54"/>
    <w:rsid w:val="005D7987"/>
    <w:rsid w:val="005E72E4"/>
    <w:rsid w:val="005F6058"/>
    <w:rsid w:val="00605AF1"/>
    <w:rsid w:val="0062246E"/>
    <w:rsid w:val="00630E04"/>
    <w:rsid w:val="00640831"/>
    <w:rsid w:val="00640D76"/>
    <w:rsid w:val="006445B9"/>
    <w:rsid w:val="00644B7D"/>
    <w:rsid w:val="00647088"/>
    <w:rsid w:val="00653116"/>
    <w:rsid w:val="00661C14"/>
    <w:rsid w:val="00667155"/>
    <w:rsid w:val="00671782"/>
    <w:rsid w:val="006718E7"/>
    <w:rsid w:val="0068462F"/>
    <w:rsid w:val="00685750"/>
    <w:rsid w:val="00686F23"/>
    <w:rsid w:val="0068770A"/>
    <w:rsid w:val="00694A19"/>
    <w:rsid w:val="006B3320"/>
    <w:rsid w:val="006B7AD7"/>
    <w:rsid w:val="006C5149"/>
    <w:rsid w:val="006C7645"/>
    <w:rsid w:val="006D2EC2"/>
    <w:rsid w:val="006D4968"/>
    <w:rsid w:val="006D6F9B"/>
    <w:rsid w:val="006D7FC5"/>
    <w:rsid w:val="006F114E"/>
    <w:rsid w:val="006F6265"/>
    <w:rsid w:val="006F7E2F"/>
    <w:rsid w:val="007021C1"/>
    <w:rsid w:val="00706BD4"/>
    <w:rsid w:val="0071128D"/>
    <w:rsid w:val="0071660A"/>
    <w:rsid w:val="007167D1"/>
    <w:rsid w:val="00737635"/>
    <w:rsid w:val="00744469"/>
    <w:rsid w:val="00747312"/>
    <w:rsid w:val="007566EB"/>
    <w:rsid w:val="007642B3"/>
    <w:rsid w:val="00773D72"/>
    <w:rsid w:val="007762C9"/>
    <w:rsid w:val="00782D4C"/>
    <w:rsid w:val="00797E60"/>
    <w:rsid w:val="007A0075"/>
    <w:rsid w:val="007B1C3C"/>
    <w:rsid w:val="007D0935"/>
    <w:rsid w:val="007E6E16"/>
    <w:rsid w:val="007E732D"/>
    <w:rsid w:val="007F59A4"/>
    <w:rsid w:val="008053D8"/>
    <w:rsid w:val="00806904"/>
    <w:rsid w:val="00815F47"/>
    <w:rsid w:val="008162B7"/>
    <w:rsid w:val="008255F6"/>
    <w:rsid w:val="00830A79"/>
    <w:rsid w:val="00831577"/>
    <w:rsid w:val="00832A86"/>
    <w:rsid w:val="00844670"/>
    <w:rsid w:val="00847203"/>
    <w:rsid w:val="008647B8"/>
    <w:rsid w:val="00865598"/>
    <w:rsid w:val="008723CA"/>
    <w:rsid w:val="008812F0"/>
    <w:rsid w:val="008819E7"/>
    <w:rsid w:val="008842D3"/>
    <w:rsid w:val="00890FAA"/>
    <w:rsid w:val="008B607A"/>
    <w:rsid w:val="008C4CDD"/>
    <w:rsid w:val="008C6214"/>
    <w:rsid w:val="008C7EB7"/>
    <w:rsid w:val="008E0060"/>
    <w:rsid w:val="008F7D9B"/>
    <w:rsid w:val="009072BC"/>
    <w:rsid w:val="00907FF8"/>
    <w:rsid w:val="00910732"/>
    <w:rsid w:val="009117F1"/>
    <w:rsid w:val="009121EF"/>
    <w:rsid w:val="00914BD7"/>
    <w:rsid w:val="00925704"/>
    <w:rsid w:val="009343A7"/>
    <w:rsid w:val="00934A32"/>
    <w:rsid w:val="00942E26"/>
    <w:rsid w:val="00942F74"/>
    <w:rsid w:val="00956249"/>
    <w:rsid w:val="009572BE"/>
    <w:rsid w:val="009574F9"/>
    <w:rsid w:val="009642F7"/>
    <w:rsid w:val="00967D4A"/>
    <w:rsid w:val="00996131"/>
    <w:rsid w:val="009A3139"/>
    <w:rsid w:val="009A66A1"/>
    <w:rsid w:val="009A7345"/>
    <w:rsid w:val="009A755D"/>
    <w:rsid w:val="009C6048"/>
    <w:rsid w:val="009C6899"/>
    <w:rsid w:val="009C71CB"/>
    <w:rsid w:val="009D0C27"/>
    <w:rsid w:val="009D6602"/>
    <w:rsid w:val="009E1C91"/>
    <w:rsid w:val="009F0BEC"/>
    <w:rsid w:val="00A05864"/>
    <w:rsid w:val="00A076EC"/>
    <w:rsid w:val="00A13675"/>
    <w:rsid w:val="00A15D10"/>
    <w:rsid w:val="00A16328"/>
    <w:rsid w:val="00A24C99"/>
    <w:rsid w:val="00A338EB"/>
    <w:rsid w:val="00A33A3D"/>
    <w:rsid w:val="00A34F9E"/>
    <w:rsid w:val="00A36264"/>
    <w:rsid w:val="00A44983"/>
    <w:rsid w:val="00A47B09"/>
    <w:rsid w:val="00A67723"/>
    <w:rsid w:val="00A71240"/>
    <w:rsid w:val="00A7761D"/>
    <w:rsid w:val="00A87668"/>
    <w:rsid w:val="00A9617E"/>
    <w:rsid w:val="00A97556"/>
    <w:rsid w:val="00AA323B"/>
    <w:rsid w:val="00AA3E99"/>
    <w:rsid w:val="00AC3356"/>
    <w:rsid w:val="00AD04D6"/>
    <w:rsid w:val="00B04C20"/>
    <w:rsid w:val="00B11883"/>
    <w:rsid w:val="00B26CA8"/>
    <w:rsid w:val="00B3216D"/>
    <w:rsid w:val="00B32C5C"/>
    <w:rsid w:val="00B4247B"/>
    <w:rsid w:val="00B50733"/>
    <w:rsid w:val="00B539D6"/>
    <w:rsid w:val="00B56267"/>
    <w:rsid w:val="00B56786"/>
    <w:rsid w:val="00B57C7F"/>
    <w:rsid w:val="00B70C0C"/>
    <w:rsid w:val="00B75A8B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BE2B81"/>
    <w:rsid w:val="00C01436"/>
    <w:rsid w:val="00C06D79"/>
    <w:rsid w:val="00C1026C"/>
    <w:rsid w:val="00C1209A"/>
    <w:rsid w:val="00C26A71"/>
    <w:rsid w:val="00C30C17"/>
    <w:rsid w:val="00C40BA4"/>
    <w:rsid w:val="00C54BB9"/>
    <w:rsid w:val="00C642D8"/>
    <w:rsid w:val="00C65D49"/>
    <w:rsid w:val="00C70F57"/>
    <w:rsid w:val="00C72443"/>
    <w:rsid w:val="00C76AB1"/>
    <w:rsid w:val="00C920D4"/>
    <w:rsid w:val="00C94312"/>
    <w:rsid w:val="00CA54F3"/>
    <w:rsid w:val="00CA587A"/>
    <w:rsid w:val="00CB1C4D"/>
    <w:rsid w:val="00CB1E35"/>
    <w:rsid w:val="00CD05F2"/>
    <w:rsid w:val="00CD0D19"/>
    <w:rsid w:val="00CD4548"/>
    <w:rsid w:val="00CE2B93"/>
    <w:rsid w:val="00CE6FA4"/>
    <w:rsid w:val="00CE70CC"/>
    <w:rsid w:val="00CF0267"/>
    <w:rsid w:val="00CF1BC0"/>
    <w:rsid w:val="00D019D4"/>
    <w:rsid w:val="00D02889"/>
    <w:rsid w:val="00D02999"/>
    <w:rsid w:val="00D03867"/>
    <w:rsid w:val="00D117E6"/>
    <w:rsid w:val="00D203D8"/>
    <w:rsid w:val="00D241EC"/>
    <w:rsid w:val="00D27D12"/>
    <w:rsid w:val="00D43324"/>
    <w:rsid w:val="00D55B22"/>
    <w:rsid w:val="00D60E77"/>
    <w:rsid w:val="00D64239"/>
    <w:rsid w:val="00D6700A"/>
    <w:rsid w:val="00D7542C"/>
    <w:rsid w:val="00D77835"/>
    <w:rsid w:val="00D85D08"/>
    <w:rsid w:val="00D90F1D"/>
    <w:rsid w:val="00D91F9F"/>
    <w:rsid w:val="00D92737"/>
    <w:rsid w:val="00D97C2B"/>
    <w:rsid w:val="00DA7A8F"/>
    <w:rsid w:val="00DB3EA3"/>
    <w:rsid w:val="00DB40C5"/>
    <w:rsid w:val="00DB5DBD"/>
    <w:rsid w:val="00DB6C30"/>
    <w:rsid w:val="00DC370F"/>
    <w:rsid w:val="00DC558E"/>
    <w:rsid w:val="00E01E75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66055"/>
    <w:rsid w:val="00E76FEF"/>
    <w:rsid w:val="00E81664"/>
    <w:rsid w:val="00E87A50"/>
    <w:rsid w:val="00E90E13"/>
    <w:rsid w:val="00E915D8"/>
    <w:rsid w:val="00EA17D9"/>
    <w:rsid w:val="00EA35B3"/>
    <w:rsid w:val="00EB1A20"/>
    <w:rsid w:val="00EB62F1"/>
    <w:rsid w:val="00EB6DC3"/>
    <w:rsid w:val="00ED6B60"/>
    <w:rsid w:val="00ED7068"/>
    <w:rsid w:val="00ED7E5E"/>
    <w:rsid w:val="00EE03D0"/>
    <w:rsid w:val="00EE3F1E"/>
    <w:rsid w:val="00EF6852"/>
    <w:rsid w:val="00F14015"/>
    <w:rsid w:val="00F22B11"/>
    <w:rsid w:val="00F25FB9"/>
    <w:rsid w:val="00F332DB"/>
    <w:rsid w:val="00F37E18"/>
    <w:rsid w:val="00F4441B"/>
    <w:rsid w:val="00F543E8"/>
    <w:rsid w:val="00F61DB6"/>
    <w:rsid w:val="00F65E1C"/>
    <w:rsid w:val="00F91466"/>
    <w:rsid w:val="00F91844"/>
    <w:rsid w:val="00F9194D"/>
    <w:rsid w:val="00FA16C8"/>
    <w:rsid w:val="00FA3658"/>
    <w:rsid w:val="00FA388B"/>
    <w:rsid w:val="00FA5583"/>
    <w:rsid w:val="00FA5BE7"/>
    <w:rsid w:val="00FA5DA8"/>
    <w:rsid w:val="00FB60CE"/>
    <w:rsid w:val="00FC0AE3"/>
    <w:rsid w:val="00FC4FB9"/>
    <w:rsid w:val="00FC6900"/>
    <w:rsid w:val="00FC7F62"/>
    <w:rsid w:val="00FD0D33"/>
    <w:rsid w:val="00FD361E"/>
    <w:rsid w:val="00FE1471"/>
    <w:rsid w:val="00FE3A4C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E537709"/>
  <w15:docId w15:val="{4D782E87-43AB-4279-AF16-B071847AF5E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7762C9"/>
    <w:rPr>
      <w:color w:val="605E5C"/>
      <w:shd w:val="clear" w:color="auto" w:fill="E1DFDD"/>
    </w:rPr>
  </w:style>
  <w:style w:type="character" w:styleId="UnresolvedMention" w:customStyle="true">
    <w:name w:val="Unresolved Mention"/>
    <w:basedOn w:val="Standardnpsmoodstavce"/>
    <w:uiPriority w:val="99"/>
    <w:semiHidden/>
    <w:unhideWhenUsed/>
    <w:rsid w:val="00CA54F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07FF8"/>
    <w:pPr>
      <w:spacing w:after="0" w:line="240" w:lineRule="auto"/>
    </w:pPr>
    <w:rPr>
      <w:color w:val="00000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958528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jiri.kalinec@novyjicin.cz" Type="http://schemas.openxmlformats.org/officeDocument/2006/relationships/hyperlink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http://www.esfcr.cz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69B0F83-BF14-465D-A4C8-B87C9EB0161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2082</properties:Words>
  <properties:Characters>12284</properties:Characters>
  <properties:Lines>102</properties:Lines>
  <properties:Paragraphs>28</properties:Paragraphs>
  <properties:TotalTime>4145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14338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2022-02-03T10:34:00Z</dcterms:created>
  <dc:creator/>
  <cp:lastModifiedBy/>
  <cp:lastPrinted>2022-03-04T10:42:00Z</cp:lastPrinted>
  <dcterms:modified xmlns:xsi="http://www.w3.org/2001/XMLSchema-instance" xsi:type="dcterms:W3CDTF">2022-05-04T14:36:00Z</dcterms:modified>
  <cp:revision>45</cp:revision>
</cp:coreProperties>
</file>