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0049F053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AD5EE5">
        <w:rPr>
          <w:b/>
          <w:bCs/>
          <w:sz w:val="28"/>
          <w:szCs w:val="28"/>
        </w:rPr>
        <w:t>d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7394C5B2">
      <w:pPr>
        <w:pStyle w:val="Nzev"/>
        <w:rPr>
          <w:sz w:val="28"/>
          <w:szCs w:val="28"/>
        </w:rPr>
      </w:pPr>
      <w:r w:rsidRPr="0009717D">
        <w:rPr>
          <w:sz w:val="28"/>
          <w:szCs w:val="28"/>
        </w:rPr>
        <w:t>„Automatizace procesů MěÚ Vsetín“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661A7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</w:t>
      </w:r>
      <w:r w:rsidR="00E65073">
        <w:rPr>
          <w:b/>
          <w:bCs/>
          <w:sz w:val="28"/>
          <w:szCs w:val="28"/>
        </w:rPr>
        <w:t>4</w:t>
      </w:r>
      <w:r w:rsidRPr="00B4719D" w:rsidR="00E65073">
        <w:rPr>
          <w:b/>
          <w:bCs/>
          <w:sz w:val="28"/>
          <w:szCs w:val="28"/>
        </w:rPr>
        <w:t xml:space="preserve"> </w:t>
      </w:r>
      <w:r w:rsidRPr="00B4719D">
        <w:rPr>
          <w:b/>
          <w:bCs/>
          <w:sz w:val="28"/>
          <w:szCs w:val="28"/>
        </w:rPr>
        <w:t xml:space="preserve">VZ: </w:t>
      </w:r>
    </w:p>
    <w:p w:rsidRPr="00B4719D" w:rsidR="00AD5EE5" w:rsidP="00B4719D" w:rsidRDefault="00AD5EE5" w14:paraId="5BEC1370" w14:textId="23BFDC3D">
      <w:pPr>
        <w:jc w:val="center"/>
        <w:rPr>
          <w:b/>
          <w:bCs/>
          <w:sz w:val="28"/>
          <w:szCs w:val="28"/>
        </w:rPr>
      </w:pPr>
      <w:r w:rsidRPr="00AD5EE5">
        <w:rPr>
          <w:b/>
          <w:bCs/>
          <w:sz w:val="28"/>
          <w:szCs w:val="28"/>
        </w:rPr>
        <w:t>VSTUPNÍ A PRŮBĚŽNÉ VZDĚLÁVÁNÍ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0DED4EBF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</w:t>
      </w:r>
      <w:proofErr w:type="spellStart"/>
      <w:r w:rsidRPr="001E23BC">
        <w:t>reg</w:t>
      </w:r>
      <w:proofErr w:type="spellEnd"/>
      <w:r w:rsidRPr="001E23BC">
        <w:t>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0D2F36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>Soulad všech agend s aktuální legislativou platnou pro subjekty veřejné správy, včetně dopadů z Nařízení Evropské unie o elektronické identifikaci a službách vytvářejících důvěru pro elektronické transakce na vnitřním trhu (</w:t>
            </w:r>
            <w:proofErr w:type="spellStart"/>
            <w:r w:rsidRPr="001E23BC">
              <w:t>eIDAS</w:t>
            </w:r>
            <w:proofErr w:type="spellEnd"/>
            <w:r w:rsidRPr="001E23BC">
              <w:t xml:space="preserve">) a Nařízení </w:t>
            </w:r>
            <w:r w:rsidRPr="001E23BC">
              <w:lastRenderedPageBreak/>
              <w:t xml:space="preserve">Evropské unie o ochraně osobních údajů, tzv. General Data </w:t>
            </w:r>
            <w:proofErr w:type="spellStart"/>
            <w:r w:rsidRPr="001E23BC">
              <w:t>Protection</w:t>
            </w:r>
            <w:proofErr w:type="spellEnd"/>
            <w:r w:rsidRPr="001E23BC">
              <w:t xml:space="preserve"> </w:t>
            </w:r>
            <w:proofErr w:type="spellStart"/>
            <w:r w:rsidRPr="001E23BC">
              <w:t>Regulation</w:t>
            </w:r>
            <w:proofErr w:type="spellEnd"/>
            <w:r w:rsidRPr="001E23BC">
              <w:t xml:space="preserve">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BE2539" w14:paraId="492A7E14" w14:textId="5C01EB8C">
            <w:pPr>
              <w:spacing w:before="60" w:after="60"/>
            </w:pPr>
            <w:r>
              <w:t>4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BE2539" w14:paraId="0C1898FD" w14:textId="7BA78C24">
            <w:pPr>
              <w:spacing w:before="60" w:after="60"/>
            </w:pPr>
            <w:r>
              <w:t>5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BE2539" w14:paraId="2671DF2A" w14:textId="676587A5">
            <w:pPr>
              <w:spacing w:before="60" w:after="60"/>
            </w:pPr>
            <w:r>
              <w:t>6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638B34C4">
      <w:pPr>
        <w:pStyle w:val="Nadpis1"/>
      </w:pPr>
      <w:r>
        <w:t>TECHNICKÁ SPECIFIKACE</w:t>
      </w:r>
      <w:r w:rsidR="00597A8F">
        <w:t xml:space="preserve"> –</w:t>
      </w:r>
      <w:r w:rsidR="00041865">
        <w:t xml:space="preserve"> </w:t>
      </w:r>
      <w:r w:rsidRPr="00AD5EE5" w:rsidR="00AD5EE5">
        <w:t>VSTUPNÍ A PRŮBĚŽNÉ VZDĚLÁVÁNÍ</w:t>
      </w:r>
    </w:p>
    <w:p w:rsidR="00B478C6" w:rsidP="00DC30AB" w:rsidRDefault="00B478C6" w14:paraId="472451BA" w14:textId="7CB31225"/>
    <w:p w:rsidR="00BE2539" w:rsidP="00BE2539" w:rsidRDefault="00BE2539" w14:paraId="302123E4" w14:textId="4291A3D4"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247D13" w:rsidR="00AD5EE5" w:rsidTr="00A07654" w14:paraId="7807AF33" w14:textId="77777777">
        <w:tc>
          <w:tcPr>
            <w:tcW w:w="846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4F5C913E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2D3CC6E0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Pr="00247D13" w:rsidR="00AD5EE5" w:rsidP="00A07654" w:rsidRDefault="00AD5EE5" w14:paraId="0FA64091" w14:textId="77777777">
            <w:pPr>
              <w:spacing w:before="60" w:after="60"/>
              <w:rPr>
                <w:b/>
                <w:bCs/>
              </w:rPr>
            </w:pPr>
            <w:r w:rsidRPr="00247D13">
              <w:rPr>
                <w:b/>
                <w:bCs/>
              </w:rPr>
              <w:t>Návrh řešení splňuje Ano x Ne</w:t>
            </w:r>
          </w:p>
        </w:tc>
      </w:tr>
      <w:tr w:rsidRPr="001E23BC" w:rsidR="00AD5EE5" w:rsidTr="00A07654" w14:paraId="12D6F4DB" w14:textId="77777777">
        <w:tc>
          <w:tcPr>
            <w:tcW w:w="846" w:type="dxa"/>
            <w:vAlign w:val="center"/>
          </w:tcPr>
          <w:p w:rsidRPr="001E23BC" w:rsidR="00AD5EE5" w:rsidP="00A07654" w:rsidRDefault="00AD5EE5" w14:paraId="59D91E07" w14:textId="77777777">
            <w:pPr>
              <w:spacing w:before="60" w:after="60"/>
            </w:pPr>
            <w:r w:rsidRPr="001E23BC">
              <w:t>1</w:t>
            </w:r>
          </w:p>
        </w:tc>
        <w:tc>
          <w:tcPr>
            <w:tcW w:w="5812" w:type="dxa"/>
          </w:tcPr>
          <w:p w:rsidRPr="001E23BC" w:rsidR="00AD5EE5" w:rsidP="00A07654" w:rsidRDefault="00AD5EE5" w14:paraId="7961DEF6" w14:textId="77777777">
            <w:pPr>
              <w:spacing w:before="60" w:after="60"/>
            </w:pPr>
            <w:r w:rsidRPr="000A1B8A">
              <w:t xml:space="preserve">E-learningové prostředí pro všechny zaměstnance úřadu, kde budou popsány procesy fungování úřadu a postupy pro práci se SW, tak aby byly vždy k dispozici k rychlému samostudiu. 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3AB37D34" w14:textId="77777777">
            <w:pPr>
              <w:spacing w:before="60" w:after="60"/>
            </w:pPr>
          </w:p>
        </w:tc>
      </w:tr>
      <w:tr w:rsidRPr="001E23BC" w:rsidR="00AD5EE5" w:rsidTr="00A07654" w14:paraId="0CB572DD" w14:textId="77777777">
        <w:tc>
          <w:tcPr>
            <w:tcW w:w="846" w:type="dxa"/>
            <w:vAlign w:val="center"/>
          </w:tcPr>
          <w:p w:rsidRPr="001E23BC" w:rsidR="00AD5EE5" w:rsidP="00A07654" w:rsidRDefault="00AD5EE5" w14:paraId="5B7C3B8A" w14:textId="77777777">
            <w:pPr>
              <w:spacing w:before="60" w:after="60"/>
            </w:pPr>
            <w:r w:rsidRPr="001E23BC">
              <w:t>2</w:t>
            </w:r>
          </w:p>
        </w:tc>
        <w:tc>
          <w:tcPr>
            <w:tcW w:w="5812" w:type="dxa"/>
          </w:tcPr>
          <w:p w:rsidRPr="001E23BC" w:rsidR="00AD5EE5" w:rsidP="00A07654" w:rsidRDefault="00AD5EE5" w14:paraId="48050FFF" w14:textId="77777777">
            <w:pPr>
              <w:spacing w:before="60" w:after="60"/>
            </w:pPr>
            <w:r w:rsidRPr="000A1B8A">
              <w:t>Sestavení vzdělávacích plánů (s odpovídající nabídkou pro příslušnou pracovní pozici), evidenci plnění, nabídky kurzů a přihlašování ke školení.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054394F0" w14:textId="77777777">
            <w:pPr>
              <w:spacing w:before="60" w:after="60"/>
            </w:pPr>
          </w:p>
        </w:tc>
      </w:tr>
      <w:tr w:rsidRPr="001E23BC" w:rsidR="00AD5EE5" w:rsidTr="00A07654" w14:paraId="0D692A27" w14:textId="77777777">
        <w:tc>
          <w:tcPr>
            <w:tcW w:w="846" w:type="dxa"/>
            <w:vAlign w:val="center"/>
          </w:tcPr>
          <w:p w:rsidRPr="001E23BC" w:rsidR="00AD5EE5" w:rsidP="00A07654" w:rsidRDefault="00AD5EE5" w14:paraId="28043A30" w14:textId="77777777">
            <w:pPr>
              <w:spacing w:before="60" w:after="60"/>
            </w:pPr>
            <w:r w:rsidRPr="001E23BC">
              <w:t>3</w:t>
            </w:r>
          </w:p>
        </w:tc>
        <w:tc>
          <w:tcPr>
            <w:tcW w:w="5812" w:type="dxa"/>
          </w:tcPr>
          <w:p w:rsidRPr="001E23BC" w:rsidR="00AD5EE5" w:rsidP="00A07654" w:rsidRDefault="00AD5EE5" w14:paraId="45391C3A" w14:textId="77777777">
            <w:pPr>
              <w:spacing w:before="60" w:after="60"/>
            </w:pPr>
            <w:r w:rsidRPr="000A1B8A">
              <w:t>Notifikace relevantním zaměstnancům o vypsaném kurzu, notifikace personalistovi o zájmu o školení, workflow schvalování školení.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3AFCC047" w14:textId="77777777">
            <w:pPr>
              <w:spacing w:before="60" w:after="60"/>
            </w:pPr>
          </w:p>
        </w:tc>
      </w:tr>
      <w:tr w:rsidRPr="001E23BC" w:rsidR="00AD5EE5" w:rsidTr="00A07654" w14:paraId="64F11204" w14:textId="77777777">
        <w:tc>
          <w:tcPr>
            <w:tcW w:w="846" w:type="dxa"/>
            <w:vAlign w:val="center"/>
          </w:tcPr>
          <w:p w:rsidRPr="001E23BC" w:rsidR="00AD5EE5" w:rsidP="00A07654" w:rsidRDefault="00AD5EE5" w14:paraId="1682E327" w14:textId="77777777">
            <w:pPr>
              <w:spacing w:before="60" w:after="60"/>
            </w:pPr>
            <w:r w:rsidRPr="001E23BC">
              <w:t>4</w:t>
            </w:r>
          </w:p>
        </w:tc>
        <w:tc>
          <w:tcPr>
            <w:tcW w:w="5812" w:type="dxa"/>
          </w:tcPr>
          <w:p w:rsidRPr="001E23BC" w:rsidR="00AD5EE5" w:rsidP="00A07654" w:rsidRDefault="00AD5EE5" w14:paraId="3650FF7F" w14:textId="77777777">
            <w:pPr>
              <w:spacing w:before="60" w:after="60"/>
            </w:pPr>
            <w:r w:rsidRPr="000A1B8A">
              <w:t>Nabídka školení ve struktuře název, kapacita, popis, začátek datum a čas, konec datum a čas, místo konání, typ akce, přednášející (možnost více přednášejících). Možnost kopírovat zadání akce (pro případ více školení stejného typu).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5C668B0B" w14:textId="77777777">
            <w:pPr>
              <w:spacing w:before="60" w:after="60"/>
            </w:pPr>
          </w:p>
        </w:tc>
      </w:tr>
      <w:tr w:rsidRPr="001E23BC" w:rsidR="00AD5EE5" w:rsidTr="00A07654" w14:paraId="7633D3DE" w14:textId="77777777">
        <w:tc>
          <w:tcPr>
            <w:tcW w:w="846" w:type="dxa"/>
            <w:vAlign w:val="center"/>
          </w:tcPr>
          <w:p w:rsidRPr="001E23BC" w:rsidR="00AD5EE5" w:rsidP="00A07654" w:rsidRDefault="00AD5EE5" w14:paraId="0F4D084F" w14:textId="77777777">
            <w:pPr>
              <w:spacing w:before="60" w:after="60"/>
            </w:pPr>
            <w:r w:rsidRPr="001E23BC">
              <w:t>5</w:t>
            </w:r>
          </w:p>
        </w:tc>
        <w:tc>
          <w:tcPr>
            <w:tcW w:w="5812" w:type="dxa"/>
          </w:tcPr>
          <w:p w:rsidRPr="001E23BC" w:rsidR="00AD5EE5" w:rsidP="00A07654" w:rsidRDefault="00AD5EE5" w14:paraId="194484E9" w14:textId="77777777">
            <w:pPr>
              <w:spacing w:before="60" w:after="60"/>
            </w:pPr>
            <w:r w:rsidRPr="000A1B8A">
              <w:t>Přihlašování na kurzy v rámci intranetu, možnost změny termínu a rušení přihlášky.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4AB99AF" w14:textId="77777777">
            <w:pPr>
              <w:spacing w:before="60" w:after="60"/>
            </w:pPr>
          </w:p>
        </w:tc>
      </w:tr>
      <w:tr w:rsidRPr="001E23BC" w:rsidR="00AD5EE5" w:rsidTr="00A07654" w14:paraId="117E1F5A" w14:textId="77777777">
        <w:tc>
          <w:tcPr>
            <w:tcW w:w="846" w:type="dxa"/>
            <w:vAlign w:val="center"/>
          </w:tcPr>
          <w:p w:rsidRPr="001E23BC" w:rsidR="00AD5EE5" w:rsidP="00A07654" w:rsidRDefault="00AD5EE5" w14:paraId="3D53F13F" w14:textId="77777777">
            <w:pPr>
              <w:spacing w:before="60" w:after="60"/>
            </w:pPr>
            <w:r w:rsidRPr="001E23BC">
              <w:t>6</w:t>
            </w:r>
          </w:p>
        </w:tc>
        <w:tc>
          <w:tcPr>
            <w:tcW w:w="5812" w:type="dxa"/>
          </w:tcPr>
          <w:p w:rsidRPr="001E23BC" w:rsidR="00AD5EE5" w:rsidP="00A07654" w:rsidRDefault="00AD5EE5" w14:paraId="585AD2A1" w14:textId="77777777">
            <w:pPr>
              <w:spacing w:before="60" w:after="60"/>
            </w:pPr>
            <w:r w:rsidRPr="000A1B8A">
              <w:t>Tisk prezenční listiny a vyplňování formulářů hodnocení školení / Průvodní výkaz, notifikace zaměstnanci a personálnímu úseku.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2F4F550A" w14:textId="77777777">
            <w:pPr>
              <w:spacing w:before="60" w:after="60"/>
            </w:pPr>
          </w:p>
        </w:tc>
      </w:tr>
      <w:tr w:rsidRPr="001E23BC" w:rsidR="00AD5EE5" w:rsidTr="00A07654" w14:paraId="36182EE8" w14:textId="77777777">
        <w:tc>
          <w:tcPr>
            <w:tcW w:w="846" w:type="dxa"/>
            <w:vAlign w:val="center"/>
          </w:tcPr>
          <w:p w:rsidRPr="001E23BC" w:rsidR="00AD5EE5" w:rsidP="00A07654" w:rsidRDefault="00AD5EE5" w14:paraId="2E857472" w14:textId="77777777">
            <w:pPr>
              <w:spacing w:before="60" w:after="60"/>
            </w:pPr>
            <w:r w:rsidRPr="001E23BC">
              <w:t>7</w:t>
            </w:r>
          </w:p>
        </w:tc>
        <w:tc>
          <w:tcPr>
            <w:tcW w:w="5812" w:type="dxa"/>
          </w:tcPr>
          <w:p w:rsidRPr="001E23BC" w:rsidR="00AD5EE5" w:rsidP="00A07654" w:rsidRDefault="00AD5EE5" w14:paraId="50D10E75" w14:textId="77777777">
            <w:pPr>
              <w:spacing w:before="60" w:after="60"/>
            </w:pPr>
            <w:r w:rsidRPr="000A1B8A">
              <w:t xml:space="preserve">Možnost vložit recenzi absolvovaného školení, školitelské firmy 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F247E8F" w14:textId="77777777">
            <w:pPr>
              <w:spacing w:before="60" w:after="60"/>
            </w:pPr>
          </w:p>
        </w:tc>
      </w:tr>
      <w:tr w:rsidRPr="001E23BC" w:rsidR="00AD5EE5" w:rsidTr="00A07654" w14:paraId="7AC3FFE8" w14:textId="77777777">
        <w:tc>
          <w:tcPr>
            <w:tcW w:w="846" w:type="dxa"/>
            <w:vAlign w:val="center"/>
          </w:tcPr>
          <w:p w:rsidRPr="001E23BC" w:rsidR="00AD5EE5" w:rsidP="00A07654" w:rsidRDefault="00AD5EE5" w14:paraId="58CC56F7" w14:textId="77777777">
            <w:pPr>
              <w:spacing w:before="60" w:after="60"/>
            </w:pPr>
            <w:r w:rsidRPr="001E23BC">
              <w:t>8</w:t>
            </w:r>
          </w:p>
        </w:tc>
        <w:tc>
          <w:tcPr>
            <w:tcW w:w="5812" w:type="dxa"/>
          </w:tcPr>
          <w:p w:rsidRPr="001E23BC" w:rsidR="00AD5EE5" w:rsidP="00A07654" w:rsidRDefault="00AD5EE5" w14:paraId="32313605" w14:textId="77777777">
            <w:pPr>
              <w:spacing w:before="60" w:after="60"/>
            </w:pPr>
            <w:r w:rsidRPr="000A1B8A">
              <w:t>Možnost tvorby reportů a statistik vzdělávání podle zvolených kritérií, tisk sestav, import / export dat.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24F23410" w14:textId="77777777">
            <w:pPr>
              <w:spacing w:before="60" w:after="60"/>
            </w:pPr>
          </w:p>
        </w:tc>
      </w:tr>
      <w:tr w:rsidRPr="001E23BC" w:rsidR="00AD5EE5" w:rsidTr="00A07654" w14:paraId="49C2B9EB" w14:textId="77777777">
        <w:tc>
          <w:tcPr>
            <w:tcW w:w="846" w:type="dxa"/>
            <w:vAlign w:val="center"/>
          </w:tcPr>
          <w:p w:rsidRPr="001E23BC" w:rsidR="00AD5EE5" w:rsidP="00A07654" w:rsidRDefault="00AD5EE5" w14:paraId="4C3D6D07" w14:textId="77777777">
            <w:pPr>
              <w:spacing w:before="60" w:after="60"/>
            </w:pPr>
            <w:r w:rsidRPr="001E23BC">
              <w:t>9</w:t>
            </w:r>
          </w:p>
        </w:tc>
        <w:tc>
          <w:tcPr>
            <w:tcW w:w="5812" w:type="dxa"/>
          </w:tcPr>
          <w:p w:rsidRPr="001E23BC" w:rsidR="00AD5EE5" w:rsidP="00A07654" w:rsidRDefault="00AD5EE5" w14:paraId="6B8C8839" w14:textId="77777777">
            <w:pPr>
              <w:spacing w:before="60" w:after="60"/>
            </w:pPr>
            <w:r w:rsidRPr="000A1B8A">
              <w:t>Řízení přístupových oprávnění podle Organizačního řádu a AD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0952D504" w14:textId="77777777">
            <w:pPr>
              <w:spacing w:before="60" w:after="60"/>
            </w:pPr>
          </w:p>
        </w:tc>
      </w:tr>
      <w:tr w:rsidRPr="001E23BC" w:rsidR="00AD5EE5" w:rsidTr="00A07654" w14:paraId="5585AB0A" w14:textId="77777777">
        <w:tc>
          <w:tcPr>
            <w:tcW w:w="846" w:type="dxa"/>
            <w:vAlign w:val="center"/>
          </w:tcPr>
          <w:p w:rsidRPr="001E23BC" w:rsidR="00AD5EE5" w:rsidP="00A07654" w:rsidRDefault="00AD5EE5" w14:paraId="4E634071" w14:textId="77777777">
            <w:pPr>
              <w:spacing w:before="60" w:after="60"/>
            </w:pPr>
            <w:r w:rsidRPr="001E23BC">
              <w:t>10</w:t>
            </w:r>
          </w:p>
        </w:tc>
        <w:tc>
          <w:tcPr>
            <w:tcW w:w="5812" w:type="dxa"/>
          </w:tcPr>
          <w:p w:rsidRPr="001E23BC" w:rsidR="00AD5EE5" w:rsidP="00A07654" w:rsidRDefault="00AD5EE5" w14:paraId="50AC013F" w14:textId="77777777">
            <w:pPr>
              <w:spacing w:before="60" w:after="60"/>
            </w:pPr>
            <w:r w:rsidRPr="000A1B8A">
              <w:t>Evidence auditní stopy, logování</w:t>
            </w:r>
          </w:p>
        </w:tc>
        <w:tc>
          <w:tcPr>
            <w:tcW w:w="2404" w:type="dxa"/>
            <w:vAlign w:val="center"/>
          </w:tcPr>
          <w:p w:rsidRPr="001E23BC" w:rsidR="00AD5EE5" w:rsidP="00A07654" w:rsidRDefault="00AD5EE5" w14:paraId="71B8B1B0" w14:textId="77777777">
            <w:pPr>
              <w:spacing w:before="60" w:after="60"/>
            </w:pPr>
          </w:p>
        </w:tc>
      </w:tr>
    </w:tbl>
    <w:p w:rsidRPr="00DC30AB" w:rsidR="00CE596D" w:rsidP="00CE2A86" w:rsidRDefault="000A04B8" w14:paraId="6CDEE2AB" w14:textId="4361987D">
      <w:pPr>
        <w:pStyle w:val="Nadpis1"/>
      </w:pPr>
      <w:r w:rsidRPr="00DC30AB">
        <w:lastRenderedPageBreak/>
        <w:t>POŽADAVKY NA HARMONOGRAM</w:t>
      </w:r>
    </w:p>
    <w:p w:rsidR="00CE596D" w:rsidP="00470391" w:rsidRDefault="000A04B8" w14:paraId="3DAABD05" w14:textId="4CB724C2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9457F1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0180DFE4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E65073">
        <w:rPr>
          <w:b/>
          <w:bCs/>
        </w:rPr>
        <w:t>4</w:t>
      </w:r>
      <w:r w:rsidRPr="00DC30AB" w:rsidR="00E65073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9457F1">
        <w:rPr>
          <w:b/>
          <w:bCs/>
        </w:rPr>
        <w:t>e</w:t>
      </w:r>
      <w:r w:rsidR="00A573BB">
        <w:rPr>
          <w:b/>
          <w:bCs/>
        </w:rPr>
        <w:t xml:space="preserve"> od n</w:t>
      </w:r>
      <w:r w:rsidRPr="00AF74A3" w:rsidR="00A573BB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A573BB">
        <w:rPr>
          <w:b/>
          <w:bCs/>
        </w:rPr>
        <w:t xml:space="preserve">31. 12. </w:t>
      </w:r>
      <w:r w:rsidRPr="00DC30AB">
        <w:rPr>
          <w:b/>
          <w:bCs/>
        </w:rPr>
        <w:t>2022.</w:t>
      </w:r>
    </w:p>
    <w:p w:rsidR="001A5F04" w:rsidP="00470391" w:rsidRDefault="001A5F04" w14:paraId="08A513F9" w14:textId="7A174143"/>
    <w:p w:rsidR="009457F1" w:rsidP="00470391" w:rsidRDefault="009457F1" w14:paraId="692F8DFD" w14:textId="77777777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Pr="00C70545" w:rsidR="00282285" w:rsidP="001A5F04" w:rsidRDefault="00C70545" w14:paraId="1768D057" w14:textId="4CC9E8A2">
      <w:pPr>
        <w:pStyle w:val="Nadpis2"/>
      </w:pPr>
      <w:r w:rsidRPr="00C70545">
        <w:t>Integrační vazby</w:t>
      </w:r>
    </w:p>
    <w:p w:rsidRPr="00C70545" w:rsidR="00C70545" w:rsidP="00470391" w:rsidRDefault="00C70545" w14:paraId="4D63ACBE" w14:textId="34C47499">
      <w:r w:rsidRPr="00C70545">
        <w:t xml:space="preserve">Objednatel požaduje v rámci plnění realizaci integračních vazeb na okolní </w:t>
      </w:r>
      <w:proofErr w:type="gramStart"/>
      <w:r w:rsidRPr="00C70545">
        <w:t>prostředí</w:t>
      </w:r>
      <w:proofErr w:type="gramEnd"/>
      <w:r w:rsidRPr="00C70545">
        <w:t xml:space="preserve"> a to </w:t>
      </w:r>
      <w:r w:rsidR="009457F1">
        <w:t xml:space="preserve">ve výše </w:t>
      </w:r>
      <w:r w:rsidRPr="00C70545">
        <w:t xml:space="preserve">uvedeném rozsahu. Vlastní detailní popis integračních vazeb bude zpracován dodavatelem v rámci </w:t>
      </w:r>
      <w:r>
        <w:t>Analýz</w:t>
      </w:r>
      <w:r w:rsidR="00247D13">
        <w:t>y</w:t>
      </w:r>
      <w:r>
        <w:t xml:space="preserve"> a návrhu řešení.</w:t>
      </w:r>
    </w:p>
    <w:p w:rsidR="00C70545" w:rsidP="00470391" w:rsidRDefault="00505DF6" w14:paraId="3E1AF90B" w14:textId="442C0B43">
      <w:r>
        <w:t>N</w:t>
      </w:r>
      <w:r w:rsidRPr="00C70545" w:rsidR="00C70545">
        <w:t>áklady vynaloženými na přípravu nebo úpravu rozhraní na straně stávajících systémů, které budou integrovány a případně také nutnou součinnost jejich aktuálních dodavatelů</w:t>
      </w:r>
      <w:r>
        <w:t xml:space="preserve"> je v režii </w:t>
      </w:r>
      <w:r w:rsidR="00247D13">
        <w:t>zadavatele</w:t>
      </w:r>
      <w:r>
        <w:t>.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lastRenderedPageBreak/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lastRenderedPageBreak/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E159A" w:rsidP="00470391" w:rsidRDefault="005E159A" w14:paraId="06BBE365" w14:textId="77777777">
      <w:r>
        <w:separator/>
      </w:r>
    </w:p>
    <w:p w:rsidR="005E159A" w:rsidP="00470391" w:rsidRDefault="005E159A" w14:paraId="710F5ABA" w14:textId="77777777"/>
  </w:endnote>
  <w:endnote w:type="continuationSeparator" w:id="0">
    <w:p w:rsidR="005E159A" w:rsidP="00470391" w:rsidRDefault="005E159A" w14:paraId="48AEC0EC" w14:textId="77777777">
      <w:r>
        <w:continuationSeparator/>
      </w:r>
    </w:p>
    <w:p w:rsidR="005E159A" w:rsidP="00470391" w:rsidRDefault="005E159A" w14:paraId="732BEA15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1A5BAF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fldSimple w:instr=" NUMPAGES   \* MERGEFORMAT ">
          <w:r w:rsidR="001664C8">
            <w:rPr>
              <w:noProof/>
            </w:rPr>
            <w:t>24</w:t>
          </w:r>
        </w:fldSimple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E159A" w:rsidP="00470391" w:rsidRDefault="005E159A" w14:paraId="648AD1E8" w14:textId="77777777">
      <w:r>
        <w:separator/>
      </w:r>
    </w:p>
    <w:p w:rsidR="005E159A" w:rsidP="00470391" w:rsidRDefault="005E159A" w14:paraId="3CA3B036" w14:textId="77777777"/>
  </w:footnote>
  <w:footnote w:type="continuationSeparator" w:id="0">
    <w:p w:rsidR="005E159A" w:rsidP="00470391" w:rsidRDefault="005E159A" w14:paraId="513A6B17" w14:textId="77777777">
      <w:r>
        <w:continuationSeparator/>
      </w:r>
    </w:p>
    <w:p w:rsidR="005E159A" w:rsidP="00470391" w:rsidRDefault="005E159A" w14:paraId="492B3F93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24"/>
  </w:num>
  <w:num w:numId="13">
    <w:abstractNumId w:val="13"/>
  </w:num>
  <w:num w:numId="14">
    <w:abstractNumId w:val="35"/>
  </w:num>
  <w:num w:numId="15">
    <w:abstractNumId w:val="38"/>
  </w:num>
  <w:num w:numId="16">
    <w:abstractNumId w:val="36"/>
  </w:num>
  <w:num w:numId="17">
    <w:abstractNumId w:val="14"/>
  </w:num>
  <w:num w:numId="18">
    <w:abstractNumId w:val="12"/>
  </w:num>
  <w:num w:numId="19">
    <w:abstractNumId w:val="22"/>
  </w:num>
  <w:num w:numId="20">
    <w:abstractNumId w:val="3"/>
  </w:num>
  <w:num w:numId="21">
    <w:abstractNumId w:val="0"/>
  </w:num>
  <w:num w:numId="22">
    <w:abstractNumId w:val="29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8"/>
  </w:num>
  <w:num w:numId="34">
    <w:abstractNumId w:val="2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34"/>
  </w:num>
  <w:num w:numId="40">
    <w:abstractNumId w:val="31"/>
  </w:num>
  <w:num w:numId="41">
    <w:abstractNumId w:val="27"/>
  </w:num>
  <w:num w:numId="42">
    <w:abstractNumId w:val="25"/>
  </w:num>
  <w:num w:numId="43">
    <w:abstractNumId w:val="10"/>
  </w:num>
  <w:num w:numId="44">
    <w:abstractNumId w:val="16"/>
  </w:num>
  <w:num w:numId="45">
    <w:abstractNumId w:val="2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41865"/>
    <w:rsid w:val="00060E84"/>
    <w:rsid w:val="000865A2"/>
    <w:rsid w:val="0009717D"/>
    <w:rsid w:val="000A04B8"/>
    <w:rsid w:val="000A7523"/>
    <w:rsid w:val="000C6CA5"/>
    <w:rsid w:val="000D2F36"/>
    <w:rsid w:val="000D79A3"/>
    <w:rsid w:val="000E2729"/>
    <w:rsid w:val="001605AF"/>
    <w:rsid w:val="001664C8"/>
    <w:rsid w:val="001A5BAF"/>
    <w:rsid w:val="001A5F04"/>
    <w:rsid w:val="001C18D6"/>
    <w:rsid w:val="001E23BC"/>
    <w:rsid w:val="001F1C8D"/>
    <w:rsid w:val="001F537C"/>
    <w:rsid w:val="00247D13"/>
    <w:rsid w:val="0025181C"/>
    <w:rsid w:val="00255724"/>
    <w:rsid w:val="00264169"/>
    <w:rsid w:val="00282285"/>
    <w:rsid w:val="002A10B8"/>
    <w:rsid w:val="002A2849"/>
    <w:rsid w:val="002B3AC7"/>
    <w:rsid w:val="002D06DA"/>
    <w:rsid w:val="00307B1B"/>
    <w:rsid w:val="003637C8"/>
    <w:rsid w:val="003731C2"/>
    <w:rsid w:val="00380C1E"/>
    <w:rsid w:val="003F260D"/>
    <w:rsid w:val="00447537"/>
    <w:rsid w:val="00470391"/>
    <w:rsid w:val="004945C5"/>
    <w:rsid w:val="004B771C"/>
    <w:rsid w:val="004D7155"/>
    <w:rsid w:val="00505DF6"/>
    <w:rsid w:val="00535F02"/>
    <w:rsid w:val="005435FF"/>
    <w:rsid w:val="00571A87"/>
    <w:rsid w:val="00597A8F"/>
    <w:rsid w:val="005C721D"/>
    <w:rsid w:val="005C7852"/>
    <w:rsid w:val="005E159A"/>
    <w:rsid w:val="00620D38"/>
    <w:rsid w:val="00625B7F"/>
    <w:rsid w:val="00636CAA"/>
    <w:rsid w:val="00640625"/>
    <w:rsid w:val="00653E93"/>
    <w:rsid w:val="00655269"/>
    <w:rsid w:val="00655DBC"/>
    <w:rsid w:val="00665807"/>
    <w:rsid w:val="00676374"/>
    <w:rsid w:val="006D53E4"/>
    <w:rsid w:val="006E26CF"/>
    <w:rsid w:val="006E3358"/>
    <w:rsid w:val="007073EC"/>
    <w:rsid w:val="0073186E"/>
    <w:rsid w:val="0074208A"/>
    <w:rsid w:val="00747570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30BC2"/>
    <w:rsid w:val="00843FE0"/>
    <w:rsid w:val="00867DFA"/>
    <w:rsid w:val="008A1EE0"/>
    <w:rsid w:val="008A44C4"/>
    <w:rsid w:val="008D5B74"/>
    <w:rsid w:val="008E3CCE"/>
    <w:rsid w:val="008F1178"/>
    <w:rsid w:val="009457F1"/>
    <w:rsid w:val="009560E8"/>
    <w:rsid w:val="00964749"/>
    <w:rsid w:val="00A0006D"/>
    <w:rsid w:val="00A21F1C"/>
    <w:rsid w:val="00A3050A"/>
    <w:rsid w:val="00A526F2"/>
    <w:rsid w:val="00A5272A"/>
    <w:rsid w:val="00A573BB"/>
    <w:rsid w:val="00A74946"/>
    <w:rsid w:val="00A857FF"/>
    <w:rsid w:val="00AB3D56"/>
    <w:rsid w:val="00AD5EE5"/>
    <w:rsid w:val="00AE5C3E"/>
    <w:rsid w:val="00B44919"/>
    <w:rsid w:val="00B4719D"/>
    <w:rsid w:val="00B478C6"/>
    <w:rsid w:val="00B7596B"/>
    <w:rsid w:val="00BE2539"/>
    <w:rsid w:val="00BF0D1C"/>
    <w:rsid w:val="00BF6F34"/>
    <w:rsid w:val="00C27443"/>
    <w:rsid w:val="00C43ABB"/>
    <w:rsid w:val="00C45145"/>
    <w:rsid w:val="00C57337"/>
    <w:rsid w:val="00C64E15"/>
    <w:rsid w:val="00C70545"/>
    <w:rsid w:val="00C71119"/>
    <w:rsid w:val="00C858E4"/>
    <w:rsid w:val="00CC5A4D"/>
    <w:rsid w:val="00CE2A86"/>
    <w:rsid w:val="00CE596D"/>
    <w:rsid w:val="00CE6EAE"/>
    <w:rsid w:val="00D30565"/>
    <w:rsid w:val="00D472A8"/>
    <w:rsid w:val="00D70CAD"/>
    <w:rsid w:val="00D73AB0"/>
    <w:rsid w:val="00D74A8A"/>
    <w:rsid w:val="00DA4653"/>
    <w:rsid w:val="00DB20E8"/>
    <w:rsid w:val="00DC30AB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4038"/>
    <w:rsid w:val="00E65073"/>
    <w:rsid w:val="00E828D7"/>
    <w:rsid w:val="00E952AD"/>
    <w:rsid w:val="00EA4DF5"/>
    <w:rsid w:val="00ED4906"/>
    <w:rsid w:val="00F04AD7"/>
    <w:rsid w:val="00F313A4"/>
    <w:rsid w:val="00F3794B"/>
    <w:rsid w:val="00F44DDC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1486</properties:Words>
  <properties:Characters>8771</properties:Characters>
  <properties:Lines>73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2022-03-17T09:09:00Z</dcterms:created>
  <dc:creator/>
  <dc:description/>
  <cp:keywords/>
  <cp:lastModifiedBy/>
  <cp:lastPrinted>2022-02-01T13:21:00Z</cp:lastPrinted>
  <dcterms:modified xmlns:xsi="http://www.w3.org/2001/XMLSchema-instance" xsi:type="dcterms:W3CDTF">2022-03-17T09:09:00Z</dcterms:modified>
  <cp:revision>3</cp:revision>
  <dc:subject/>
  <dc:title/>
</cp:coreProperties>
</file>