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07C67" w:rsidRDefault="00E056A5">
      <w:pPr>
        <w:spacing w:after="120"/>
        <w:jc w:val="right"/>
        <w:rPr>
          <w:rFonts w:ascii="Verdana" w:hAnsi="Verdana"/>
        </w:rPr>
      </w:pPr>
      <w:r>
        <w:rPr>
          <w:rFonts w:ascii="Verdana" w:hAnsi="Verdana" w:cs="Calibri"/>
          <w:sz w:val="20"/>
          <w:szCs w:val="20"/>
        </w:rPr>
        <w:t>Příloha č. 2</w:t>
      </w:r>
    </w:p>
    <w:p w:rsidR="00507C67" w:rsidRDefault="00E056A5">
      <w:pPr>
        <w:jc w:val="center"/>
        <w:rPr>
          <w:rFonts w:ascii="Verdana" w:hAnsi="Verdana"/>
          <w:sz w:val="28"/>
          <w:szCs w:val="28"/>
          <w:u w:val="single"/>
        </w:rPr>
      </w:pPr>
      <w:r>
        <w:rPr>
          <w:rFonts w:ascii="Verdana" w:hAnsi="Verdana" w:cs="Calibri"/>
          <w:b/>
          <w:sz w:val="28"/>
          <w:szCs w:val="28"/>
          <w:u w:val="single"/>
        </w:rPr>
        <w:t>Čestné prohlášení uchazeče o základní a profesní způsobilosti</w:t>
      </w:r>
    </w:p>
    <w:p w:rsidR="00507C67" w:rsidRDefault="00507C67">
      <w:pPr>
        <w:jc w:val="center"/>
        <w:rPr>
          <w:rFonts w:ascii="Verdana" w:hAnsi="Verdana"/>
          <w:sz w:val="28"/>
          <w:szCs w:val="28"/>
        </w:rPr>
      </w:pPr>
    </w:p>
    <w:tbl>
      <w:tblPr>
        <w:tblW w:w="9062" w:type="dxa"/>
        <w:tblLayout w:type="fixed"/>
        <w:tblLook w:firstRow="1" w:lastRow="0" w:firstColumn="1" w:lastColumn="0" w:noHBand="0" w:noVBand="1" w:val="04A0"/>
      </w:tblPr>
      <w:tblGrid>
        <w:gridCol w:w="9062"/>
      </w:tblGrid>
      <w:tr w:rsidR="00507C67">
        <w:tc>
          <w:tcPr>
            <w:tcW w:w="9062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Veřejná zakázka</w:t>
            </w:r>
          </w:p>
        </w:tc>
      </w:tr>
      <w:tr w:rsidR="00507C67">
        <w:trPr>
          <w:trHeight w:val="408"/>
        </w:trPr>
        <w:tc>
          <w:tcPr>
            <w:tcW w:w="9062" w:type="dxa"/>
          </w:tcPr>
          <w:p w:rsidR="00507C67" w:rsidRDefault="00E056A5">
            <w:pPr>
              <w:widowControl w:val="false"/>
              <w:jc w:val="center"/>
              <w:rPr>
                <w:shd w:val="clear" w:color="auto" w:fill="FFFF00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Operativní leasing užitkového vozidla pro rozvoz baget</w:t>
            </w:r>
          </w:p>
        </w:tc>
      </w:tr>
    </w:tbl>
    <w:p w:rsidR="00507C67" w:rsidRDefault="00507C67">
      <w:pPr>
        <w:rPr>
          <w:rFonts w:ascii="Verdana" w:hAnsi="Verdana"/>
          <w:sz w:val="20"/>
          <w:szCs w:val="20"/>
        </w:rPr>
      </w:pPr>
    </w:p>
    <w:p w:rsidR="00507C67" w:rsidRDefault="00507C67">
      <w:pPr>
        <w:jc w:val="center"/>
        <w:rPr>
          <w:rFonts w:ascii="Verdana" w:hAnsi="Verdana"/>
          <w:sz w:val="20"/>
          <w:szCs w:val="20"/>
        </w:rPr>
      </w:pPr>
    </w:p>
    <w:p w:rsidR="00507C67" w:rsidRDefault="00E056A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Veřejná zakázka je zadávána mimo režim zákona č. 134/2016 Sb., o zadávání veřejných zakázek, ve znění pozdějších předpisů (dále jen Zákon)</w:t>
      </w:r>
    </w:p>
    <w:p w:rsidR="00507C67" w:rsidRDefault="00507C67">
      <w:pPr>
        <w:rPr>
          <w:rFonts w:ascii="Verdana" w:hAnsi="Verdana"/>
          <w:sz w:val="20"/>
          <w:szCs w:val="20"/>
        </w:rPr>
      </w:pPr>
    </w:p>
    <w:tbl>
      <w:tblPr>
        <w:tblW w:w="9062" w:type="dxa"/>
        <w:tblLayout w:type="fixed"/>
        <w:tblLook w:firstRow="1" w:lastRow="0" w:firstColumn="1" w:lastColumn="0" w:noHBand="0" w:noVBand="1" w:val="04A0"/>
      </w:tblPr>
      <w:tblGrid>
        <w:gridCol w:w="4518"/>
        <w:gridCol w:w="4544"/>
      </w:tblGrid>
      <w:tr w:rsidR="00507C67">
        <w:tc>
          <w:tcPr>
            <w:tcW w:w="4518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Druh zadávacího řízení</w:t>
            </w:r>
          </w:p>
        </w:tc>
        <w:tc>
          <w:tcPr>
            <w:tcW w:w="4543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sz w:val="20"/>
                <w:szCs w:val="20"/>
                <w:lang w:eastAsia="en-US"/>
              </w:rPr>
              <w:t>VZMR, výběrové řízení</w:t>
            </w:r>
          </w:p>
        </w:tc>
      </w:tr>
      <w:tr w:rsidR="00507C67">
        <w:tc>
          <w:tcPr>
            <w:tcW w:w="4518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Druh zakázky</w:t>
            </w:r>
          </w:p>
        </w:tc>
        <w:tc>
          <w:tcPr>
            <w:tcW w:w="4543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sz w:val="20"/>
                <w:szCs w:val="20"/>
                <w:lang w:eastAsia="en-US"/>
              </w:rPr>
              <w:t>Služby</w:t>
            </w:r>
          </w:p>
        </w:tc>
      </w:tr>
      <w:tr w:rsidR="00507C67">
        <w:tc>
          <w:tcPr>
            <w:tcW w:w="4518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Předpokládaná hodnota zakázky</w:t>
            </w:r>
          </w:p>
        </w:tc>
        <w:tc>
          <w:tcPr>
            <w:tcW w:w="4543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sz w:val="20"/>
                <w:szCs w:val="20"/>
                <w:lang w:eastAsia="en-US"/>
              </w:rPr>
              <w:t>850000 Kč</w:t>
            </w:r>
          </w:p>
        </w:tc>
      </w:tr>
      <w:tr w:rsidR="00507C67">
        <w:tc>
          <w:tcPr>
            <w:tcW w:w="4518" w:type="dxa"/>
          </w:tcPr>
          <w:p w:rsidR="00507C67" w:rsidRDefault="00E056A5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b/>
                <w:sz w:val="20"/>
                <w:szCs w:val="20"/>
                <w:lang w:eastAsia="en-US"/>
              </w:rPr>
              <w:t>Datum zahájení řízení</w:t>
            </w:r>
          </w:p>
        </w:tc>
        <w:tc>
          <w:tcPr>
            <w:tcW w:w="4543" w:type="dxa"/>
          </w:tcPr>
          <w:p w:rsidR="00507C67" w:rsidRDefault="000B4520">
            <w:pPr>
              <w:widowControl w:val="false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ascii="Verdana" w:hAnsi="Verdana" w:eastAsia="Calibri"/>
                <w:sz w:val="20"/>
                <w:szCs w:val="20"/>
                <w:lang w:eastAsia="en-US"/>
              </w:rPr>
              <w:t>26</w:t>
            </w:r>
            <w:r w:rsidR="00E056A5">
              <w:rPr>
                <w:rFonts w:ascii="Verdana" w:hAnsi="Verdana" w:eastAsia="Calibri"/>
                <w:sz w:val="20"/>
                <w:szCs w:val="20"/>
                <w:lang w:eastAsia="en-US"/>
              </w:rPr>
              <w:t>.</w:t>
            </w:r>
            <w:r>
              <w:rPr>
                <w:rFonts w:ascii="Verdana" w:hAnsi="Verdana" w:eastAsia="Calibri"/>
                <w:sz w:val="20"/>
                <w:szCs w:val="20"/>
                <w:lang w:eastAsia="en-US"/>
              </w:rPr>
              <w:t xml:space="preserve"> </w:t>
            </w:r>
            <w:r w:rsidR="00E056A5">
              <w:rPr>
                <w:rFonts w:ascii="Verdana" w:hAnsi="Verdana" w:eastAsia="Calibri"/>
                <w:sz w:val="20"/>
                <w:szCs w:val="20"/>
                <w:lang w:eastAsia="en-US"/>
              </w:rPr>
              <w:t>4. 2023</w:t>
            </w:r>
          </w:p>
        </w:tc>
      </w:tr>
    </w:tbl>
    <w:p w:rsidR="00507C67" w:rsidRDefault="00507C67">
      <w:pPr>
        <w:rPr>
          <w:rFonts w:ascii="Verdana" w:hAnsi="Verdana"/>
          <w:sz w:val="20"/>
          <w:szCs w:val="20"/>
        </w:rPr>
      </w:pPr>
    </w:p>
    <w:tbl>
      <w:tblPr>
        <w:tblW w:w="6015" w:type="dxa"/>
        <w:tblLayout w:type="fixed"/>
        <w:tblLook w:firstRow="1" w:lastRow="0" w:firstColumn="1" w:lastColumn="0" w:noHBand="0" w:noVBand="1" w:val="04A0"/>
      </w:tblPr>
      <w:tblGrid>
        <w:gridCol w:w="6015"/>
      </w:tblGrid>
      <w:tr w:rsidR="00507C67">
        <w:tc>
          <w:tcPr>
            <w:tcW w:w="6015" w:type="dxa"/>
          </w:tcPr>
          <w:p w:rsidR="00507C67" w:rsidRDefault="00E056A5">
            <w:pPr>
              <w:pStyle w:val="Bezmezer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eastAsia="Calibri"/>
                <w:sz w:val="20"/>
                <w:szCs w:val="20"/>
                <w:u w:val="single"/>
              </w:rPr>
              <w:t>Zadavatel:</w:t>
            </w:r>
          </w:p>
          <w:p w:rsidR="00507C67" w:rsidRDefault="00E056A5">
            <w:pPr>
              <w:pStyle w:val="Default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Sdružení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POMOC,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z.s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proofErr w:type="gramEnd"/>
          </w:p>
          <w:p w:rsidR="00507C67" w:rsidRDefault="00E056A5">
            <w:pPr>
              <w:pStyle w:val="Default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Čihovice 30,</w:t>
            </w:r>
          </w:p>
          <w:p w:rsidR="00507C67" w:rsidRDefault="00E056A5">
            <w:pPr>
              <w:pStyle w:val="Default"/>
              <w:widowControl w:val="false"/>
            </w:pPr>
            <w:r>
              <w:rPr>
                <w:rStyle w:val="formdata"/>
                <w:rFonts w:ascii="Verdana" w:hAnsi="Verdana"/>
                <w:b/>
                <w:bCs/>
                <w:sz w:val="20"/>
                <w:szCs w:val="20"/>
                <w:lang w:eastAsia="en-US"/>
              </w:rPr>
              <w:t>Hněvkovice na levém břehu Vltavy, 375 01 Týn nad Vltavou</w:t>
            </w:r>
          </w:p>
          <w:p w:rsidR="00507C67" w:rsidRDefault="00507C67">
            <w:pPr>
              <w:pStyle w:val="Bezmezer"/>
              <w:widowControl w:val="false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07C67">
        <w:tc>
          <w:tcPr>
            <w:tcW w:w="6015" w:type="dxa"/>
          </w:tcPr>
          <w:p w:rsidR="00507C67" w:rsidRDefault="00E056A5">
            <w:pPr>
              <w:pStyle w:val="Bezmezer"/>
              <w:widowControl w:val="false"/>
            </w:pPr>
            <w:r>
              <w:rPr>
                <w:rFonts w:ascii="Verdana" w:hAnsi="Verdana" w:eastAsia="Calibri"/>
                <w:b/>
                <w:sz w:val="20"/>
                <w:szCs w:val="20"/>
              </w:rPr>
              <w:t xml:space="preserve">IČO: </w:t>
            </w:r>
            <w:r>
              <w:rPr>
                <w:rStyle w:val="formdata"/>
                <w:rFonts w:ascii="Verdana" w:hAnsi="Verdana" w:eastAsia="Calibri"/>
                <w:b/>
                <w:sz w:val="20"/>
                <w:szCs w:val="20"/>
              </w:rPr>
              <w:t>65051238</w:t>
            </w:r>
          </w:p>
        </w:tc>
      </w:tr>
    </w:tbl>
    <w:p w:rsidR="00507C67" w:rsidRDefault="00507C67">
      <w:pPr>
        <w:jc w:val="center"/>
        <w:rPr>
          <w:rFonts w:ascii="Calibri" w:hAnsi="Calibri" w:cs="Calibri"/>
          <w:b/>
          <w:szCs w:val="22"/>
          <w:u w:val="single"/>
        </w:rPr>
      </w:pPr>
    </w:p>
    <w:p w:rsidR="00507C67" w:rsidRDefault="00E056A5">
      <w:pPr>
        <w:tabs>
          <w:tab w:val="left" w:pos="2340"/>
          <w:tab w:val="left" w:pos="7875"/>
        </w:tabs>
        <w:spacing w:line="360" w:lineRule="auto"/>
        <w:ind w:right="-157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 w:cs="Calibri"/>
          <w:b/>
          <w:bCs/>
          <w:sz w:val="20"/>
          <w:szCs w:val="20"/>
          <w:u w:val="single"/>
        </w:rPr>
        <w:t>Identifikační údaje uchazeče:</w:t>
      </w:r>
      <w:bookmarkStart w:name="_GoBack" w:id="0"/>
      <w:bookmarkEnd w:id="0"/>
    </w:p>
    <w:p w:rsidR="00507C67" w:rsidRDefault="00E056A5">
      <w:pPr>
        <w:tabs>
          <w:tab w:val="left" w:pos="3600"/>
        </w:tabs>
        <w:spacing w:after="60" w:line="360" w:lineRule="auto"/>
        <w:ind w:right="-159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040755" cy="12700"/>
                <wp:effectExtent l="0" t="0" r="0" b="38100"/>
                <wp:docPr id="1" name="Tvar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12600"/>
                        </a:xfrm>
                        <a:prstGeom prst="rect">
                          <a:avLst/>
                        </a:prstGeom>
                        <a:solidFill>
                          <a:srgbClr val="777777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style="position:absolute;margin-left:0pt;margin-top:-4.05pt;width:475.6pt;height:0.95pt;mso-wrap-style:none;v-text-anchor:middle;mso-position-vertical:top" id="shape_0" o:allowincell="f" stroked="f" fillcolor="#777777">
                <v:fill type="solid" color2="#888888" o:detectmouseclick="t"/>
                <v:stroke color="#3465a4" joinstyle="round" endcap="flat"/>
                <w10:wrap type="square"/>
              </v:rect>
            </w:pict>
          </mc:Fallback>
        </mc:AlternateContent>
      </w:r>
    </w:p>
    <w:tbl>
      <w:tblPr>
        <w:tblW w:w="9496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55"/>
        <w:gridCol w:w="1835"/>
        <w:gridCol w:w="4606"/>
      </w:tblGrid>
      <w:tr w:rsidR="00507C67">
        <w:trPr>
          <w:cantSplit/>
        </w:trPr>
        <w:tc>
          <w:tcPr>
            <w:tcW w:w="3055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Název uchazeče</w:t>
            </w:r>
          </w:p>
        </w:tc>
        <w:tc>
          <w:tcPr>
            <w:tcW w:w="1835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07C67">
        <w:trPr>
          <w:cantSplit/>
        </w:trPr>
        <w:tc>
          <w:tcPr>
            <w:tcW w:w="3055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Adresa sídla</w:t>
            </w:r>
          </w:p>
        </w:tc>
        <w:tc>
          <w:tcPr>
            <w:tcW w:w="1835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07C67">
        <w:trPr>
          <w:cantSplit/>
        </w:trPr>
        <w:tc>
          <w:tcPr>
            <w:tcW w:w="3055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Oprávněná osoba k jednání</w:t>
            </w:r>
          </w:p>
        </w:tc>
        <w:tc>
          <w:tcPr>
            <w:tcW w:w="1835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07C67">
        <w:trPr>
          <w:cantSplit/>
        </w:trPr>
        <w:tc>
          <w:tcPr>
            <w:tcW w:w="3055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IČ</w:t>
            </w:r>
          </w:p>
        </w:tc>
        <w:tc>
          <w:tcPr>
            <w:tcW w:w="1835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3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07C67">
        <w:trPr>
          <w:cantSplit/>
        </w:trPr>
        <w:tc>
          <w:tcPr>
            <w:tcW w:w="3055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DIČ</w:t>
            </w:r>
          </w:p>
        </w:tc>
        <w:tc>
          <w:tcPr>
            <w:tcW w:w="1835" w:type="dxa"/>
          </w:tcPr>
          <w:p w:rsidR="00507C67" w:rsidRDefault="00E056A5">
            <w:pPr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507C67" w:rsidRDefault="00E056A5">
            <w:pPr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:rsidR="00507C67" w:rsidRDefault="00507C67">
      <w:pPr>
        <w:tabs>
          <w:tab w:val="left" w:pos="3600"/>
        </w:tabs>
        <w:spacing w:line="360" w:lineRule="auto"/>
        <w:rPr>
          <w:rFonts w:ascii="Verdana" w:hAnsi="Verdana" w:cs="Calibri"/>
          <w:b/>
          <w:sz w:val="20"/>
          <w:szCs w:val="20"/>
        </w:rPr>
      </w:pPr>
    </w:p>
    <w:p w:rsidR="00507C67" w:rsidRDefault="00E056A5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Základní a profesní způsobilost: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Ke dni ………………………………dodavatel prohlašuje, že je dodavatelem, který splňuje základní a profesní  způsobilost v rozsahu § 74 odst. 1) a § 77 odst. 2) zákona č. 134/2016 Sb., Zákona o zadávání veřejných zakázek:</w:t>
      </w:r>
    </w:p>
    <w:p w:rsidR="00507C67" w:rsidRDefault="00507C67">
      <w:pPr>
        <w:jc w:val="both"/>
        <w:rPr>
          <w:rFonts w:ascii="Verdana" w:hAnsi="Verdana" w:cs="Calibri"/>
          <w:sz w:val="20"/>
          <w:szCs w:val="20"/>
        </w:rPr>
      </w:pPr>
    </w:p>
    <w:p w:rsidR="00507C67" w:rsidRDefault="00E056A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dle § 74 odst. 1.</w:t>
      </w:r>
      <w:r>
        <w:rPr>
          <w:rFonts w:ascii="Verdana" w:hAnsi="Verdana" w:cs="Calibri"/>
          <w:sz w:val="20"/>
          <w:szCs w:val="20"/>
        </w:rPr>
        <w:t xml:space="preserve"> 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b) nemá v České republice nebo v zemi svého sídla v evidenci daní zachycen splatný daňový nedoplatek,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c) nemá v České republice nebo v zemi svého sídla splatný nedoplatek na pojistném nebo na penále na veřejné zdravotní pojištění,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d) nemá v České republice nebo v zemi svého sídla splatný nedoplatek na pojistném nebo na penále na sociální zabezpečení a příspěvku na státní politiku zaměstnanosti,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e) není v likvidaci, proti </w:t>
      </w:r>
      <w:proofErr w:type="gramStart"/>
      <w:r>
        <w:rPr>
          <w:rFonts w:ascii="Verdana" w:hAnsi="Verdana" w:cs="Calibri"/>
          <w:sz w:val="20"/>
          <w:szCs w:val="20"/>
        </w:rPr>
        <w:t>němuž</w:t>
      </w:r>
      <w:proofErr w:type="gramEnd"/>
      <w:r>
        <w:rPr>
          <w:rFonts w:ascii="Verdana" w:hAnsi="Verdana" w:cs="Calibri"/>
          <w:sz w:val="20"/>
          <w:szCs w:val="20"/>
        </w:rPr>
        <w:t xml:space="preserve"> nebylo vydáno rozhodnutí o úpadku, vůči němuž nebyla nařízena nucená správa podle jiného právního předpisu nebo v obdobné situaci podle právního řádu země sídla dodavatele.</w:t>
      </w:r>
    </w:p>
    <w:p w:rsidR="00507C67" w:rsidRDefault="00507C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07C67" w:rsidRDefault="00507C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07C67" w:rsidRDefault="00E056A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dle § 77 odst. 2. </w:t>
      </w:r>
      <w:r>
        <w:rPr>
          <w:rFonts w:ascii="Verdana" w:hAnsi="Verdana" w:cs="Calibri"/>
          <w:sz w:val="20"/>
          <w:szCs w:val="20"/>
        </w:rPr>
        <w:t>je</w:t>
      </w:r>
    </w:p>
    <w:p w:rsidR="00507C67" w:rsidRDefault="00E056A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a) oprávněn podnikat v rozsahu odpovídajícímu předmětu veřejné zakázky, tj. v předmětu podnikání – výroba a služby neuvedené v přílohách 1 až 3 živnostenského zákona, obory činnosti - Pronájem a půjčování věcí movitých, zprostředkování obchodu a služeb.</w:t>
      </w:r>
    </w:p>
    <w:p w:rsidR="00507C67" w:rsidRDefault="00507C67">
      <w:pPr>
        <w:jc w:val="both"/>
        <w:rPr>
          <w:rFonts w:ascii="Verdana" w:hAnsi="Verdana"/>
          <w:sz w:val="20"/>
          <w:szCs w:val="20"/>
        </w:rPr>
      </w:pPr>
    </w:p>
    <w:p w:rsidR="00507C67" w:rsidRDefault="00507C67">
      <w:pPr>
        <w:jc w:val="both"/>
        <w:rPr>
          <w:rFonts w:ascii="Verdana" w:hAnsi="Verdana"/>
          <w:sz w:val="20"/>
          <w:szCs w:val="20"/>
        </w:rPr>
      </w:pPr>
    </w:p>
    <w:p w:rsidR="00507C67" w:rsidRDefault="00E056A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 </w:t>
      </w:r>
      <w:r>
        <w:fldChar w:fldCharType="begin">
          <w:ffData>
            <w:name w:val="Text25"/>
            <w:enabled/>
            <w:calcOnExit w:val="false"/>
            <w:textInput/>
          </w:ffData>
        </w:fldChar>
      </w:r>
      <w:r>
        <w:rPr>
          <w:rFonts w:ascii="Verdana" w:hAnsi="Verdana" w:cs="Calibri"/>
          <w:sz w:val="20"/>
          <w:szCs w:val="20"/>
        </w:rPr>
        <w:instrText xml:space="preserve"> FORMTEXT </w:instrText>
      </w:r>
      <w:r>
        <w:rPr>
          <w:rFonts w:ascii="Verdana" w:hAnsi="Verdana" w:cs="Calibri"/>
          <w:sz w:val="20"/>
          <w:szCs w:val="20"/>
        </w:rPr>
      </w:r>
      <w:r>
        <w:rPr>
          <w:rFonts w:ascii="Verdana" w:hAnsi="Verdana" w:cs="Calibri"/>
          <w:sz w:val="20"/>
          <w:szCs w:val="20"/>
        </w:rPr>
        <w:fldChar w:fldCharType="separate"/>
      </w:r>
      <w:r>
        <w:rPr>
          <w:rFonts w:ascii="Verdana" w:hAnsi="Verdana" w:cs="Calibri"/>
          <w:sz w:val="20"/>
          <w:szCs w:val="20"/>
        </w:rPr>
        <w:t>     </w:t>
      </w:r>
      <w:r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 xml:space="preserve">             dne </w:t>
      </w:r>
      <w:r>
        <w:fldChar w:fldCharType="begin">
          <w:ffData>
            <w:name w:val="Text26"/>
            <w:enabled/>
            <w:calcOnExit w:val="false"/>
            <w:textInput/>
          </w:ffData>
        </w:fldChar>
      </w:r>
      <w:r>
        <w:rPr>
          <w:rFonts w:ascii="Verdana" w:hAnsi="Verdana" w:cs="Calibri"/>
          <w:sz w:val="20"/>
          <w:szCs w:val="20"/>
        </w:rPr>
        <w:instrText xml:space="preserve"> FORMTEXT </w:instrText>
      </w:r>
      <w:r>
        <w:rPr>
          <w:rFonts w:ascii="Verdana" w:hAnsi="Verdana" w:cs="Calibri"/>
          <w:sz w:val="20"/>
          <w:szCs w:val="20"/>
        </w:rPr>
      </w:r>
      <w:r>
        <w:rPr>
          <w:rFonts w:ascii="Verdana" w:hAnsi="Verdana" w:cs="Calibri"/>
          <w:sz w:val="20"/>
          <w:szCs w:val="20"/>
        </w:rPr>
        <w:fldChar w:fldCharType="separate"/>
      </w:r>
      <w:r>
        <w:rPr>
          <w:rFonts w:ascii="Verdana" w:hAnsi="Verdana" w:cs="Calibri"/>
          <w:sz w:val="20"/>
          <w:szCs w:val="20"/>
        </w:rPr>
        <w:t>     </w:t>
      </w:r>
      <w:r>
        <w:rPr>
          <w:rFonts w:ascii="Verdana" w:hAnsi="Verdana" w:cs="Calibri"/>
          <w:sz w:val="20"/>
          <w:szCs w:val="20"/>
        </w:rPr>
        <w:fldChar w:fldCharType="end"/>
      </w:r>
    </w:p>
    <w:p w:rsidR="00507C67" w:rsidRDefault="00507C67">
      <w:pPr>
        <w:spacing w:line="360" w:lineRule="auto"/>
        <w:rPr>
          <w:rFonts w:ascii="Verdana" w:hAnsi="Verdana" w:cs="Calibri"/>
          <w:sz w:val="20"/>
          <w:szCs w:val="20"/>
        </w:rPr>
      </w:pPr>
    </w:p>
    <w:tbl>
      <w:tblPr>
        <w:tblW w:w="8116" w:type="dxa"/>
        <w:tblLayout w:type="fixed"/>
        <w:tblLook w:firstRow="1" w:lastRow="0" w:firstColumn="1" w:lastColumn="0" w:noHBand="0" w:noVBand="1" w:val="04A0"/>
      </w:tblPr>
      <w:tblGrid>
        <w:gridCol w:w="4439"/>
        <w:gridCol w:w="3677"/>
      </w:tblGrid>
      <w:tr w:rsidR="00507C67">
        <w:trPr>
          <w:trHeight w:val="241"/>
        </w:trPr>
        <w:tc>
          <w:tcPr>
            <w:tcW w:w="4438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Jména a příjmení osoby/osob oprávněné  jednat za uchazeče:</w:t>
            </w:r>
          </w:p>
        </w:tc>
        <w:tc>
          <w:tcPr>
            <w:tcW w:w="3677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Podpisy:</w:t>
            </w:r>
          </w:p>
        </w:tc>
      </w:tr>
      <w:tr w:rsidR="00507C67">
        <w:trPr>
          <w:trHeight w:val="241"/>
        </w:trPr>
        <w:tc>
          <w:tcPr>
            <w:tcW w:w="4438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7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677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………………………………</w:t>
            </w:r>
          </w:p>
        </w:tc>
      </w:tr>
      <w:tr w:rsidR="00507C67">
        <w:trPr>
          <w:trHeight w:val="241"/>
        </w:trPr>
        <w:tc>
          <w:tcPr>
            <w:tcW w:w="4438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fldChar w:fldCharType="begin">
                <w:ffData>
                  <w:name w:val="Text28"/>
                  <w:enabled/>
                  <w:calcOnExit w:val="false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Calibri"/>
                <w:sz w:val="20"/>
                <w:szCs w:val="20"/>
              </w:rPr>
              <w:t>     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677" w:type="dxa"/>
          </w:tcPr>
          <w:p w:rsidR="00507C67" w:rsidRDefault="00E056A5">
            <w:pPr>
              <w:widowControl w:val="false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………………………………</w:t>
            </w:r>
          </w:p>
        </w:tc>
      </w:tr>
    </w:tbl>
    <w:p w:rsidR="00507C67" w:rsidRDefault="00507C67">
      <w:pPr>
        <w:rPr>
          <w:rFonts w:ascii="Verdana" w:hAnsi="Verdana"/>
          <w:sz w:val="20"/>
          <w:szCs w:val="20"/>
        </w:rPr>
      </w:pPr>
    </w:p>
    <w:sectPr w:rsidR="00507C67">
      <w:headerReference w:type="default" r:id="rId6"/>
      <w:footerReference w:type="default" r:id="rId7"/>
      <w:pgSz w:w="11906" w:h="16838"/>
      <w:pgMar w:top="709" w:right="1417" w:bottom="993" w:left="1417" w:header="0" w:footer="708" w:gutter="0"/>
      <w:cols w:space="708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D0D21" w:rsidRDefault="001D0D21">
      <w:r>
        <w:separator/>
      </w:r>
    </w:p>
  </w:endnote>
  <w:endnote w:type="continuationSeparator" w:id="0">
    <w:p w:rsidR="001D0D21" w:rsidRDefault="001D0D2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07C67" w:rsidRDefault="00507C67">
    <w:pPr>
      <w:pStyle w:val="Default"/>
      <w:spacing w:line="420" w:lineRule="auto"/>
      <w:rPr>
        <w:b/>
        <w:bCs/>
        <w:color w:val="221E1F"/>
        <w:sz w:val="12"/>
        <w:szCs w:val="16"/>
      </w:rPr>
    </w:pPr>
  </w:p>
  <w:p w:rsidR="00507C67" w:rsidRDefault="00507C67">
    <w:pPr>
      <w:pStyle w:val="Default"/>
      <w:spacing w:line="420" w:lineRule="auto"/>
      <w:rPr>
        <w:b/>
        <w:bCs/>
        <w:color w:val="221E1F"/>
        <w:sz w:val="12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D0D21" w:rsidRDefault="001D0D21">
      <w:r>
        <w:separator/>
      </w:r>
    </w:p>
  </w:footnote>
  <w:footnote w:type="continuationSeparator" w:id="0">
    <w:p w:rsidR="001D0D21" w:rsidRDefault="001D0D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6390D" w:rsidRDefault="0016390D">
    <w:pPr>
      <w:pStyle w:val="Zhlav"/>
    </w:pPr>
  </w:p>
  <w:p w:rsidR="0016390D" w:rsidRDefault="0016390D">
    <w:pPr>
      <w:pStyle w:val="Zhlav"/>
    </w:pPr>
    <w:r>
      <w:rPr>
        <w:rFonts w:ascii="Arial" w:hAnsi="Arial" w:eastAsia="Arial" w:cs="Arial"/>
        <w:b/>
        <w:noProof/>
      </w:rPr>
      <w:drawing>
        <wp:anchor distT="0" distB="0" distL="114300" distR="114300" simplePos="false" relativeHeight="251659264" behindDoc="true" locked="false" layoutInCell="true" allowOverlap="true" wp14:anchorId="2B739752" wp14:editId="0C80EEA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59990" cy="735965"/>
          <wp:effectExtent l="0" t="0" r="0" b="6985"/>
          <wp:wrapTight wrapText="bothSides">
            <wp:wrapPolygon edited="false">
              <wp:start x="0" y="0"/>
              <wp:lineTo x="0" y="21246"/>
              <wp:lineTo x="21410" y="21246"/>
              <wp:lineTo x="21410" y="0"/>
              <wp:lineTo x="0" y="0"/>
            </wp:wrapPolygon>
          </wp:wrapTight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390D" w:rsidRDefault="0016390D">
    <w:pPr>
      <w:pStyle w:val="Zhlav"/>
    </w:pPr>
  </w:p>
  <w:p w:rsidR="0016390D" w:rsidRDefault="0016390D">
    <w:pPr>
      <w:pStyle w:val="Zhlav"/>
    </w:pPr>
  </w:p>
  <w:p w:rsidR="0016390D" w:rsidRDefault="0016390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67"/>
    <w:rsid w:val="000B4520"/>
    <w:rsid w:val="0016390D"/>
    <w:rsid w:val="001D0D21"/>
    <w:rsid w:val="00507C67"/>
    <w:rsid w:val="00647960"/>
    <w:rsid w:val="00E0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0B13648"/>
  <w15:docId w15:val="{8A129954-E8A3-4653-AD24-E86E27E5BB0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262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FF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89340F"/>
    <w:pPr>
      <w:keepNext/>
      <w:tabs>
        <w:tab w:val="left" w:pos="864"/>
      </w:tabs>
      <w:spacing w:before="120"/>
      <w:ind w:left="864" w:hanging="144"/>
      <w:outlineLvl w:val="3"/>
    </w:pPr>
    <w:rPr>
      <w:rFonts w:ascii="Arial" w:hAnsi="Arial"/>
      <w:i/>
      <w:color w:val="333399"/>
      <w:szCs w:val="20"/>
    </w:rPr>
  </w:style>
  <w:style w:type="paragraph" w:styleId="Nadpis5">
    <w:name w:val="heading 5"/>
    <w:basedOn w:val="Normln"/>
    <w:next w:val="Normln"/>
    <w:link w:val="Nadpis5Char"/>
    <w:qFormat/>
    <w:rsid w:val="0089340F"/>
    <w:pPr>
      <w:keepNext/>
      <w:tabs>
        <w:tab w:val="left" w:pos="1008"/>
      </w:tabs>
      <w:spacing w:before="120"/>
      <w:ind w:left="1008" w:hanging="432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89340F"/>
    <w:pPr>
      <w:keepNext/>
      <w:tabs>
        <w:tab w:val="left" w:pos="1152"/>
      </w:tabs>
      <w:ind w:left="1152" w:hanging="432"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89340F"/>
    <w:pPr>
      <w:keepNext/>
      <w:tabs>
        <w:tab w:val="left" w:pos="1296"/>
      </w:tabs>
      <w:spacing w:before="120"/>
      <w:ind w:left="1296" w:hanging="288"/>
      <w:outlineLvl w:val="6"/>
    </w:pPr>
    <w:rPr>
      <w:rFonts w:ascii="Arial" w:hAnsi="Arial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89340F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9340F"/>
    <w:pPr>
      <w:keepNext/>
      <w:tabs>
        <w:tab w:val="left" w:pos="1584"/>
      </w:tabs>
      <w:ind w:left="1584" w:hanging="144"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qFormat/>
    <w:rsid w:val="00987FF9"/>
    <w:rPr>
      <w:rFonts w:ascii="Arial" w:hAnsi="Arial" w:cs="Arial"/>
      <w:b/>
      <w:bCs/>
      <w:sz w:val="24"/>
      <w:szCs w:val="24"/>
    </w:rPr>
  </w:style>
  <w:style w:type="character" w:styleId="Nadpis4Char" w:customStyle="true">
    <w:name w:val="Nadpis 4 Char"/>
    <w:link w:val="Nadpis4"/>
    <w:qFormat/>
    <w:rsid w:val="0089340F"/>
    <w:rPr>
      <w:rFonts w:ascii="Arial" w:hAnsi="Arial"/>
      <w:i/>
      <w:color w:val="333399"/>
      <w:sz w:val="24"/>
    </w:rPr>
  </w:style>
  <w:style w:type="character" w:styleId="Nadpis5Char" w:customStyle="true">
    <w:name w:val="Nadpis 5 Char"/>
    <w:link w:val="Nadpis5"/>
    <w:qFormat/>
    <w:rsid w:val="0089340F"/>
    <w:rPr>
      <w:sz w:val="24"/>
    </w:rPr>
  </w:style>
  <w:style w:type="character" w:styleId="Nadpis6Char" w:customStyle="true">
    <w:name w:val="Nadpis 6 Char"/>
    <w:link w:val="Nadpis6"/>
    <w:qFormat/>
    <w:rsid w:val="0089340F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adpis7Char" w:customStyle="true">
    <w:name w:val="Nadpis 7 Char"/>
    <w:link w:val="Nadpis7"/>
    <w:qFormat/>
    <w:rsid w:val="0089340F"/>
    <w:rPr>
      <w:rFonts w:ascii="Arial" w:hAnsi="Arial"/>
      <w:sz w:val="28"/>
    </w:rPr>
  </w:style>
  <w:style w:type="character" w:styleId="Nadpis8Char" w:customStyle="true">
    <w:name w:val="Nadpis 8 Char"/>
    <w:link w:val="Nadpis8"/>
    <w:qFormat/>
    <w:rsid w:val="0089340F"/>
    <w:rPr>
      <w:rFonts w:ascii="Arial" w:hAnsi="Arial" w:cs="Arial"/>
      <w:color w:val="333399"/>
      <w:sz w:val="28"/>
    </w:rPr>
  </w:style>
  <w:style w:type="character" w:styleId="Nadpis9Char" w:customStyle="true">
    <w:name w:val="Nadpis 9 Char"/>
    <w:link w:val="Nadpis9"/>
    <w:qFormat/>
    <w:rsid w:val="0089340F"/>
    <w:rPr>
      <w:rFonts w:ascii="Arial" w:hAnsi="Arial" w:cs="Arial"/>
      <w:b/>
      <w:bCs/>
      <w:color w:val="333399"/>
      <w:sz w:val="28"/>
    </w:rPr>
  </w:style>
  <w:style w:type="character" w:styleId="NzevChar" w:customStyle="true">
    <w:name w:val="Název Char"/>
    <w:link w:val="Nzev"/>
    <w:qFormat/>
    <w:rsid w:val="00987FF9"/>
    <w:rPr>
      <w:rFonts w:ascii="Arial" w:hAnsi="Arial" w:cs="Arial"/>
      <w:b/>
      <w:bCs/>
      <w:sz w:val="24"/>
      <w:szCs w:val="24"/>
    </w:rPr>
  </w:style>
  <w:style w:type="character" w:styleId="TextpoznpodarouChar" w:customStyle="true">
    <w:name w:val="Text pozn. pod čarou Char"/>
    <w:link w:val="Textpoznpodarou"/>
    <w:uiPriority w:val="99"/>
    <w:semiHidden/>
    <w:qFormat/>
    <w:rsid w:val="008262AF"/>
    <w:rPr>
      <w:rFonts w:ascii="Calibri" w:hAnsi="Calibri" w:eastAsia="Calibri"/>
      <w:lang w:eastAsia="en-US"/>
    </w:rPr>
  </w:style>
  <w:style w:type="character" w:styleId="Ukotvenpoznmkypodarou" w:customStyle="true">
    <w:name w:val="Ukotvení poznámky pod čarou"/>
    <w:rPr>
      <w:vertAlign w:val="superscript"/>
    </w:rPr>
  </w:style>
  <w:style w:type="character" w:styleId="FootnoteCharacters" w:customStyle="true">
    <w:name w:val="Footnote Characters"/>
    <w:uiPriority w:val="99"/>
    <w:semiHidden/>
    <w:unhideWhenUsed/>
    <w:qFormat/>
    <w:rsid w:val="008262AF"/>
    <w:rPr>
      <w:vertAlign w:val="superscript"/>
    </w:rPr>
  </w:style>
  <w:style w:type="character" w:styleId="ZhlavChar" w:customStyle="true">
    <w:name w:val="Záhlaví Char"/>
    <w:link w:val="Zhlav"/>
    <w:uiPriority w:val="99"/>
    <w:qFormat/>
    <w:rsid w:val="00170B1C"/>
    <w:rPr>
      <w:sz w:val="24"/>
      <w:szCs w:val="24"/>
    </w:rPr>
  </w:style>
  <w:style w:type="character" w:styleId="ZpatChar" w:customStyle="true">
    <w:name w:val="Zápatí Char"/>
    <w:link w:val="Zpat"/>
    <w:uiPriority w:val="99"/>
    <w:qFormat/>
    <w:rsid w:val="00170B1C"/>
    <w:rPr>
      <w:sz w:val="24"/>
      <w:szCs w:val="24"/>
    </w:rPr>
  </w:style>
  <w:style w:type="character" w:styleId="TextbublinyChar" w:customStyle="true">
    <w:name w:val="Text bubliny Char"/>
    <w:link w:val="Textbubliny"/>
    <w:uiPriority w:val="99"/>
    <w:semiHidden/>
    <w:qFormat/>
    <w:rsid w:val="00170B1C"/>
    <w:rPr>
      <w:rFonts w:ascii="Tahoma" w:hAnsi="Tahoma" w:cs="Tahoma"/>
      <w:sz w:val="16"/>
      <w:szCs w:val="16"/>
    </w:rPr>
  </w:style>
  <w:style w:type="character" w:styleId="formdata" w:customStyle="true">
    <w:name w:val="form_data"/>
    <w:basedOn w:val="Standardnpsmoodstavce"/>
    <w:qFormat/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styleId="Rejstk" w:customStyle="true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987FF9"/>
    <w:pPr>
      <w:jc w:val="center"/>
    </w:pPr>
    <w:rPr>
      <w:rFonts w:ascii="Arial" w:hAnsi="Arial" w:cs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2AF"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paragraph" w:styleId="Zhlavazpat" w:customStyle="true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70B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70B1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70B1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41BF5"/>
    <w:rPr>
      <w:sz w:val="24"/>
      <w:szCs w:val="24"/>
    </w:rPr>
  </w:style>
  <w:style w:type="paragraph" w:styleId="Default" w:customStyle="true">
    <w:name w:val="Default"/>
    <w:qFormat/>
    <w:rsid w:val="00D34B7B"/>
    <w:rPr>
      <w:rFonts w:ascii="Myriad Pro" w:hAnsi="Myriad Pro" w:eastAsia="Calibri" w:cs="Myriad Pro"/>
      <w:color w:val="000000"/>
      <w:sz w:val="24"/>
      <w:szCs w:val="24"/>
    </w:rPr>
  </w:style>
  <w:style w:type="paragraph" w:styleId="Seznamnadpis" w:customStyle="true">
    <w:name w:val="Seznam nadpisů"/>
    <w:basedOn w:val="Normln"/>
    <w:next w:val="Obsahseznamu"/>
    <w:qFormat/>
  </w:style>
  <w:style w:type="paragraph" w:styleId="Obsahseznamu" w:customStyle="true">
    <w:name w:val="Obsah seznamu"/>
    <w:basedOn w:val="Normln"/>
    <w:qFormat/>
    <w:pPr>
      <w:ind w:left="567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2</properties:Pages>
  <properties:Words>343</properties:Words>
  <properties:Characters>2027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2023-04-26T13:40:00Z</dcterms:created>
  <dc:creator/>
  <dc:description/>
  <dc:language>cs-CZ</dc:language>
  <cp:lastModifiedBy/>
  <cp:lastPrinted>2023-01-25T14:00:00Z</cp:lastPrinted>
  <dcterms:modified xmlns:xsi="http://www.w3.org/2001/XMLSchema-instance" xsi:type="dcterms:W3CDTF">2023-04-26T13:40:00Z</dcterms:modified>
  <cp:revision>2</cp:revision>
  <dc:subject/>
  <dc:title/>
</cp:coreProperties>
</file>