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0E118E" w:rsidR="00D04AB0" w:rsidP="00CF0F6A" w:rsidRDefault="00CF0F6A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r w:rsidRPr="000E118E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Vysvětlení k indikátorům a udržitelnosti - výzva</w:t>
      </w:r>
      <w:r w:rsidRPr="000E118E" w:rsidR="00FB0E33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 Podpor</w:t>
      </w:r>
      <w:r w:rsidRPr="000E118E" w:rsidR="00E11380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a</w:t>
      </w:r>
      <w:r w:rsidRPr="000E118E" w:rsidR="00FB0E33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 </w:t>
      </w:r>
      <w:r w:rsidRPr="000E118E" w:rsidR="00E11380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s</w:t>
      </w:r>
      <w:r w:rsidRPr="000E118E" w:rsidR="00FB0E33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ociálního podnikání (03_1</w:t>
      </w:r>
      <w:r w:rsidR="00D8661D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6</w:t>
      </w:r>
      <w:r w:rsidRPr="000E118E" w:rsidR="00FB0E33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_0</w:t>
      </w:r>
      <w:r w:rsidR="00D8661D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67</w:t>
      </w:r>
      <w:r w:rsidRPr="000E118E" w:rsidR="00FB0E33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)</w:t>
      </w:r>
    </w:p>
    <w:p w:rsidRPr="000E118E" w:rsidR="00E11380" w:rsidP="00CF0F6A" w:rsidRDefault="00E11380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Pr="000E118E" w:rsidR="00E11380" w:rsidP="00CF0F6A" w:rsidRDefault="00542FB7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E118E">
        <w:rPr>
          <w:rFonts w:ascii="Arial" w:hAnsi="Arial" w:cs="Arial"/>
          <w:color w:val="FF0000"/>
          <w:sz w:val="20"/>
          <w:szCs w:val="20"/>
        </w:rPr>
        <w:t xml:space="preserve">A) </w:t>
      </w:r>
      <w:r w:rsidRPr="000E118E" w:rsidR="002B695F">
        <w:rPr>
          <w:rFonts w:ascii="Arial" w:hAnsi="Arial" w:cs="Arial"/>
          <w:color w:val="FF0000"/>
          <w:sz w:val="20"/>
          <w:szCs w:val="20"/>
        </w:rPr>
        <w:t>Indikátory výstupu</w:t>
      </w:r>
      <w:r w:rsidRPr="000E118E" w:rsidR="002B695F">
        <w:rPr>
          <w:rFonts w:ascii="Arial" w:hAnsi="Arial" w:cs="Arial"/>
          <w:color w:val="000000" w:themeColor="text1"/>
          <w:sz w:val="20"/>
          <w:szCs w:val="20"/>
        </w:rPr>
        <w:t xml:space="preserve"> jsou i</w:t>
      </w:r>
      <w:r w:rsidRPr="000E118E" w:rsidR="00FB0E33">
        <w:rPr>
          <w:rFonts w:ascii="Arial" w:hAnsi="Arial" w:cs="Arial"/>
          <w:color w:val="000000" w:themeColor="text1"/>
          <w:sz w:val="20"/>
          <w:szCs w:val="20"/>
        </w:rPr>
        <w:t xml:space="preserve">ndikátory se závazkem. V případě nenaplnění je nastavena sankce dle </w:t>
      </w:r>
      <w:r w:rsidRPr="000E118E" w:rsidR="005E70D1">
        <w:rPr>
          <w:rFonts w:ascii="Arial" w:hAnsi="Arial" w:cs="Arial"/>
          <w:color w:val="000000" w:themeColor="text1"/>
          <w:sz w:val="20"/>
          <w:szCs w:val="20"/>
        </w:rPr>
        <w:t>Rozhodnutí o poskytnutí dotace</w:t>
      </w:r>
      <w:r w:rsidRPr="000E118E" w:rsidR="00FB0E33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r w:rsidRPr="000E118E" w:rsidR="00E11380">
        <w:rPr>
          <w:rFonts w:ascii="Arial" w:hAnsi="Arial" w:cs="Arial"/>
          <w:color w:val="000000" w:themeColor="text1"/>
          <w:sz w:val="20"/>
          <w:szCs w:val="20"/>
        </w:rPr>
        <w:t>V žádosti žadatel vybere níže uvedené indikátory</w:t>
      </w:r>
      <w:r w:rsidRPr="000E118E">
        <w:rPr>
          <w:rFonts w:ascii="Arial" w:hAnsi="Arial" w:cs="Arial"/>
          <w:color w:val="000000" w:themeColor="text1"/>
          <w:sz w:val="20"/>
          <w:szCs w:val="20"/>
        </w:rPr>
        <w:t xml:space="preserve"> výstupu</w:t>
      </w:r>
      <w:r w:rsidRPr="000E118E" w:rsidR="00E11380">
        <w:rPr>
          <w:rFonts w:ascii="Arial" w:hAnsi="Arial" w:cs="Arial"/>
          <w:color w:val="000000" w:themeColor="text1"/>
          <w:sz w:val="20"/>
          <w:szCs w:val="20"/>
        </w:rPr>
        <w:t>:</w:t>
      </w:r>
    </w:p>
    <w:p w:rsidRPr="000E118E" w:rsidR="00542FB7" w:rsidP="00CF0F6A" w:rsidRDefault="00542FB7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Pr="000E118E" w:rsidR="00FB0E33" w:rsidP="00CF0F6A" w:rsidRDefault="00FB0E33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 w:rsidRPr="000E118E">
        <w:rPr>
          <w:rFonts w:ascii="Arial" w:hAnsi="Arial" w:cs="Arial"/>
          <w:color w:val="FF0000"/>
          <w:sz w:val="20"/>
          <w:szCs w:val="20"/>
        </w:rPr>
        <w:t xml:space="preserve">6 00 00 Celkový počet účastníků </w:t>
      </w:r>
    </w:p>
    <w:tbl>
      <w:tblPr>
        <w:tblStyle w:val="Mkatabulky"/>
        <w:tblW w:w="0" w:type="auto"/>
        <w:tblInd w:w="108" w:type="dxa"/>
        <w:tblLook w:firstRow="1" w:lastRow="0" w:firstColumn="1" w:lastColumn="0" w:noHBand="0" w:noVBand="1" w:val="04A0"/>
      </w:tblPr>
      <w:tblGrid>
        <w:gridCol w:w="1985"/>
        <w:gridCol w:w="8505"/>
      </w:tblGrid>
      <w:tr w:rsidRPr="000E118E" w:rsidR="00E11380" w:rsidTr="00CF0F6A">
        <w:tc>
          <w:tcPr>
            <w:tcW w:w="1985" w:type="dxa"/>
          </w:tcPr>
          <w:p w:rsidRPr="000E118E" w:rsidR="00FB0E33" w:rsidP="00CF0F6A" w:rsidRDefault="00FB0E33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E118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Obsah </w:t>
            </w:r>
          </w:p>
        </w:tc>
        <w:tc>
          <w:tcPr>
            <w:tcW w:w="8505" w:type="dxa"/>
          </w:tcPr>
          <w:p w:rsidRPr="000E118E" w:rsidR="00E16360" w:rsidP="00CF0F6A" w:rsidRDefault="00FB0E33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E118E">
              <w:rPr>
                <w:rFonts w:ascii="Arial" w:hAnsi="Arial" w:cs="Arial"/>
                <w:color w:val="000000" w:themeColor="text1"/>
                <w:sz w:val="20"/>
                <w:szCs w:val="20"/>
              </w:rPr>
              <w:t>Celkový počet účastníků (tzn. počet zaměstnanců sociálního podniku z cílových skupin), kte</w:t>
            </w:r>
            <w:r w:rsidRPr="000E118E" w:rsidR="00786361">
              <w:rPr>
                <w:rFonts w:ascii="Arial" w:hAnsi="Arial" w:cs="Arial"/>
                <w:color w:val="000000" w:themeColor="text1"/>
                <w:sz w:val="20"/>
                <w:szCs w:val="20"/>
              </w:rPr>
              <w:t>ří v rámci projektu získali</w:t>
            </w:r>
            <w:r w:rsidRPr="000E118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jakoukoliv formu </w:t>
            </w:r>
            <w:r w:rsidRPr="000E118E" w:rsidR="0078636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podpory přesahující bagatelní hranici. </w:t>
            </w:r>
            <w:r w:rsidRPr="000E118E" w:rsidR="00B96F0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Každá podpořená osoba se v rámci p</w:t>
            </w:r>
            <w:r w:rsidRPr="000E118E" w:rsidR="00786361">
              <w:rPr>
                <w:rFonts w:ascii="Arial" w:hAnsi="Arial" w:cs="Arial"/>
                <w:color w:val="000000" w:themeColor="text1"/>
                <w:sz w:val="20"/>
                <w:szCs w:val="20"/>
              </w:rPr>
              <w:t>rojektu započítává pouze jednou.</w:t>
            </w:r>
            <w:r w:rsidRPr="000E118E" w:rsidR="00490BF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Pr="000E118E" w:rsidR="00E11380" w:rsidTr="00CF0F6A">
        <w:tc>
          <w:tcPr>
            <w:tcW w:w="1985" w:type="dxa"/>
          </w:tcPr>
          <w:p w:rsidRPr="000E118E" w:rsidR="00FB0E33" w:rsidP="00CF0F6A" w:rsidRDefault="00FB0E33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E118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Způsob naplňování </w:t>
            </w:r>
          </w:p>
        </w:tc>
        <w:tc>
          <w:tcPr>
            <w:tcW w:w="8505" w:type="dxa"/>
          </w:tcPr>
          <w:p w:rsidRPr="000E118E" w:rsidR="00FB0E33" w:rsidP="00CF0F6A" w:rsidRDefault="00490BF6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E118E">
              <w:rPr>
                <w:rFonts w:ascii="Arial" w:hAnsi="Arial" w:cs="Arial"/>
                <w:color w:val="000000" w:themeColor="text1"/>
                <w:sz w:val="20"/>
                <w:szCs w:val="20"/>
              </w:rPr>
              <w:t>Vše</w:t>
            </w:r>
            <w:r w:rsidRPr="000E118E" w:rsidR="00CD1C03">
              <w:rPr>
                <w:rFonts w:ascii="Arial" w:hAnsi="Arial" w:cs="Arial"/>
                <w:color w:val="000000" w:themeColor="text1"/>
                <w:sz w:val="20"/>
                <w:szCs w:val="20"/>
              </w:rPr>
              <w:t>chny podpory pro zaměstnance z c</w:t>
            </w:r>
            <w:r w:rsidRPr="000E118E">
              <w:rPr>
                <w:rFonts w:ascii="Arial" w:hAnsi="Arial" w:cs="Arial"/>
                <w:color w:val="000000" w:themeColor="text1"/>
                <w:sz w:val="20"/>
                <w:szCs w:val="20"/>
              </w:rPr>
              <w:t>ílové skupiny (</w:t>
            </w:r>
            <w:r w:rsidRPr="000E118E" w:rsidR="00BF3959">
              <w:rPr>
                <w:rFonts w:ascii="Arial" w:hAnsi="Arial" w:cs="Arial"/>
                <w:color w:val="000000" w:themeColor="text1"/>
                <w:sz w:val="20"/>
                <w:szCs w:val="20"/>
              </w:rPr>
              <w:t>z</w:t>
            </w:r>
            <w:r w:rsidRPr="000E118E">
              <w:rPr>
                <w:rFonts w:ascii="Arial" w:hAnsi="Arial" w:cs="Arial"/>
                <w:color w:val="000000" w:themeColor="text1"/>
                <w:sz w:val="20"/>
                <w:szCs w:val="20"/>
              </w:rPr>
              <w:t>aměstnávání</w:t>
            </w:r>
            <w:r w:rsidRPr="000E118E" w:rsidR="00187983">
              <w:rPr>
                <w:rFonts w:ascii="Arial" w:hAnsi="Arial" w:cs="Arial"/>
                <w:color w:val="000000" w:themeColor="text1"/>
                <w:sz w:val="20"/>
                <w:szCs w:val="20"/>
              </w:rPr>
              <w:t>,</w:t>
            </w:r>
            <w:r w:rsidRPr="000E118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vzdělávání</w:t>
            </w:r>
            <w:r w:rsidRPr="000E118E" w:rsidR="00187983">
              <w:rPr>
                <w:rFonts w:ascii="Arial" w:hAnsi="Arial" w:cs="Arial"/>
                <w:color w:val="000000" w:themeColor="text1"/>
                <w:sz w:val="20"/>
                <w:szCs w:val="20"/>
              </w:rPr>
              <w:t>,</w:t>
            </w:r>
            <w:r w:rsidRPr="000E118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psychosociální podpora osob z cílových </w:t>
            </w:r>
            <w:proofErr w:type="spellStart"/>
            <w:r w:rsidRPr="000E118E">
              <w:rPr>
                <w:rFonts w:ascii="Arial" w:hAnsi="Arial" w:cs="Arial"/>
                <w:color w:val="000000" w:themeColor="text1"/>
                <w:sz w:val="20"/>
                <w:szCs w:val="20"/>
              </w:rPr>
              <w:t>skupin</w:t>
            </w:r>
            <w:r w:rsidRPr="000E118E" w:rsidR="00187983">
              <w:rPr>
                <w:rFonts w:ascii="Arial" w:hAnsi="Arial" w:cs="Arial"/>
                <w:color w:val="000000" w:themeColor="text1"/>
                <w:sz w:val="20"/>
                <w:szCs w:val="20"/>
              </w:rPr>
              <w:t>apod</w:t>
            </w:r>
            <w:proofErr w:type="spellEnd"/>
            <w:r w:rsidRPr="000E118E" w:rsidR="00187983">
              <w:rPr>
                <w:rFonts w:ascii="Arial" w:hAnsi="Arial" w:cs="Arial"/>
                <w:color w:val="000000" w:themeColor="text1"/>
                <w:sz w:val="20"/>
                <w:szCs w:val="20"/>
              </w:rPr>
              <w:t>.)</w:t>
            </w:r>
            <w:r w:rsidRPr="000E118E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</w:tr>
      <w:tr w:rsidRPr="000E118E" w:rsidR="00E11380" w:rsidTr="00CF0F6A">
        <w:tc>
          <w:tcPr>
            <w:tcW w:w="1985" w:type="dxa"/>
          </w:tcPr>
          <w:p w:rsidRPr="000E118E" w:rsidR="00FB0E33" w:rsidP="00CF0F6A" w:rsidRDefault="00FB0E33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E118E">
              <w:rPr>
                <w:rFonts w:ascii="Arial" w:hAnsi="Arial" w:cs="Arial"/>
                <w:color w:val="000000" w:themeColor="text1"/>
                <w:sz w:val="20"/>
                <w:szCs w:val="20"/>
              </w:rPr>
              <w:t>Způsob evidence</w:t>
            </w:r>
          </w:p>
        </w:tc>
        <w:tc>
          <w:tcPr>
            <w:tcW w:w="8505" w:type="dxa"/>
          </w:tcPr>
          <w:p w:rsidRPr="000E118E" w:rsidR="00FB0E33" w:rsidP="00CF0F6A" w:rsidRDefault="00E16360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E118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Pracovní smlouvy, </w:t>
            </w:r>
            <w:r w:rsidRPr="000E118E" w:rsidR="0092667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prezenční listiny, potvrzení o absolvování kurzu, </w:t>
            </w:r>
            <w:r w:rsidRPr="000E118E">
              <w:rPr>
                <w:rFonts w:ascii="Arial" w:hAnsi="Arial" w:cs="Arial"/>
                <w:color w:val="000000" w:themeColor="text1"/>
                <w:sz w:val="20"/>
                <w:szCs w:val="20"/>
              </w:rPr>
              <w:t>doklady o příslušnosti zaměstnanců k cílové skupině dle textu výzvy</w:t>
            </w:r>
            <w:r w:rsidRPr="000E118E" w:rsidR="00187983">
              <w:rPr>
                <w:rFonts w:ascii="Arial" w:hAnsi="Arial" w:cs="Arial"/>
                <w:color w:val="000000" w:themeColor="text1"/>
                <w:sz w:val="20"/>
                <w:szCs w:val="20"/>
              </w:rPr>
              <w:t>, příp. další relevantní</w:t>
            </w:r>
            <w:r w:rsidRPr="000E118E" w:rsidR="00BF3959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</w:tr>
    </w:tbl>
    <w:p w:rsidRPr="000E118E" w:rsidR="00E16360" w:rsidP="00CF0F6A" w:rsidRDefault="00786361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E118E">
        <w:rPr>
          <w:rFonts w:ascii="Arial" w:hAnsi="Arial" w:cs="Arial"/>
          <w:color w:val="000000" w:themeColor="text1"/>
          <w:sz w:val="20"/>
          <w:szCs w:val="20"/>
        </w:rPr>
        <w:t xml:space="preserve">Bagatelní podpora/hranice </w:t>
      </w:r>
      <w:r w:rsidRPr="000E118E" w:rsidR="00E16360">
        <w:rPr>
          <w:rFonts w:ascii="Arial" w:hAnsi="Arial" w:cs="Arial"/>
          <w:color w:val="000000" w:themeColor="text1"/>
          <w:sz w:val="20"/>
          <w:szCs w:val="20"/>
        </w:rPr>
        <w:t xml:space="preserve">= </w:t>
      </w:r>
      <w:r w:rsidRPr="000E118E" w:rsidR="00542FB7">
        <w:rPr>
          <w:rFonts w:ascii="Arial" w:hAnsi="Arial" w:cs="Arial"/>
          <w:color w:val="000000" w:themeColor="text1"/>
          <w:sz w:val="20"/>
          <w:szCs w:val="20"/>
        </w:rPr>
        <w:t>z</w:t>
      </w:r>
      <w:r w:rsidRPr="000E118E" w:rsidR="00E16360">
        <w:rPr>
          <w:rFonts w:ascii="Arial" w:hAnsi="Arial" w:cs="Arial"/>
          <w:color w:val="000000" w:themeColor="text1"/>
          <w:sz w:val="20"/>
          <w:szCs w:val="20"/>
        </w:rPr>
        <w:t>a účastníky se označují osoby, které mají přímý prospěch z intervence ESF, které mohou</w:t>
      </w:r>
      <w:r w:rsidRPr="000E118E" w:rsidR="00542FB7">
        <w:rPr>
          <w:rFonts w:ascii="Arial" w:hAnsi="Arial" w:cs="Arial"/>
          <w:color w:val="000000" w:themeColor="text1"/>
          <w:sz w:val="20"/>
          <w:szCs w:val="20"/>
        </w:rPr>
        <w:t xml:space="preserve"> být identifikovány a požádá</w:t>
      </w:r>
      <w:r w:rsidRPr="000E118E">
        <w:rPr>
          <w:rFonts w:ascii="Arial" w:hAnsi="Arial" w:cs="Arial"/>
          <w:color w:val="000000" w:themeColor="text1"/>
          <w:sz w:val="20"/>
          <w:szCs w:val="20"/>
        </w:rPr>
        <w:t>ny</w:t>
      </w:r>
      <w:r w:rsidRPr="000E118E" w:rsidR="00E16360">
        <w:rPr>
          <w:rFonts w:ascii="Arial" w:hAnsi="Arial" w:cs="Arial"/>
          <w:color w:val="000000" w:themeColor="text1"/>
          <w:sz w:val="20"/>
          <w:szCs w:val="20"/>
        </w:rPr>
        <w:t xml:space="preserve"> o charakteristiku a pro něž </w:t>
      </w:r>
      <w:r w:rsidRPr="000E118E" w:rsidR="007D56C6">
        <w:rPr>
          <w:rFonts w:ascii="Arial" w:hAnsi="Arial" w:cs="Arial"/>
          <w:color w:val="000000" w:themeColor="text1"/>
          <w:sz w:val="20"/>
          <w:szCs w:val="20"/>
        </w:rPr>
        <w:t xml:space="preserve">jsou vyčleněny konkrétní výdaje. </w:t>
      </w:r>
      <w:proofErr w:type="spellStart"/>
      <w:r w:rsidRPr="000E118E" w:rsidR="00E16360">
        <w:rPr>
          <w:rFonts w:ascii="Arial" w:hAnsi="Arial" w:cs="Arial"/>
          <w:color w:val="000000" w:themeColor="text1"/>
          <w:sz w:val="20"/>
          <w:szCs w:val="20"/>
        </w:rPr>
        <w:t>Bagatelnost</w:t>
      </w:r>
      <w:proofErr w:type="spellEnd"/>
      <w:r w:rsidRPr="000E118E" w:rsidR="00E16360">
        <w:rPr>
          <w:rFonts w:ascii="Arial" w:hAnsi="Arial" w:cs="Arial"/>
          <w:color w:val="000000" w:themeColor="text1"/>
          <w:sz w:val="20"/>
          <w:szCs w:val="20"/>
        </w:rPr>
        <w:t xml:space="preserve"> podpory: </w:t>
      </w:r>
    </w:p>
    <w:p w:rsidRPr="000E118E" w:rsidR="00E16360" w:rsidP="00CF0F6A" w:rsidRDefault="00E16360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E118E">
        <w:rPr>
          <w:rFonts w:ascii="Arial" w:hAnsi="Arial" w:cs="Arial"/>
          <w:color w:val="000000" w:themeColor="text1"/>
          <w:sz w:val="20"/>
          <w:szCs w:val="20"/>
        </w:rPr>
        <w:t>Je stanoven limit, že účastníkem/podpořenou osobu z hlediska indikátorů, je pouze osoba, která</w:t>
      </w:r>
      <w:r w:rsidRPr="000E118E" w:rsidR="00D762B1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0E118E">
        <w:rPr>
          <w:rFonts w:ascii="Arial" w:hAnsi="Arial" w:cs="Arial"/>
          <w:color w:val="000000" w:themeColor="text1"/>
          <w:sz w:val="20"/>
          <w:szCs w:val="20"/>
        </w:rPr>
        <w:t xml:space="preserve">a) získala v daném projektu podporu v rozsahu minimálně 40 hodin (bez ohledu na počet dílčích podpor) a </w:t>
      </w:r>
      <w:r w:rsidRPr="000E118E">
        <w:rPr>
          <w:rFonts w:ascii="Arial" w:hAnsi="Arial" w:cs="Arial"/>
          <w:b/>
          <w:color w:val="000000" w:themeColor="text1"/>
          <w:sz w:val="20"/>
          <w:szCs w:val="20"/>
        </w:rPr>
        <w:t xml:space="preserve">zároveň </w:t>
      </w:r>
    </w:p>
    <w:p w:rsidRPr="000E118E" w:rsidR="00E16360" w:rsidP="00CF0F6A" w:rsidRDefault="00E16360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E118E">
        <w:rPr>
          <w:rFonts w:ascii="Arial" w:hAnsi="Arial" w:cs="Arial"/>
          <w:color w:val="000000" w:themeColor="text1"/>
          <w:sz w:val="20"/>
          <w:szCs w:val="20"/>
        </w:rPr>
        <w:t>b) alespoň 20 hodin z</w:t>
      </w:r>
      <w:r w:rsidRPr="000E118E" w:rsidR="00490BF6">
        <w:rPr>
          <w:rFonts w:ascii="Arial" w:hAnsi="Arial" w:cs="Arial"/>
          <w:color w:val="000000" w:themeColor="text1"/>
          <w:sz w:val="20"/>
          <w:szCs w:val="20"/>
        </w:rPr>
        <w:t xml:space="preserve"> této</w:t>
      </w:r>
      <w:r w:rsidRPr="000E118E">
        <w:rPr>
          <w:rFonts w:ascii="Arial" w:hAnsi="Arial" w:cs="Arial"/>
          <w:color w:val="000000" w:themeColor="text1"/>
          <w:sz w:val="20"/>
          <w:szCs w:val="20"/>
        </w:rPr>
        <w:t> podpory nemá charakter elektronického vzdělávání.</w:t>
      </w:r>
      <w:r w:rsidRPr="000E118E" w:rsidR="002B695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:rsidRPr="000E118E" w:rsidR="00490BF6" w:rsidP="00CF0F6A" w:rsidRDefault="00490BF6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Pr="000E118E" w:rsidR="002F21BC" w:rsidP="00CF0F6A" w:rsidRDefault="002F21BC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E118E">
        <w:rPr>
          <w:rFonts w:ascii="Arial" w:hAnsi="Arial" w:cs="Arial"/>
          <w:b/>
          <w:color w:val="000000" w:themeColor="text1"/>
          <w:sz w:val="20"/>
          <w:szCs w:val="20"/>
        </w:rPr>
        <w:t>Do limitu jsou započítávány všechny dílčí podpory, které osoba získala</w:t>
      </w:r>
      <w:r w:rsidRPr="000E118E" w:rsidR="00BE732F">
        <w:rPr>
          <w:rFonts w:ascii="Arial" w:hAnsi="Arial" w:cs="Arial"/>
          <w:b/>
          <w:color w:val="000000" w:themeColor="text1"/>
          <w:sz w:val="20"/>
          <w:szCs w:val="20"/>
        </w:rPr>
        <w:t>, tj. sčítají se hodiny poskytnuté v rámci vzdělávání, zaměstnávání, případně další podpory, které účastník v rámci projektu získá</w:t>
      </w:r>
      <w:r w:rsidRPr="000E118E" w:rsidR="00BE732F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</w:p>
    <w:p w:rsidRPr="000E118E" w:rsidR="00E0226A" w:rsidP="00CF0F6A" w:rsidRDefault="00E0226A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Pr="000E118E" w:rsidR="002B695F" w:rsidP="00CF0F6A" w:rsidRDefault="00E0226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0E118E">
        <w:rPr>
          <w:rFonts w:ascii="Arial" w:hAnsi="Arial" w:cs="Arial"/>
          <w:b/>
          <w:sz w:val="20"/>
          <w:szCs w:val="20"/>
        </w:rPr>
        <w:t xml:space="preserve">Pokud zaměstnanec z cílové skupiny vykonává pracovní pozici spadající do nepřímých nákladů (např. finanční manažer), pak je rovněž vykazován v 6 00 00. </w:t>
      </w:r>
    </w:p>
    <w:p w:rsidRPr="000E118E" w:rsidR="000451FD" w:rsidP="00CF0F6A" w:rsidRDefault="000451F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0E118E">
        <w:rPr>
          <w:rFonts w:ascii="Arial" w:hAnsi="Arial" w:cs="Arial"/>
          <w:b/>
          <w:sz w:val="20"/>
          <w:szCs w:val="20"/>
        </w:rPr>
        <w:t>Do indikátoru se započítává i člen realizačního týmu z CS (mistr, marketér apod.), jehož mzdové náklady jsou hrazeny z</w:t>
      </w:r>
      <w:r w:rsidRPr="000E118E" w:rsidR="00CF0F6A">
        <w:rPr>
          <w:rFonts w:ascii="Arial" w:hAnsi="Arial" w:cs="Arial"/>
          <w:b/>
          <w:sz w:val="20"/>
          <w:szCs w:val="20"/>
        </w:rPr>
        <w:t xml:space="preserve"> kap. 6 - </w:t>
      </w:r>
      <w:r w:rsidRPr="000E118E">
        <w:rPr>
          <w:rFonts w:ascii="Arial" w:hAnsi="Arial" w:cs="Arial"/>
          <w:b/>
          <w:sz w:val="20"/>
          <w:szCs w:val="20"/>
        </w:rPr>
        <w:t>přímé podpory.</w:t>
      </w:r>
    </w:p>
    <w:p w:rsidRPr="000E118E" w:rsidR="000451FD" w:rsidP="00CF0F6A" w:rsidRDefault="000451F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Pr="000E118E" w:rsidR="005107D3" w:rsidP="00CF0F6A" w:rsidRDefault="00CF0F6A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E118E">
        <w:rPr>
          <w:rFonts w:ascii="Arial" w:hAnsi="Arial" w:cs="Arial"/>
          <w:color w:val="000000" w:themeColor="text1"/>
          <w:sz w:val="20"/>
          <w:szCs w:val="20"/>
        </w:rPr>
        <w:t xml:space="preserve">Sledování parametrů týkajících se podpořených osob a související indikátory jsou přesně popsány v Obecné části pravidel pro žadatele a příjemce v kpt. 18, str. 83. </w:t>
      </w:r>
      <w:r w:rsidRPr="000E118E" w:rsidR="005107D3">
        <w:rPr>
          <w:rFonts w:ascii="Arial" w:hAnsi="Arial" w:cs="Arial"/>
          <w:color w:val="000000" w:themeColor="text1"/>
          <w:sz w:val="20"/>
          <w:szCs w:val="20"/>
        </w:rPr>
        <w:t>Monitorovací list</w:t>
      </w:r>
      <w:r w:rsidRPr="000E118E">
        <w:rPr>
          <w:rFonts w:ascii="Arial" w:hAnsi="Arial" w:cs="Arial"/>
          <w:color w:val="000000" w:themeColor="text1"/>
          <w:sz w:val="20"/>
          <w:szCs w:val="20"/>
        </w:rPr>
        <w:t xml:space="preserve"> – návrh formuláře</w:t>
      </w:r>
      <w:r w:rsidRPr="000E118E" w:rsidR="005107D3">
        <w:rPr>
          <w:rFonts w:ascii="Arial" w:hAnsi="Arial" w:cs="Arial"/>
          <w:color w:val="000000" w:themeColor="text1"/>
          <w:sz w:val="20"/>
          <w:szCs w:val="20"/>
        </w:rPr>
        <w:t xml:space="preserve"> s údaji sledovaných k podpořené osobě, je ke stažení na </w:t>
      </w:r>
      <w:hyperlink w:history="true" r:id="rId7">
        <w:r w:rsidRPr="000E118E" w:rsidR="005107D3">
          <w:rPr>
            <w:rStyle w:val="Hypertextovodkaz"/>
            <w:rFonts w:ascii="Arial" w:hAnsi="Arial" w:cs="Arial"/>
            <w:color w:val="auto"/>
            <w:sz w:val="20"/>
            <w:szCs w:val="20"/>
            <w:u w:val="none"/>
          </w:rPr>
          <w:t>www.esfcr.cz</w:t>
        </w:r>
      </w:hyperlink>
      <w:r w:rsidRPr="000E118E" w:rsidR="005107D3">
        <w:rPr>
          <w:rFonts w:ascii="Arial" w:hAnsi="Arial" w:cs="Arial"/>
          <w:sz w:val="20"/>
          <w:szCs w:val="20"/>
        </w:rPr>
        <w:t xml:space="preserve">.  </w:t>
      </w:r>
    </w:p>
    <w:p w:rsidRPr="000E118E" w:rsidR="00BF3959" w:rsidP="00CF0F6A" w:rsidRDefault="00BF3959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Pr="000E118E" w:rsidR="00490BF6" w:rsidP="00CF0F6A" w:rsidRDefault="00490BF6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E118E">
        <w:rPr>
          <w:rFonts w:ascii="Arial" w:hAnsi="Arial" w:cs="Arial"/>
          <w:i/>
          <w:color w:val="FF0000"/>
          <w:sz w:val="20"/>
          <w:szCs w:val="20"/>
        </w:rPr>
        <w:t>Žadatele vybe</w:t>
      </w:r>
      <w:r w:rsidRPr="000E118E" w:rsidR="00BF3959">
        <w:rPr>
          <w:rFonts w:ascii="Arial" w:hAnsi="Arial" w:cs="Arial"/>
          <w:i/>
          <w:color w:val="FF0000"/>
          <w:sz w:val="20"/>
          <w:szCs w:val="20"/>
        </w:rPr>
        <w:t>re jeden z následujících indikátorů</w:t>
      </w:r>
      <w:r w:rsidRPr="000E118E" w:rsidR="00BF3959">
        <w:rPr>
          <w:rFonts w:ascii="Arial" w:hAnsi="Arial" w:cs="Arial"/>
          <w:color w:val="000000" w:themeColor="text1"/>
          <w:sz w:val="20"/>
          <w:szCs w:val="20"/>
        </w:rPr>
        <w:t>:</w:t>
      </w:r>
    </w:p>
    <w:p w:rsidRPr="000E118E" w:rsidR="00490BF6" w:rsidP="00CF0F6A" w:rsidRDefault="00490BF6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Pr="000E118E" w:rsidR="00AC217F" w:rsidP="00CF0F6A" w:rsidRDefault="00AC217F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E118E">
        <w:rPr>
          <w:rFonts w:ascii="Arial" w:hAnsi="Arial" w:cs="Arial"/>
          <w:color w:val="FF0000"/>
          <w:sz w:val="20"/>
          <w:szCs w:val="20"/>
        </w:rPr>
        <w:t>1 02 13 Počet sociálních podniků vzniklých díky podpoře</w:t>
      </w:r>
      <w:r w:rsidRPr="000E118E" w:rsidR="00542FB7">
        <w:rPr>
          <w:rFonts w:ascii="Arial" w:hAnsi="Arial" w:cs="Arial"/>
          <w:color w:val="FF0000"/>
          <w:sz w:val="20"/>
          <w:szCs w:val="20"/>
        </w:rPr>
        <w:t xml:space="preserve"> – tento indikátor vybere sociální podnik, který vznikne díky podpoře z výzvy Podpora sociálního podnikání, </w:t>
      </w:r>
      <w:proofErr w:type="gramStart"/>
      <w:r w:rsidRPr="000E118E" w:rsidR="00542FB7">
        <w:rPr>
          <w:rFonts w:ascii="Arial" w:hAnsi="Arial" w:cs="Arial"/>
          <w:color w:val="FF0000"/>
          <w:sz w:val="20"/>
          <w:szCs w:val="20"/>
        </w:rPr>
        <w:t>tzn.</w:t>
      </w:r>
      <w:proofErr w:type="gramEnd"/>
      <w:r w:rsidRPr="000E118E" w:rsidR="00542FB7">
        <w:rPr>
          <w:rFonts w:ascii="Arial" w:hAnsi="Arial" w:cs="Arial"/>
          <w:color w:val="FF0000"/>
          <w:sz w:val="20"/>
          <w:szCs w:val="20"/>
        </w:rPr>
        <w:t xml:space="preserve"> v době podání žádosti </w:t>
      </w:r>
      <w:proofErr w:type="gramStart"/>
      <w:r w:rsidRPr="000E118E" w:rsidR="00542FB7">
        <w:rPr>
          <w:rFonts w:ascii="Arial" w:hAnsi="Arial" w:cs="Arial"/>
          <w:color w:val="FF0000"/>
          <w:sz w:val="20"/>
          <w:szCs w:val="20"/>
        </w:rPr>
        <w:t>neprovozuje</w:t>
      </w:r>
      <w:proofErr w:type="gramEnd"/>
      <w:r w:rsidRPr="000E118E" w:rsidR="00542FB7">
        <w:rPr>
          <w:rFonts w:ascii="Arial" w:hAnsi="Arial" w:cs="Arial"/>
          <w:color w:val="FF0000"/>
          <w:sz w:val="20"/>
          <w:szCs w:val="20"/>
        </w:rPr>
        <w:t xml:space="preserve"> </w:t>
      </w:r>
      <w:r w:rsidRPr="000E118E" w:rsidR="00187983">
        <w:rPr>
          <w:rFonts w:ascii="Arial" w:hAnsi="Arial" w:cs="Arial"/>
          <w:color w:val="FF0000"/>
          <w:sz w:val="20"/>
          <w:szCs w:val="20"/>
        </w:rPr>
        <w:t>sociální podnik</w:t>
      </w:r>
    </w:p>
    <w:tbl>
      <w:tblPr>
        <w:tblStyle w:val="Mkatabulky"/>
        <w:tblW w:w="10598" w:type="dxa"/>
        <w:tblLook w:firstRow="1" w:lastRow="0" w:firstColumn="1" w:lastColumn="0" w:noHBand="0" w:noVBand="1" w:val="04A0"/>
      </w:tblPr>
      <w:tblGrid>
        <w:gridCol w:w="2093"/>
        <w:gridCol w:w="8505"/>
      </w:tblGrid>
      <w:tr w:rsidRPr="000E118E" w:rsidR="00E11380" w:rsidTr="00CF0F6A">
        <w:trPr>
          <w:trHeight w:val="380"/>
        </w:trPr>
        <w:tc>
          <w:tcPr>
            <w:tcW w:w="2093" w:type="dxa"/>
          </w:tcPr>
          <w:p w:rsidRPr="000E118E" w:rsidR="00AC217F" w:rsidP="00CF0F6A" w:rsidRDefault="00AC217F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E118E">
              <w:rPr>
                <w:rFonts w:ascii="Arial" w:hAnsi="Arial" w:cs="Arial"/>
                <w:color w:val="000000" w:themeColor="text1"/>
                <w:sz w:val="20"/>
                <w:szCs w:val="20"/>
              </w:rPr>
              <w:t>Obsah</w:t>
            </w:r>
          </w:p>
        </w:tc>
        <w:tc>
          <w:tcPr>
            <w:tcW w:w="8505" w:type="dxa"/>
          </w:tcPr>
          <w:p w:rsidRPr="000E118E" w:rsidR="00AC217F" w:rsidP="00CF0F6A" w:rsidRDefault="004F3A89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E118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Sociálním podnikem se rozumí „subjekt sociálního podnikání“, založený dle výzvy, který naplňuje </w:t>
            </w:r>
            <w:r w:rsidRPr="000E118E" w:rsidR="00542FB7">
              <w:rPr>
                <w:rFonts w:ascii="Arial" w:hAnsi="Arial" w:cs="Arial"/>
                <w:color w:val="000000" w:themeColor="text1"/>
                <w:sz w:val="20"/>
                <w:szCs w:val="20"/>
              </w:rPr>
              <w:t>společensky</w:t>
            </w:r>
            <w:r w:rsidRPr="000E118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prospěšný cíl formulovaný v zakládacích dokumentech a který splňuje principy sociálního podniku (ekonomický, sociální, environmentální a lokální prospěch).</w:t>
            </w:r>
          </w:p>
        </w:tc>
      </w:tr>
      <w:tr w:rsidRPr="000E118E" w:rsidR="00E11380" w:rsidTr="00CF0F6A">
        <w:trPr>
          <w:trHeight w:val="402"/>
        </w:trPr>
        <w:tc>
          <w:tcPr>
            <w:tcW w:w="2093" w:type="dxa"/>
          </w:tcPr>
          <w:p w:rsidRPr="000E118E" w:rsidR="00AC217F" w:rsidP="00CF0F6A" w:rsidRDefault="00AC217F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E118E">
              <w:rPr>
                <w:rFonts w:ascii="Arial" w:hAnsi="Arial" w:cs="Arial"/>
                <w:color w:val="000000" w:themeColor="text1"/>
                <w:sz w:val="20"/>
                <w:szCs w:val="20"/>
              </w:rPr>
              <w:t>Způsob naplňování</w:t>
            </w:r>
          </w:p>
        </w:tc>
        <w:tc>
          <w:tcPr>
            <w:tcW w:w="8505" w:type="dxa"/>
          </w:tcPr>
          <w:p w:rsidRPr="000E118E" w:rsidR="00AC217F" w:rsidP="00CF0F6A" w:rsidRDefault="009C312C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E118E">
              <w:rPr>
                <w:rFonts w:ascii="Arial" w:hAnsi="Arial" w:cs="Arial"/>
                <w:color w:val="000000" w:themeColor="text1"/>
                <w:sz w:val="20"/>
                <w:szCs w:val="20"/>
              </w:rPr>
              <w:t>Sociálním podnikání dle principů SP</w:t>
            </w:r>
            <w:r w:rsidRPr="000E118E" w:rsidR="0018798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(příloha č. 2 výzvy)</w:t>
            </w:r>
          </w:p>
        </w:tc>
      </w:tr>
      <w:tr w:rsidRPr="000E118E" w:rsidR="00E11380" w:rsidTr="00CF0F6A">
        <w:trPr>
          <w:trHeight w:val="402"/>
        </w:trPr>
        <w:tc>
          <w:tcPr>
            <w:tcW w:w="2093" w:type="dxa"/>
          </w:tcPr>
          <w:p w:rsidRPr="000E118E" w:rsidR="00AC217F" w:rsidP="00CF0F6A" w:rsidRDefault="00AC217F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E118E">
              <w:rPr>
                <w:rFonts w:ascii="Arial" w:hAnsi="Arial" w:cs="Arial"/>
                <w:color w:val="000000" w:themeColor="text1"/>
                <w:sz w:val="20"/>
                <w:szCs w:val="20"/>
              </w:rPr>
              <w:t>Způsob evidence</w:t>
            </w:r>
          </w:p>
        </w:tc>
        <w:tc>
          <w:tcPr>
            <w:tcW w:w="8505" w:type="dxa"/>
          </w:tcPr>
          <w:p w:rsidRPr="000E118E" w:rsidR="00AC217F" w:rsidP="00CF0F6A" w:rsidRDefault="009C312C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E118E">
              <w:rPr>
                <w:rFonts w:ascii="Arial" w:hAnsi="Arial" w:cs="Arial"/>
                <w:color w:val="000000" w:themeColor="text1"/>
                <w:sz w:val="20"/>
                <w:szCs w:val="20"/>
              </w:rPr>
              <w:t>Sada rozpoznávacích znaků integračního sociálního podniku (příloha č. 2 výzvy)</w:t>
            </w:r>
          </w:p>
        </w:tc>
      </w:tr>
    </w:tbl>
    <w:p w:rsidRPr="000E118E" w:rsidR="002B695F" w:rsidP="00CF0F6A" w:rsidRDefault="002B695F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Pr="000E118E" w:rsidR="009C312C" w:rsidP="00CF0F6A" w:rsidRDefault="009C312C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 w:rsidRPr="000E118E">
        <w:rPr>
          <w:rFonts w:ascii="Arial" w:hAnsi="Arial" w:cs="Arial"/>
          <w:color w:val="FF0000"/>
          <w:sz w:val="20"/>
          <w:szCs w:val="20"/>
        </w:rPr>
        <w:t xml:space="preserve">1 02 12 Počet podpořených již existujících sociálních podniků </w:t>
      </w:r>
      <w:r w:rsidRPr="000E118E" w:rsidR="00542FB7">
        <w:rPr>
          <w:rFonts w:ascii="Arial" w:hAnsi="Arial" w:cs="Arial"/>
          <w:color w:val="FF0000"/>
          <w:sz w:val="20"/>
          <w:szCs w:val="20"/>
        </w:rPr>
        <w:t>– tento indikátor vybere již existující sociální podnik</w:t>
      </w: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2093"/>
        <w:gridCol w:w="8505"/>
      </w:tblGrid>
      <w:tr w:rsidRPr="000E118E" w:rsidR="00E11380" w:rsidTr="00CF0F6A">
        <w:tc>
          <w:tcPr>
            <w:tcW w:w="2093" w:type="dxa"/>
          </w:tcPr>
          <w:p w:rsidRPr="000E118E" w:rsidR="009C312C" w:rsidP="00CF0F6A" w:rsidRDefault="009C312C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E118E">
              <w:rPr>
                <w:rFonts w:ascii="Arial" w:hAnsi="Arial" w:cs="Arial"/>
                <w:color w:val="000000" w:themeColor="text1"/>
                <w:sz w:val="20"/>
                <w:szCs w:val="20"/>
              </w:rPr>
              <w:t>Obsah</w:t>
            </w:r>
          </w:p>
        </w:tc>
        <w:tc>
          <w:tcPr>
            <w:tcW w:w="8505" w:type="dxa"/>
          </w:tcPr>
          <w:p w:rsidRPr="000E118E" w:rsidR="009C312C" w:rsidP="00CF0F6A" w:rsidRDefault="00EB55F4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E118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Sociálním podnikem se rozumí „subjekt sociálního podnikání“, založený dle </w:t>
            </w:r>
            <w:r w:rsidRPr="000E118E" w:rsidR="0053778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podmínek </w:t>
            </w:r>
            <w:r w:rsidRPr="000E118E">
              <w:rPr>
                <w:rFonts w:ascii="Arial" w:hAnsi="Arial" w:cs="Arial"/>
                <w:color w:val="000000" w:themeColor="text1"/>
                <w:sz w:val="20"/>
                <w:szCs w:val="20"/>
              </w:rPr>
              <w:t>výzvy, který naplňuje veřejně prospěšný cíl formulovaný v zakládacích dokumentech a který splňuje principy sociálního podniku (ekonomický, sociální, environmentální a lokální prospěch).</w:t>
            </w:r>
          </w:p>
        </w:tc>
      </w:tr>
      <w:tr w:rsidRPr="000E118E" w:rsidR="00E11380" w:rsidTr="00CF0F6A">
        <w:tc>
          <w:tcPr>
            <w:tcW w:w="2093" w:type="dxa"/>
          </w:tcPr>
          <w:p w:rsidRPr="000E118E" w:rsidR="004F3A89" w:rsidP="00CF0F6A" w:rsidRDefault="004F3A89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E118E">
              <w:rPr>
                <w:rFonts w:ascii="Arial" w:hAnsi="Arial" w:cs="Arial"/>
                <w:color w:val="000000" w:themeColor="text1"/>
                <w:sz w:val="20"/>
                <w:szCs w:val="20"/>
              </w:rPr>
              <w:t>Způsob naplňování</w:t>
            </w:r>
          </w:p>
        </w:tc>
        <w:tc>
          <w:tcPr>
            <w:tcW w:w="8505" w:type="dxa"/>
          </w:tcPr>
          <w:p w:rsidRPr="000E118E" w:rsidR="004F3A89" w:rsidP="00CF0F6A" w:rsidRDefault="004F3A89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E118E">
              <w:rPr>
                <w:rFonts w:ascii="Arial" w:hAnsi="Arial" w:cs="Arial"/>
                <w:color w:val="000000" w:themeColor="text1"/>
                <w:sz w:val="20"/>
                <w:szCs w:val="20"/>
              </w:rPr>
              <w:t>Sociálním podnikání dle principů SP</w:t>
            </w:r>
            <w:r w:rsidRPr="000E118E" w:rsidR="0018798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(příloha č. 2 výzvy)</w:t>
            </w:r>
          </w:p>
        </w:tc>
      </w:tr>
      <w:tr w:rsidRPr="000E118E" w:rsidR="00542FB7" w:rsidTr="00CF0F6A">
        <w:tc>
          <w:tcPr>
            <w:tcW w:w="2093" w:type="dxa"/>
          </w:tcPr>
          <w:p w:rsidRPr="000E118E" w:rsidR="004F3A89" w:rsidP="00CF0F6A" w:rsidRDefault="004F3A89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E118E">
              <w:rPr>
                <w:rFonts w:ascii="Arial" w:hAnsi="Arial" w:cs="Arial"/>
                <w:color w:val="000000" w:themeColor="text1"/>
                <w:sz w:val="20"/>
                <w:szCs w:val="20"/>
              </w:rPr>
              <w:t>Způsob evidence</w:t>
            </w:r>
          </w:p>
        </w:tc>
        <w:tc>
          <w:tcPr>
            <w:tcW w:w="8505" w:type="dxa"/>
          </w:tcPr>
          <w:p w:rsidRPr="000E118E" w:rsidR="004F3A89" w:rsidP="00CF0F6A" w:rsidRDefault="004F3A89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E118E">
              <w:rPr>
                <w:rFonts w:ascii="Arial" w:hAnsi="Arial" w:cs="Arial"/>
                <w:color w:val="000000" w:themeColor="text1"/>
                <w:sz w:val="20"/>
                <w:szCs w:val="20"/>
              </w:rPr>
              <w:t>Sada rozpoznávacích znaků integračního sociálního podniku (příloha č. 2 výzvy)</w:t>
            </w:r>
          </w:p>
        </w:tc>
      </w:tr>
    </w:tbl>
    <w:p w:rsidRPr="000E118E" w:rsidR="009C312C" w:rsidP="00CF0F6A" w:rsidRDefault="009C312C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Pr="000E118E" w:rsidR="001E1A57" w:rsidP="00CF0F6A" w:rsidRDefault="00724141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E118E">
        <w:rPr>
          <w:rFonts w:ascii="Arial" w:hAnsi="Arial" w:cs="Arial"/>
          <w:color w:val="000000" w:themeColor="text1"/>
          <w:sz w:val="20"/>
          <w:szCs w:val="20"/>
        </w:rPr>
        <w:t>V případě, že podnik nesplní všechny znaky definované v rozpoznávacích znacích (viz příloha č. 2 výzvy)</w:t>
      </w:r>
      <w:r w:rsidRPr="000E118E" w:rsidR="00542FB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0E118E">
        <w:rPr>
          <w:rFonts w:ascii="Arial" w:hAnsi="Arial" w:cs="Arial"/>
          <w:color w:val="000000" w:themeColor="text1"/>
          <w:sz w:val="20"/>
          <w:szCs w:val="20"/>
        </w:rPr>
        <w:t>pak nemůž</w:t>
      </w:r>
      <w:r w:rsidRPr="000E118E" w:rsidR="009329A0">
        <w:rPr>
          <w:rFonts w:ascii="Arial" w:hAnsi="Arial" w:cs="Arial"/>
          <w:color w:val="000000" w:themeColor="text1"/>
          <w:sz w:val="20"/>
          <w:szCs w:val="20"/>
        </w:rPr>
        <w:t>e</w:t>
      </w:r>
      <w:r w:rsidRPr="000E118E">
        <w:rPr>
          <w:rFonts w:ascii="Arial" w:hAnsi="Arial" w:cs="Arial"/>
          <w:color w:val="000000" w:themeColor="text1"/>
          <w:sz w:val="20"/>
          <w:szCs w:val="20"/>
        </w:rPr>
        <w:t xml:space="preserve"> být započten </w:t>
      </w:r>
      <w:r w:rsidRPr="000E118E" w:rsidR="009329A0">
        <w:rPr>
          <w:rFonts w:ascii="Arial" w:hAnsi="Arial" w:cs="Arial"/>
          <w:color w:val="000000" w:themeColor="text1"/>
          <w:sz w:val="20"/>
          <w:szCs w:val="20"/>
        </w:rPr>
        <w:t xml:space="preserve">do plnění </w:t>
      </w:r>
      <w:r w:rsidRPr="000E118E">
        <w:rPr>
          <w:rFonts w:ascii="Arial" w:hAnsi="Arial" w:cs="Arial"/>
          <w:color w:val="000000" w:themeColor="text1"/>
          <w:sz w:val="20"/>
          <w:szCs w:val="20"/>
        </w:rPr>
        <w:t>indikátor</w:t>
      </w:r>
      <w:r w:rsidRPr="000E118E" w:rsidR="009329A0">
        <w:rPr>
          <w:rFonts w:ascii="Arial" w:hAnsi="Arial" w:cs="Arial"/>
          <w:color w:val="000000" w:themeColor="text1"/>
          <w:sz w:val="20"/>
          <w:szCs w:val="20"/>
        </w:rPr>
        <w:t>u</w:t>
      </w:r>
      <w:r w:rsidRPr="000E118E">
        <w:rPr>
          <w:rFonts w:ascii="Arial" w:hAnsi="Arial" w:cs="Arial"/>
          <w:color w:val="000000" w:themeColor="text1"/>
          <w:sz w:val="20"/>
          <w:szCs w:val="20"/>
        </w:rPr>
        <w:t xml:space="preserve"> 1 02 12 či indikátor</w:t>
      </w:r>
      <w:r w:rsidRPr="000E118E" w:rsidR="009329A0">
        <w:rPr>
          <w:rFonts w:ascii="Arial" w:hAnsi="Arial" w:cs="Arial"/>
          <w:color w:val="000000" w:themeColor="text1"/>
          <w:sz w:val="20"/>
          <w:szCs w:val="20"/>
        </w:rPr>
        <w:t>u</w:t>
      </w:r>
      <w:r w:rsidRPr="000E118E">
        <w:rPr>
          <w:rFonts w:ascii="Arial" w:hAnsi="Arial" w:cs="Arial"/>
          <w:color w:val="000000" w:themeColor="text1"/>
          <w:sz w:val="20"/>
          <w:szCs w:val="20"/>
        </w:rPr>
        <w:t xml:space="preserve"> 1 02 1</w:t>
      </w:r>
      <w:r w:rsidRPr="000E118E" w:rsidR="009329A0">
        <w:rPr>
          <w:rFonts w:ascii="Arial" w:hAnsi="Arial" w:cs="Arial"/>
          <w:color w:val="000000" w:themeColor="text1"/>
          <w:sz w:val="20"/>
          <w:szCs w:val="20"/>
        </w:rPr>
        <w:t>3</w:t>
      </w:r>
      <w:r w:rsidRPr="000E118E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</w:p>
    <w:p w:rsidRPr="000E118E" w:rsidR="00724141" w:rsidP="00CF0F6A" w:rsidRDefault="00724141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Pr="000E118E" w:rsidR="00490BF6" w:rsidP="00CF0F6A" w:rsidRDefault="00490BF6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Pr="000E118E" w:rsidR="00490BF6" w:rsidP="00CF0F6A" w:rsidRDefault="00490BF6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Pr="000E118E" w:rsidR="0075450F" w:rsidP="00CF0F6A" w:rsidRDefault="003D302D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E118E">
        <w:rPr>
          <w:rFonts w:ascii="Arial" w:hAnsi="Arial" w:cs="Arial"/>
          <w:color w:val="FF0000"/>
          <w:sz w:val="20"/>
          <w:szCs w:val="20"/>
        </w:rPr>
        <w:t xml:space="preserve">B) </w:t>
      </w:r>
      <w:r w:rsidRPr="000E118E" w:rsidR="00484403">
        <w:rPr>
          <w:rFonts w:ascii="Arial" w:hAnsi="Arial" w:cs="Arial"/>
          <w:color w:val="FF0000"/>
          <w:sz w:val="20"/>
          <w:szCs w:val="20"/>
        </w:rPr>
        <w:t>I</w:t>
      </w:r>
      <w:r w:rsidRPr="000E118E" w:rsidR="0075450F">
        <w:rPr>
          <w:rFonts w:ascii="Arial" w:hAnsi="Arial" w:cs="Arial"/>
          <w:color w:val="FF0000"/>
          <w:sz w:val="20"/>
          <w:szCs w:val="20"/>
        </w:rPr>
        <w:t>ndikátory</w:t>
      </w:r>
      <w:r w:rsidRPr="000E118E" w:rsidR="00484403">
        <w:rPr>
          <w:rFonts w:ascii="Arial" w:hAnsi="Arial" w:cs="Arial"/>
          <w:color w:val="FF0000"/>
          <w:sz w:val="20"/>
          <w:szCs w:val="20"/>
        </w:rPr>
        <w:t xml:space="preserve"> výsledku </w:t>
      </w:r>
      <w:r w:rsidRPr="000E118E" w:rsidR="00484403">
        <w:rPr>
          <w:rFonts w:ascii="Arial" w:hAnsi="Arial" w:cs="Arial"/>
          <w:color w:val="000000" w:themeColor="text1"/>
          <w:sz w:val="20"/>
          <w:szCs w:val="20"/>
        </w:rPr>
        <w:t xml:space="preserve">– </w:t>
      </w:r>
      <w:r w:rsidRPr="000E118E" w:rsidR="00EF47BC">
        <w:rPr>
          <w:rFonts w:ascii="Arial" w:hAnsi="Arial" w:cs="Arial"/>
          <w:color w:val="000000" w:themeColor="text1"/>
          <w:sz w:val="20"/>
          <w:szCs w:val="20"/>
        </w:rPr>
        <w:t>nejedná se o indikátory se závazkem</w:t>
      </w:r>
      <w:r w:rsidRPr="000E118E" w:rsidR="002F21BC">
        <w:rPr>
          <w:rFonts w:ascii="Arial" w:hAnsi="Arial" w:cs="Arial"/>
          <w:color w:val="000000" w:themeColor="text1"/>
          <w:sz w:val="20"/>
          <w:szCs w:val="20"/>
        </w:rPr>
        <w:t>,</w:t>
      </w:r>
      <w:r w:rsidRPr="000E118E" w:rsidR="00BE732F">
        <w:rPr>
          <w:rFonts w:ascii="Arial" w:hAnsi="Arial" w:cs="Arial"/>
          <w:color w:val="000000" w:themeColor="text1"/>
          <w:sz w:val="20"/>
          <w:szCs w:val="20"/>
        </w:rPr>
        <w:t xml:space="preserve"> tj.</w:t>
      </w:r>
      <w:r w:rsidRPr="000E118E" w:rsidR="002F21BC">
        <w:rPr>
          <w:rFonts w:ascii="Arial" w:hAnsi="Arial" w:cs="Arial"/>
          <w:color w:val="000000" w:themeColor="text1"/>
          <w:sz w:val="20"/>
          <w:szCs w:val="20"/>
        </w:rPr>
        <w:t xml:space="preserve"> nejsou na ně navázány sankce za neplnění.</w:t>
      </w:r>
      <w:r w:rsidRPr="000E118E" w:rsidR="006F2A55">
        <w:rPr>
          <w:rFonts w:ascii="Arial" w:hAnsi="Arial" w:cs="Arial"/>
          <w:color w:val="000000" w:themeColor="text1"/>
          <w:sz w:val="20"/>
          <w:szCs w:val="20"/>
        </w:rPr>
        <w:t xml:space="preserve"> Pokud </w:t>
      </w:r>
      <w:r w:rsidRPr="000E118E" w:rsidR="00E503D4">
        <w:rPr>
          <w:rFonts w:ascii="Arial" w:hAnsi="Arial" w:cs="Arial"/>
          <w:color w:val="000000" w:themeColor="text1"/>
          <w:sz w:val="20"/>
          <w:szCs w:val="20"/>
        </w:rPr>
        <w:t>žadatel podporu získá,</w:t>
      </w:r>
      <w:r w:rsidRPr="000E118E" w:rsidR="006F2A55">
        <w:rPr>
          <w:rFonts w:ascii="Arial" w:hAnsi="Arial" w:cs="Arial"/>
          <w:color w:val="000000" w:themeColor="text1"/>
          <w:sz w:val="20"/>
          <w:szCs w:val="20"/>
        </w:rPr>
        <w:t xml:space="preserve"> bude jejich </w:t>
      </w:r>
      <w:r w:rsidRPr="000E118E" w:rsidR="00E503D4">
        <w:rPr>
          <w:rFonts w:ascii="Arial" w:hAnsi="Arial" w:cs="Arial"/>
          <w:color w:val="000000" w:themeColor="text1"/>
          <w:sz w:val="20"/>
          <w:szCs w:val="20"/>
        </w:rPr>
        <w:t>plnění vykazo</w:t>
      </w:r>
      <w:r w:rsidRPr="000E118E" w:rsidR="00046B59">
        <w:rPr>
          <w:rFonts w:ascii="Arial" w:hAnsi="Arial" w:cs="Arial"/>
          <w:color w:val="000000" w:themeColor="text1"/>
          <w:sz w:val="20"/>
          <w:szCs w:val="20"/>
        </w:rPr>
        <w:t>vat</w:t>
      </w:r>
      <w:r w:rsidRPr="000E118E" w:rsidR="006F2A5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0E118E" w:rsidR="002F21BC">
        <w:rPr>
          <w:rFonts w:ascii="Arial" w:hAnsi="Arial" w:cs="Arial"/>
          <w:color w:val="000000" w:themeColor="text1"/>
          <w:sz w:val="20"/>
          <w:szCs w:val="20"/>
        </w:rPr>
        <w:t>v rámci zpráv o realizaci.</w:t>
      </w:r>
      <w:r w:rsidRPr="000E118E" w:rsidR="00046B5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0E118E" w:rsidR="006F2A55">
        <w:rPr>
          <w:rFonts w:ascii="Arial" w:hAnsi="Arial" w:cs="Arial"/>
          <w:color w:val="000000" w:themeColor="text1"/>
          <w:sz w:val="20"/>
          <w:szCs w:val="20"/>
        </w:rPr>
        <w:t xml:space="preserve"> V žádosti o podporu </w:t>
      </w:r>
      <w:r w:rsidRPr="000E118E">
        <w:rPr>
          <w:rFonts w:ascii="Arial" w:hAnsi="Arial" w:cs="Arial"/>
          <w:color w:val="000000" w:themeColor="text1"/>
          <w:sz w:val="20"/>
          <w:szCs w:val="20"/>
        </w:rPr>
        <w:t>žadatel uvede</w:t>
      </w:r>
      <w:r w:rsidRPr="000E118E" w:rsidR="006F2A55">
        <w:rPr>
          <w:rFonts w:ascii="Arial" w:hAnsi="Arial" w:cs="Arial"/>
          <w:color w:val="000000" w:themeColor="text1"/>
          <w:sz w:val="20"/>
          <w:szCs w:val="20"/>
        </w:rPr>
        <w:t xml:space="preserve"> u těchto indikátorů</w:t>
      </w:r>
      <w:r w:rsidRPr="000E118E">
        <w:rPr>
          <w:rFonts w:ascii="Arial" w:hAnsi="Arial" w:cs="Arial"/>
          <w:color w:val="000000" w:themeColor="text1"/>
          <w:sz w:val="20"/>
          <w:szCs w:val="20"/>
        </w:rPr>
        <w:t xml:space="preserve"> „0“ (</w:t>
      </w:r>
      <w:r w:rsidRPr="000E118E" w:rsidR="0092667A">
        <w:rPr>
          <w:rFonts w:ascii="Arial" w:hAnsi="Arial" w:cs="Arial"/>
          <w:color w:val="000000" w:themeColor="text1"/>
          <w:sz w:val="20"/>
          <w:szCs w:val="20"/>
        </w:rPr>
        <w:t xml:space="preserve">Indikátory výsledku </w:t>
      </w:r>
      <w:r w:rsidRPr="000E118E" w:rsidR="00B42F60">
        <w:rPr>
          <w:rFonts w:ascii="Arial" w:hAnsi="Arial" w:cs="Arial"/>
          <w:color w:val="000000" w:themeColor="text1"/>
          <w:sz w:val="20"/>
          <w:szCs w:val="20"/>
        </w:rPr>
        <w:t>budou</w:t>
      </w:r>
      <w:r w:rsidRPr="000E118E" w:rsidR="0092667A">
        <w:rPr>
          <w:rFonts w:ascii="Arial" w:hAnsi="Arial" w:cs="Arial"/>
          <w:color w:val="000000" w:themeColor="text1"/>
          <w:sz w:val="20"/>
          <w:szCs w:val="20"/>
        </w:rPr>
        <w:t xml:space="preserve"> sledovány při ukončení účasti v projektu </w:t>
      </w:r>
      <w:r w:rsidRPr="000E118E" w:rsidR="00B42F60">
        <w:rPr>
          <w:rFonts w:ascii="Arial" w:hAnsi="Arial" w:cs="Arial"/>
          <w:color w:val="000000" w:themeColor="text1"/>
          <w:sz w:val="20"/>
          <w:szCs w:val="20"/>
        </w:rPr>
        <w:t>pro</w:t>
      </w:r>
      <w:r w:rsidRPr="000E118E" w:rsidR="0092667A">
        <w:rPr>
          <w:rFonts w:ascii="Arial" w:hAnsi="Arial" w:cs="Arial"/>
          <w:color w:val="000000" w:themeColor="text1"/>
          <w:sz w:val="20"/>
          <w:szCs w:val="20"/>
        </w:rPr>
        <w:t xml:space="preserve"> účastníky, kteří překonali limit stanovený pro bagatelní podporu, tj. jsou vykázáni v indikátoru 6 00 00 Celkový počet účastníků.</w:t>
      </w:r>
    </w:p>
    <w:p w:rsidRPr="000E118E" w:rsidR="00484403" w:rsidP="00CF0F6A" w:rsidRDefault="00484403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Pr="000E118E" w:rsidR="009C3412" w:rsidP="00CF0F6A" w:rsidRDefault="009C3412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 w:rsidRPr="000E118E">
        <w:rPr>
          <w:rFonts w:ascii="Arial" w:hAnsi="Arial" w:cs="Arial"/>
          <w:color w:val="FF0000"/>
          <w:sz w:val="20"/>
          <w:szCs w:val="20"/>
        </w:rPr>
        <w:t>06 25 00 účastníci v procesu vzdělávání/odborné přípravy po ukončení své účasti</w:t>
      </w:r>
      <w:r w:rsidRPr="000E118E" w:rsidR="00EF47BC">
        <w:rPr>
          <w:rFonts w:ascii="Arial" w:hAnsi="Arial" w:cs="Arial"/>
          <w:color w:val="FF0000"/>
          <w:sz w:val="20"/>
          <w:szCs w:val="20"/>
        </w:rPr>
        <w:t xml:space="preserve"> – žadatel uvede „0“</w:t>
      </w: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2093"/>
        <w:gridCol w:w="8505"/>
      </w:tblGrid>
      <w:tr w:rsidRPr="000E118E" w:rsidR="00E11380" w:rsidTr="00CF0F6A">
        <w:tc>
          <w:tcPr>
            <w:tcW w:w="2093" w:type="dxa"/>
          </w:tcPr>
          <w:p w:rsidRPr="000E118E" w:rsidR="009C3412" w:rsidP="00CF0F6A" w:rsidRDefault="009C3412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E118E">
              <w:rPr>
                <w:rFonts w:ascii="Arial" w:hAnsi="Arial" w:cs="Arial"/>
                <w:color w:val="000000" w:themeColor="text1"/>
                <w:sz w:val="20"/>
                <w:szCs w:val="20"/>
              </w:rPr>
              <w:t>Obsah</w:t>
            </w:r>
          </w:p>
        </w:tc>
        <w:tc>
          <w:tcPr>
            <w:tcW w:w="8505" w:type="dxa"/>
          </w:tcPr>
          <w:p w:rsidRPr="000E118E" w:rsidR="009C3412" w:rsidP="00CF0F6A" w:rsidRDefault="008E39E9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E118E">
              <w:rPr>
                <w:rFonts w:ascii="Arial" w:hAnsi="Arial" w:cs="Arial"/>
                <w:color w:val="000000" w:themeColor="text1"/>
                <w:sz w:val="20"/>
                <w:szCs w:val="20"/>
              </w:rPr>
              <w:t>Zaměstnanci z CS, kteří jsou nově zapojeni do vzdělávání či odborné přípravy</w:t>
            </w:r>
          </w:p>
        </w:tc>
      </w:tr>
      <w:tr w:rsidRPr="000E118E" w:rsidR="00E11380" w:rsidTr="00CF0F6A">
        <w:trPr>
          <w:trHeight w:val="274"/>
        </w:trPr>
        <w:tc>
          <w:tcPr>
            <w:tcW w:w="2093" w:type="dxa"/>
          </w:tcPr>
          <w:p w:rsidRPr="000E118E" w:rsidR="009C3412" w:rsidP="00CF0F6A" w:rsidRDefault="009C3412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E118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Způsob naplňování </w:t>
            </w:r>
          </w:p>
        </w:tc>
        <w:tc>
          <w:tcPr>
            <w:tcW w:w="8505" w:type="dxa"/>
          </w:tcPr>
          <w:p w:rsidRPr="000E118E" w:rsidR="009C3412" w:rsidP="00CF0F6A" w:rsidRDefault="00EF47BC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E118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Sledováno při ukončení účasti. Příjemce u každého účastníka zadá informace do ISKP2014+. </w:t>
            </w:r>
            <w:r w:rsidRPr="000E118E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Po ukončení své účasti znamená do započetí své účasti do doby čtyř týdnů po jejím ukončení.</w:t>
            </w:r>
          </w:p>
        </w:tc>
      </w:tr>
    </w:tbl>
    <w:p w:rsidRPr="000E118E" w:rsidR="00724141" w:rsidP="00CF0F6A" w:rsidRDefault="00724141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Pr="000E118E" w:rsidR="0075450F" w:rsidP="00CF0F6A" w:rsidRDefault="00484403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 w:rsidRPr="000E118E">
        <w:rPr>
          <w:rFonts w:ascii="Arial" w:hAnsi="Arial" w:cs="Arial"/>
          <w:color w:val="FF0000"/>
          <w:sz w:val="20"/>
          <w:szCs w:val="20"/>
        </w:rPr>
        <w:t>6 26 00 Účastníci, kteří získali kvalifikaci po ukončení své účasti</w:t>
      </w:r>
      <w:r w:rsidRPr="000E118E" w:rsidR="003D302D">
        <w:rPr>
          <w:rFonts w:ascii="Arial" w:hAnsi="Arial" w:cs="Arial"/>
          <w:color w:val="FF0000"/>
          <w:sz w:val="20"/>
          <w:szCs w:val="20"/>
        </w:rPr>
        <w:t xml:space="preserve"> – žadatel uvede „0“</w:t>
      </w:r>
      <w:r w:rsidRPr="000E118E" w:rsidR="00EF47BC">
        <w:rPr>
          <w:rFonts w:ascii="Arial" w:hAnsi="Arial" w:cs="Arial"/>
          <w:color w:val="FF0000"/>
          <w:sz w:val="20"/>
          <w:szCs w:val="20"/>
        </w:rPr>
        <w:t xml:space="preserve"> </w:t>
      </w: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2093"/>
        <w:gridCol w:w="8505"/>
      </w:tblGrid>
      <w:tr w:rsidRPr="000E118E" w:rsidR="00E11380" w:rsidTr="00CF0F6A">
        <w:tc>
          <w:tcPr>
            <w:tcW w:w="2093" w:type="dxa"/>
          </w:tcPr>
          <w:p w:rsidRPr="000E118E" w:rsidR="0075450F" w:rsidP="00CF0F6A" w:rsidRDefault="00484403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E118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Obsah </w:t>
            </w:r>
          </w:p>
        </w:tc>
        <w:tc>
          <w:tcPr>
            <w:tcW w:w="8505" w:type="dxa"/>
          </w:tcPr>
          <w:p w:rsidRPr="000E118E" w:rsidR="0075450F" w:rsidP="00CF0F6A" w:rsidRDefault="00EF47BC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E118E">
              <w:rPr>
                <w:rFonts w:ascii="Arial" w:hAnsi="Arial" w:cs="Arial"/>
                <w:color w:val="000000" w:themeColor="text1"/>
                <w:sz w:val="20"/>
                <w:szCs w:val="20"/>
              </w:rPr>
              <w:t>Počet zaměstnanců z cílové skupiny, kteří prošli vzděláváním</w:t>
            </w:r>
            <w:r w:rsidRPr="000E118E" w:rsidR="00E82C4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 získali kvalifikaci. </w:t>
            </w:r>
          </w:p>
        </w:tc>
      </w:tr>
      <w:tr w:rsidRPr="000E118E" w:rsidR="003D302D" w:rsidTr="00CF0F6A">
        <w:tc>
          <w:tcPr>
            <w:tcW w:w="2093" w:type="dxa"/>
          </w:tcPr>
          <w:p w:rsidRPr="000E118E" w:rsidR="0075450F" w:rsidP="00CF0F6A" w:rsidRDefault="00484403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E118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Způsob naplňování </w:t>
            </w:r>
          </w:p>
        </w:tc>
        <w:tc>
          <w:tcPr>
            <w:tcW w:w="8505" w:type="dxa"/>
          </w:tcPr>
          <w:p w:rsidRPr="000E118E" w:rsidR="006F4941" w:rsidP="00CF0F6A" w:rsidRDefault="00E82C4D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E118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Pokud v rámci realizace projektu budou hrazeny z rozpočtu </w:t>
            </w:r>
            <w:r w:rsidRPr="000E118E" w:rsidR="004F7D8E">
              <w:rPr>
                <w:rFonts w:ascii="Arial" w:hAnsi="Arial" w:cs="Arial"/>
                <w:color w:val="000000" w:themeColor="text1"/>
                <w:sz w:val="20"/>
                <w:szCs w:val="20"/>
              </w:rPr>
              <w:t>kurzy a účastník je úspěšně</w:t>
            </w:r>
            <w:r w:rsidRPr="000E118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zakončí, lze je započítat do indikátoru. (POZOR - nejedná se o kurzy typu BOZP a požární ochrana).</w:t>
            </w:r>
            <w:r w:rsidRPr="000E118E" w:rsidR="006F494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Potvrzení o absolvování je udíleno na základě formálního prověření znalostí, které ukázalo, že </w:t>
            </w:r>
            <w:r w:rsidRPr="000E118E" w:rsidR="006F2A5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účastník získal kvalifikaci dle </w:t>
            </w:r>
            <w:r w:rsidRPr="000E118E" w:rsidR="006F494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předem nastavených standardů. </w:t>
            </w:r>
            <w:r w:rsidRPr="000E118E" w:rsidR="00046B59">
              <w:rPr>
                <w:rFonts w:ascii="Arial" w:hAnsi="Arial" w:cs="Arial"/>
                <w:color w:val="000000" w:themeColor="text1"/>
                <w:sz w:val="20"/>
                <w:szCs w:val="20"/>
              </w:rPr>
              <w:t>Účastník je započítán pouze jednou</w:t>
            </w:r>
            <w:r w:rsidRPr="000E118E" w:rsidR="006F2A55">
              <w:rPr>
                <w:rFonts w:ascii="Arial" w:hAnsi="Arial" w:cs="Arial"/>
                <w:color w:val="000000" w:themeColor="text1"/>
                <w:sz w:val="20"/>
                <w:szCs w:val="20"/>
              </w:rPr>
              <w:t>, a to</w:t>
            </w:r>
            <w:r w:rsidRPr="000E118E" w:rsidR="00046B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i v případě, že by dokončil více kurzů.</w:t>
            </w:r>
          </w:p>
          <w:p w:rsidRPr="000E118E" w:rsidR="006F4941" w:rsidP="00CF0F6A" w:rsidRDefault="006F4941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E118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Pokud </w:t>
            </w:r>
            <w:r w:rsidRPr="000E118E" w:rsidR="00E82C4D">
              <w:rPr>
                <w:rFonts w:ascii="Arial" w:hAnsi="Arial" w:cs="Arial"/>
                <w:color w:val="000000" w:themeColor="text1"/>
                <w:sz w:val="20"/>
                <w:szCs w:val="20"/>
              </w:rPr>
              <w:t>vzdělávání nebu</w:t>
            </w:r>
            <w:r w:rsidRPr="000E118E">
              <w:rPr>
                <w:rFonts w:ascii="Arial" w:hAnsi="Arial" w:cs="Arial"/>
                <w:color w:val="000000" w:themeColor="text1"/>
                <w:sz w:val="20"/>
                <w:szCs w:val="20"/>
              </w:rPr>
              <w:t>de relevantní, žadatel vyplní 0</w:t>
            </w:r>
            <w:r w:rsidRPr="000E118E" w:rsidR="00E82C4D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  <w:p w:rsidRPr="000E118E" w:rsidR="0075450F" w:rsidP="00CF0F6A" w:rsidRDefault="00484403">
            <w:pPr>
              <w:pStyle w:val="Textkomente"/>
              <w:jc w:val="both"/>
              <w:rPr>
                <w:rFonts w:ascii="Arial" w:hAnsi="Arial" w:cs="Arial"/>
                <w:color w:val="000000" w:themeColor="text1"/>
              </w:rPr>
            </w:pPr>
            <w:r w:rsidRPr="000E118E">
              <w:rPr>
                <w:rFonts w:ascii="Arial" w:hAnsi="Arial" w:cs="Arial"/>
                <w:color w:val="000000" w:themeColor="text1"/>
              </w:rPr>
              <w:t xml:space="preserve">Sledováno při ukončení účasti. </w:t>
            </w:r>
            <w:r w:rsidRPr="000E118E" w:rsidR="00230B83">
              <w:rPr>
                <w:rFonts w:ascii="Arial" w:hAnsi="Arial" w:cs="Arial"/>
                <w:color w:val="000000" w:themeColor="text1"/>
              </w:rPr>
              <w:t>Příjemce u každého účastníka zadá informace do ISKP2014+.</w:t>
            </w:r>
            <w:r w:rsidRPr="000E118E" w:rsidR="003D302D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0E118E" w:rsidR="00230B83">
              <w:rPr>
                <w:rFonts w:ascii="Arial" w:hAnsi="Arial" w:cs="Arial"/>
                <w:color w:val="000000" w:themeColor="text1"/>
              </w:rPr>
              <w:t>Po ukončení své účasti znamená do započetí své účasti do doby čtyř týdnů po jejím ukončení.</w:t>
            </w:r>
          </w:p>
        </w:tc>
      </w:tr>
    </w:tbl>
    <w:p w:rsidRPr="000E118E" w:rsidR="0075450F" w:rsidP="00CF0F6A" w:rsidRDefault="0075450F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Pr="000E118E" w:rsidR="00484403" w:rsidP="00CF0F6A" w:rsidRDefault="003D302D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E118E">
        <w:rPr>
          <w:rFonts w:ascii="Arial" w:hAnsi="Arial" w:cs="Arial"/>
          <w:color w:val="FF0000"/>
          <w:sz w:val="20"/>
          <w:szCs w:val="20"/>
        </w:rPr>
        <w:t xml:space="preserve">    c) </w:t>
      </w:r>
      <w:r w:rsidRPr="000E118E" w:rsidR="00484403">
        <w:rPr>
          <w:rFonts w:ascii="Arial" w:hAnsi="Arial" w:cs="Arial"/>
          <w:color w:val="FF0000"/>
          <w:sz w:val="20"/>
          <w:szCs w:val="20"/>
        </w:rPr>
        <w:t>6 28 00 Znevýhodnění účastníci, kteří po ukončení své účasti hledají zaměstnání, jsou v procesu vzdělávání/odborné přípravy, rozšiřují kvalifikaci nebo jsou zaměstnaní, a to i OSVČ</w:t>
      </w:r>
      <w:r w:rsidRPr="000E118E">
        <w:rPr>
          <w:rFonts w:ascii="Arial" w:hAnsi="Arial" w:cs="Arial"/>
          <w:color w:val="FF0000"/>
          <w:sz w:val="20"/>
          <w:szCs w:val="20"/>
        </w:rPr>
        <w:t xml:space="preserve"> – žadatel uvede „0“</w:t>
      </w: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2093"/>
        <w:gridCol w:w="8505"/>
      </w:tblGrid>
      <w:tr w:rsidRPr="000E118E" w:rsidR="00E11380" w:rsidTr="00CF0F6A">
        <w:tc>
          <w:tcPr>
            <w:tcW w:w="2093" w:type="dxa"/>
          </w:tcPr>
          <w:p w:rsidRPr="000E118E" w:rsidR="00484403" w:rsidP="00CF0F6A" w:rsidRDefault="00484403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E118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Obsah </w:t>
            </w:r>
          </w:p>
        </w:tc>
        <w:tc>
          <w:tcPr>
            <w:tcW w:w="8505" w:type="dxa"/>
          </w:tcPr>
          <w:p w:rsidRPr="000E118E" w:rsidR="00484403" w:rsidP="00CF0F6A" w:rsidRDefault="00484403">
            <w:pPr>
              <w:pStyle w:val="Textkomente"/>
              <w:jc w:val="both"/>
              <w:rPr>
                <w:rFonts w:ascii="Arial" w:hAnsi="Arial" w:cs="Arial"/>
                <w:color w:val="000000" w:themeColor="text1"/>
              </w:rPr>
            </w:pPr>
            <w:r w:rsidRPr="000E118E">
              <w:rPr>
                <w:rFonts w:ascii="Arial" w:hAnsi="Arial" w:cs="Arial"/>
                <w:color w:val="000000" w:themeColor="text1"/>
              </w:rPr>
              <w:t>Indikátor se sleduje pouze pro osoby, které jsou při vstupu identifikované jako znevýhodněné (viz definice) a při ukončení jsou vykázány alespoň v jednom z indikátorů 62400, 62500,62600, 62700.</w:t>
            </w:r>
          </w:p>
        </w:tc>
      </w:tr>
      <w:tr w:rsidRPr="000E118E" w:rsidR="003D302D" w:rsidTr="00CF0F6A">
        <w:tc>
          <w:tcPr>
            <w:tcW w:w="2093" w:type="dxa"/>
          </w:tcPr>
          <w:p w:rsidRPr="000E118E" w:rsidR="00484403" w:rsidP="00CF0F6A" w:rsidRDefault="00484403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E118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Způsob naplňování </w:t>
            </w:r>
          </w:p>
        </w:tc>
        <w:tc>
          <w:tcPr>
            <w:tcW w:w="8505" w:type="dxa"/>
          </w:tcPr>
          <w:p w:rsidRPr="000E118E" w:rsidR="00484403" w:rsidP="00CF0F6A" w:rsidRDefault="00537786">
            <w:pPr>
              <w:pStyle w:val="Textkomente"/>
              <w:jc w:val="both"/>
              <w:rPr>
                <w:rFonts w:ascii="Arial" w:hAnsi="Arial" w:cs="Arial"/>
                <w:color w:val="000000" w:themeColor="text1"/>
              </w:rPr>
            </w:pPr>
            <w:r w:rsidRPr="000E118E">
              <w:rPr>
                <w:rFonts w:ascii="Arial" w:hAnsi="Arial" w:cs="Arial"/>
                <w:color w:val="000000" w:themeColor="text1"/>
              </w:rPr>
              <w:t>Příjemce u každého účastníka zadá informace do ISKP2014+.</w:t>
            </w:r>
          </w:p>
          <w:p w:rsidRPr="000E118E" w:rsidR="00537786" w:rsidP="00CF0F6A" w:rsidRDefault="00537786">
            <w:pPr>
              <w:pStyle w:val="Textkomente"/>
              <w:jc w:val="both"/>
              <w:rPr>
                <w:rFonts w:ascii="Arial" w:hAnsi="Arial" w:cs="Arial"/>
                <w:color w:val="000000" w:themeColor="text1"/>
              </w:rPr>
            </w:pPr>
            <w:r w:rsidRPr="000E118E">
              <w:rPr>
                <w:rFonts w:ascii="Arial" w:hAnsi="Arial" w:cs="Arial"/>
                <w:color w:val="000000" w:themeColor="text1"/>
              </w:rPr>
              <w:t xml:space="preserve">Po ukončení své účasti znamená do započetí své účasti do doby čtyř týdnů po jejím ukončení. </w:t>
            </w:r>
          </w:p>
        </w:tc>
      </w:tr>
    </w:tbl>
    <w:p w:rsidRPr="000E118E" w:rsidR="00484403" w:rsidP="00CF0F6A" w:rsidRDefault="00484403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Pr="000E118E" w:rsidR="00BF3959" w:rsidP="00CF0F6A" w:rsidRDefault="00BF3959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0E118E">
        <w:rPr>
          <w:rFonts w:ascii="Arial" w:hAnsi="Arial" w:cs="Arial"/>
          <w:b/>
          <w:color w:val="000000" w:themeColor="text1"/>
          <w:sz w:val="20"/>
          <w:szCs w:val="20"/>
        </w:rPr>
        <w:t xml:space="preserve">Indikátory, které budou vykazovány v průběhu realizace projektu: </w:t>
      </w:r>
    </w:p>
    <w:p w:rsidRPr="000E118E" w:rsidR="00BF3959" w:rsidP="00CF0F6A" w:rsidRDefault="00BF3959">
      <w:pPr>
        <w:spacing w:after="0" w:line="240" w:lineRule="auto"/>
        <w:jc w:val="both"/>
        <w:rPr>
          <w:rFonts w:ascii="Arial" w:hAnsi="Arial" w:cs="Arial"/>
          <w:b/>
          <w:i/>
          <w:color w:val="000000" w:themeColor="text1"/>
          <w:sz w:val="20"/>
          <w:szCs w:val="20"/>
        </w:rPr>
      </w:pPr>
    </w:p>
    <w:p w:rsidRPr="000E118E" w:rsidR="003D0955" w:rsidP="00CF0F6A" w:rsidRDefault="003D0955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E118E">
        <w:rPr>
          <w:rFonts w:ascii="Arial" w:hAnsi="Arial" w:cs="Arial"/>
          <w:color w:val="000000" w:themeColor="text1"/>
          <w:sz w:val="20"/>
          <w:szCs w:val="20"/>
        </w:rPr>
        <w:t>S níže uvedenými indikátory žadatel nepracuje, budou se týkat příjemců:</w:t>
      </w:r>
    </w:p>
    <w:p w:rsidRPr="000E118E" w:rsidR="003D302D" w:rsidP="00CF0F6A" w:rsidRDefault="003D302D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E118E">
        <w:rPr>
          <w:rFonts w:ascii="Arial" w:hAnsi="Arial" w:cs="Arial"/>
          <w:color w:val="000000" w:themeColor="text1"/>
          <w:sz w:val="20"/>
          <w:szCs w:val="20"/>
        </w:rPr>
        <w:t>6 24 00 Neaktivní účastníci, kteří znovu začali hledat zaměstnání po ukončení své účasti</w:t>
      </w: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2093"/>
        <w:gridCol w:w="8505"/>
      </w:tblGrid>
      <w:tr w:rsidRPr="000E118E" w:rsidR="003D302D" w:rsidTr="00CF0F6A">
        <w:tc>
          <w:tcPr>
            <w:tcW w:w="2093" w:type="dxa"/>
          </w:tcPr>
          <w:p w:rsidRPr="000E118E" w:rsidR="003D302D" w:rsidP="00CF0F6A" w:rsidRDefault="003D302D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E118E">
              <w:rPr>
                <w:rFonts w:ascii="Arial" w:hAnsi="Arial" w:cs="Arial"/>
                <w:color w:val="000000" w:themeColor="text1"/>
                <w:sz w:val="20"/>
                <w:szCs w:val="20"/>
              </w:rPr>
              <w:t>Obsah</w:t>
            </w:r>
          </w:p>
        </w:tc>
        <w:tc>
          <w:tcPr>
            <w:tcW w:w="8505" w:type="dxa"/>
          </w:tcPr>
          <w:p w:rsidRPr="000E118E" w:rsidR="003D302D" w:rsidP="00CF0F6A" w:rsidRDefault="006F4941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E118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Za nově hledajícího účastníka se bere účastník, který je na úřadu práce nově evidován jako uchazeč o zaměstnání. </w:t>
            </w:r>
          </w:p>
        </w:tc>
      </w:tr>
      <w:tr w:rsidRPr="000E118E" w:rsidR="003D302D" w:rsidTr="00CF0F6A">
        <w:tc>
          <w:tcPr>
            <w:tcW w:w="2093" w:type="dxa"/>
          </w:tcPr>
          <w:p w:rsidRPr="000E118E" w:rsidR="003D302D" w:rsidP="00CF0F6A" w:rsidRDefault="003D302D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E118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Způsob naplňování </w:t>
            </w:r>
          </w:p>
        </w:tc>
        <w:tc>
          <w:tcPr>
            <w:tcW w:w="8505" w:type="dxa"/>
          </w:tcPr>
          <w:p w:rsidRPr="000E118E" w:rsidR="003D302D" w:rsidP="00CF0F6A" w:rsidRDefault="003D302D">
            <w:pPr>
              <w:pStyle w:val="Textkomente"/>
              <w:jc w:val="both"/>
              <w:rPr>
                <w:rFonts w:ascii="Arial" w:hAnsi="Arial" w:cs="Arial"/>
                <w:color w:val="000000" w:themeColor="text1"/>
              </w:rPr>
            </w:pPr>
            <w:r w:rsidRPr="000E118E">
              <w:rPr>
                <w:rFonts w:ascii="Arial" w:hAnsi="Arial" w:cs="Arial"/>
                <w:color w:val="000000" w:themeColor="text1"/>
              </w:rPr>
              <w:t>Příjemce u každého účastníka zadá informace do IS ESF. Po ukončení účasti tento indikátor bude zjištěn automatickým napojením na databázi ÚP.</w:t>
            </w:r>
          </w:p>
        </w:tc>
      </w:tr>
    </w:tbl>
    <w:p w:rsidRPr="000E118E" w:rsidR="003D302D" w:rsidP="00CF0F6A" w:rsidRDefault="003D302D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Pr="000E118E" w:rsidR="003D302D" w:rsidP="00CF0F6A" w:rsidRDefault="003D302D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E118E">
        <w:rPr>
          <w:rFonts w:ascii="Arial" w:hAnsi="Arial" w:cs="Arial"/>
          <w:color w:val="000000" w:themeColor="text1"/>
          <w:sz w:val="20"/>
          <w:szCs w:val="20"/>
        </w:rPr>
        <w:t>6 27 00 účastníci zaměstnaní po ukončení své účasti, včetně OSVČ</w:t>
      </w: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2093"/>
        <w:gridCol w:w="8505"/>
      </w:tblGrid>
      <w:tr w:rsidRPr="000E118E" w:rsidR="003D302D" w:rsidTr="00CF0F6A">
        <w:tc>
          <w:tcPr>
            <w:tcW w:w="2093" w:type="dxa"/>
          </w:tcPr>
          <w:p w:rsidRPr="000E118E" w:rsidR="003D302D" w:rsidP="00CF0F6A" w:rsidRDefault="003D302D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E118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Obsah </w:t>
            </w:r>
          </w:p>
        </w:tc>
        <w:tc>
          <w:tcPr>
            <w:tcW w:w="8505" w:type="dxa"/>
          </w:tcPr>
          <w:p w:rsidRPr="000E118E" w:rsidR="003D302D" w:rsidP="00CF0F6A" w:rsidRDefault="003D302D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E118E">
              <w:rPr>
                <w:rFonts w:ascii="Arial" w:hAnsi="Arial" w:cs="Arial"/>
                <w:color w:val="000000" w:themeColor="text1"/>
                <w:sz w:val="20"/>
                <w:szCs w:val="20"/>
              </w:rPr>
              <w:t>Původně nezaměstnaní nebo neaktivní účastníci, kteří jsou po ukončení své účasti v projektu zaměstnaní či OSVČ.</w:t>
            </w:r>
          </w:p>
        </w:tc>
      </w:tr>
      <w:tr w:rsidRPr="000E118E" w:rsidR="003D302D" w:rsidTr="00CF0F6A">
        <w:tc>
          <w:tcPr>
            <w:tcW w:w="2093" w:type="dxa"/>
          </w:tcPr>
          <w:p w:rsidRPr="000E118E" w:rsidR="003D302D" w:rsidP="00CF0F6A" w:rsidRDefault="003D302D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E118E">
              <w:rPr>
                <w:rFonts w:ascii="Arial" w:hAnsi="Arial" w:cs="Arial"/>
                <w:color w:val="000000" w:themeColor="text1"/>
                <w:sz w:val="20"/>
                <w:szCs w:val="20"/>
              </w:rPr>
              <w:t>Způsob naplňování</w:t>
            </w:r>
          </w:p>
        </w:tc>
        <w:tc>
          <w:tcPr>
            <w:tcW w:w="8505" w:type="dxa"/>
          </w:tcPr>
          <w:p w:rsidRPr="000E118E" w:rsidR="003D302D" w:rsidP="00CF0F6A" w:rsidRDefault="003D302D">
            <w:pPr>
              <w:pStyle w:val="Textkomente"/>
              <w:jc w:val="both"/>
              <w:rPr>
                <w:rFonts w:ascii="Arial" w:hAnsi="Arial" w:cs="Arial"/>
                <w:color w:val="000000" w:themeColor="text1"/>
              </w:rPr>
            </w:pPr>
            <w:r w:rsidRPr="000E118E">
              <w:rPr>
                <w:rFonts w:ascii="Arial" w:hAnsi="Arial" w:cs="Arial"/>
                <w:color w:val="000000" w:themeColor="text1"/>
              </w:rPr>
              <w:t>Příjemce u každého účastníka zadá informace do ISKP2014+. Po ukončení účasti tento indikátor bude zjištěn automatickým napojením na databázi ČSSZ.</w:t>
            </w:r>
          </w:p>
        </w:tc>
      </w:tr>
    </w:tbl>
    <w:p w:rsidRPr="000E118E" w:rsidR="004107FA" w:rsidP="00CF0F6A" w:rsidRDefault="004107FA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Pr="000E118E" w:rsidR="003D0955" w:rsidP="00656E49" w:rsidRDefault="003D0955">
      <w:pPr>
        <w:spacing w:after="0" w:line="240" w:lineRule="auto"/>
        <w:jc w:val="center"/>
        <w:rPr>
          <w:rFonts w:ascii="Arial" w:hAnsi="Arial" w:cs="Arial"/>
          <w:color w:val="FF0000"/>
          <w:sz w:val="20"/>
          <w:szCs w:val="20"/>
          <w:u w:val="single"/>
        </w:rPr>
      </w:pPr>
      <w:r w:rsidRPr="000E118E">
        <w:rPr>
          <w:rFonts w:ascii="Arial" w:hAnsi="Arial" w:cs="Arial"/>
          <w:color w:val="FF0000"/>
          <w:sz w:val="20"/>
          <w:szCs w:val="20"/>
          <w:u w:val="single"/>
        </w:rPr>
        <w:t>Udržitelnost</w:t>
      </w:r>
      <w:r w:rsidRPr="000E118E" w:rsidR="00656E49">
        <w:rPr>
          <w:rFonts w:ascii="Arial" w:hAnsi="Arial" w:cs="Arial"/>
          <w:color w:val="FF0000"/>
          <w:sz w:val="20"/>
          <w:szCs w:val="20"/>
          <w:u w:val="single"/>
        </w:rPr>
        <w:t xml:space="preserve"> a fungování sociálního podniku</w:t>
      </w:r>
    </w:p>
    <w:p w:rsidRPr="000E118E" w:rsidR="00656E49" w:rsidP="00CF0F6A" w:rsidRDefault="00656E49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Pr="000E118E" w:rsidR="003D0955" w:rsidP="00CF0F6A" w:rsidRDefault="006C3F89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E118E">
        <w:rPr>
          <w:rFonts w:ascii="Arial" w:hAnsi="Arial" w:cs="Arial"/>
          <w:color w:val="000000" w:themeColor="text1"/>
          <w:sz w:val="20"/>
          <w:szCs w:val="20"/>
        </w:rPr>
        <w:t>Udržitelnost</w:t>
      </w:r>
      <w:r w:rsidRPr="000E118E" w:rsidR="002E7B65">
        <w:rPr>
          <w:rFonts w:ascii="Arial" w:hAnsi="Arial" w:cs="Arial"/>
          <w:color w:val="000000" w:themeColor="text1"/>
          <w:sz w:val="20"/>
          <w:szCs w:val="20"/>
        </w:rPr>
        <w:t>, resp. fungování sociálního podniku,</w:t>
      </w:r>
      <w:r w:rsidRPr="000E118E">
        <w:rPr>
          <w:rFonts w:ascii="Arial" w:hAnsi="Arial" w:cs="Arial"/>
          <w:color w:val="000000" w:themeColor="text1"/>
          <w:sz w:val="20"/>
          <w:szCs w:val="20"/>
        </w:rPr>
        <w:t xml:space="preserve"> je jedním z</w:t>
      </w:r>
      <w:r w:rsidRPr="000E118E" w:rsidR="001649ED">
        <w:rPr>
          <w:rFonts w:ascii="Arial" w:hAnsi="Arial" w:cs="Arial"/>
          <w:color w:val="000000" w:themeColor="text1"/>
          <w:sz w:val="20"/>
          <w:szCs w:val="20"/>
        </w:rPr>
        <w:t>e základních</w:t>
      </w:r>
      <w:r w:rsidRPr="000E118E" w:rsidR="00C6759C">
        <w:rPr>
          <w:rFonts w:ascii="Arial" w:hAnsi="Arial" w:cs="Arial"/>
          <w:color w:val="000000" w:themeColor="text1"/>
          <w:sz w:val="20"/>
          <w:szCs w:val="20"/>
        </w:rPr>
        <w:t xml:space="preserve"> a</w:t>
      </w:r>
      <w:r w:rsidRPr="000E118E">
        <w:rPr>
          <w:rFonts w:ascii="Arial" w:hAnsi="Arial" w:cs="Arial"/>
          <w:color w:val="000000" w:themeColor="text1"/>
          <w:sz w:val="20"/>
          <w:szCs w:val="20"/>
        </w:rPr>
        <w:t xml:space="preserve"> obecných principů</w:t>
      </w:r>
      <w:r w:rsidRPr="000E118E" w:rsidR="00446218">
        <w:rPr>
          <w:rFonts w:ascii="Arial" w:hAnsi="Arial" w:cs="Arial"/>
          <w:color w:val="000000" w:themeColor="text1"/>
          <w:sz w:val="20"/>
          <w:szCs w:val="20"/>
        </w:rPr>
        <w:t xml:space="preserve"> sociálního podnikání</w:t>
      </w:r>
      <w:r w:rsidRPr="000E118E" w:rsidR="003D0955">
        <w:rPr>
          <w:rFonts w:ascii="Arial" w:hAnsi="Arial" w:cs="Arial"/>
          <w:color w:val="000000" w:themeColor="text1"/>
          <w:sz w:val="20"/>
          <w:szCs w:val="20"/>
        </w:rPr>
        <w:t xml:space="preserve"> a je zakotvena v principech</w:t>
      </w:r>
      <w:r w:rsidRPr="000E118E" w:rsidR="001649ED">
        <w:rPr>
          <w:rFonts w:ascii="Arial" w:hAnsi="Arial" w:cs="Arial"/>
          <w:color w:val="000000" w:themeColor="text1"/>
          <w:sz w:val="20"/>
          <w:szCs w:val="20"/>
        </w:rPr>
        <w:t xml:space="preserve"> a charakteristik</w:t>
      </w:r>
      <w:r w:rsidRPr="000E118E" w:rsidR="003D0955">
        <w:rPr>
          <w:rFonts w:ascii="Arial" w:hAnsi="Arial" w:cs="Arial"/>
          <w:color w:val="000000" w:themeColor="text1"/>
          <w:sz w:val="20"/>
          <w:szCs w:val="20"/>
        </w:rPr>
        <w:t>ách</w:t>
      </w:r>
      <w:r w:rsidRPr="000E118E" w:rsidR="001649ED">
        <w:rPr>
          <w:rFonts w:ascii="Arial" w:hAnsi="Arial" w:cs="Arial"/>
          <w:color w:val="000000" w:themeColor="text1"/>
          <w:sz w:val="20"/>
          <w:szCs w:val="20"/>
        </w:rPr>
        <w:t xml:space="preserve"> stanovených v sadě rozpoznávacích znaků pro integrační sociální podnik (příloha č. 2 výzvy).</w:t>
      </w:r>
      <w:r w:rsidRPr="000E118E" w:rsidR="002E7B6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0E118E" w:rsidR="003D0955">
        <w:rPr>
          <w:rFonts w:ascii="Arial" w:hAnsi="Arial" w:cs="Arial"/>
          <w:color w:val="000000" w:themeColor="text1"/>
          <w:sz w:val="20"/>
          <w:szCs w:val="20"/>
        </w:rPr>
        <w:t xml:space="preserve">K principům a charakteristikám sociálního podnikání se žadatel přihlašuje v zakládacích dokumentech. </w:t>
      </w:r>
    </w:p>
    <w:p w:rsidRPr="000E118E" w:rsidR="0046219D" w:rsidP="00CF0F6A" w:rsidRDefault="003D0955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E118E">
        <w:rPr>
          <w:rFonts w:ascii="Arial" w:hAnsi="Arial" w:cs="Arial"/>
          <w:color w:val="000000" w:themeColor="text1"/>
          <w:sz w:val="20"/>
          <w:szCs w:val="20"/>
        </w:rPr>
        <w:t xml:space="preserve">Příjemce je vázán dodržováním rozpoznávacích znaků v Rozhodnutí o poskytnutí dotace, a to v části účel dotace. </w:t>
      </w:r>
      <w:r w:rsidRPr="000E118E" w:rsidR="00C6759C">
        <w:rPr>
          <w:rFonts w:ascii="Arial" w:hAnsi="Arial" w:cs="Arial"/>
          <w:color w:val="000000" w:themeColor="text1"/>
          <w:sz w:val="20"/>
          <w:szCs w:val="20"/>
        </w:rPr>
        <w:t>Pro naplnění účelu dotace přidělené podle výzvy je tedy nezbytné</w:t>
      </w:r>
      <w:r w:rsidRPr="000E118E" w:rsidR="006400C4">
        <w:rPr>
          <w:rFonts w:ascii="Arial" w:hAnsi="Arial" w:cs="Arial"/>
          <w:color w:val="000000" w:themeColor="text1"/>
          <w:sz w:val="20"/>
          <w:szCs w:val="20"/>
        </w:rPr>
        <w:t>, aby sociální podnik provozoval svou činnost</w:t>
      </w:r>
      <w:r w:rsidRPr="000E118E" w:rsidR="002E7B6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0E118E" w:rsidR="006400C4">
        <w:rPr>
          <w:rFonts w:ascii="Arial" w:hAnsi="Arial" w:cs="Arial"/>
          <w:color w:val="000000" w:themeColor="text1"/>
          <w:sz w:val="20"/>
          <w:szCs w:val="20"/>
        </w:rPr>
        <w:t xml:space="preserve">v souladu s principy sociálního podnikání </w:t>
      </w:r>
      <w:r w:rsidRPr="000E118E" w:rsidR="002E7B65">
        <w:rPr>
          <w:rFonts w:ascii="Arial" w:hAnsi="Arial" w:cs="Arial"/>
          <w:color w:val="000000" w:themeColor="text1"/>
          <w:sz w:val="20"/>
          <w:szCs w:val="20"/>
        </w:rPr>
        <w:t xml:space="preserve">po celou </w:t>
      </w:r>
      <w:r w:rsidRPr="000E118E" w:rsidR="006400C4">
        <w:rPr>
          <w:rFonts w:ascii="Arial" w:hAnsi="Arial" w:cs="Arial"/>
          <w:color w:val="000000" w:themeColor="text1"/>
          <w:sz w:val="20"/>
          <w:szCs w:val="20"/>
        </w:rPr>
        <w:t>dobu realizace projektu</w:t>
      </w:r>
      <w:r w:rsidRPr="000E118E">
        <w:rPr>
          <w:rFonts w:ascii="Arial" w:hAnsi="Arial" w:cs="Arial"/>
          <w:color w:val="000000" w:themeColor="text1"/>
          <w:sz w:val="20"/>
          <w:szCs w:val="20"/>
        </w:rPr>
        <w:t xml:space="preserve"> a realizací projektu vytvářel předpoklady pro udržení sociálního podnikání i po skončení podpory</w:t>
      </w:r>
      <w:r w:rsidRPr="000E118E" w:rsidR="006400C4">
        <w:rPr>
          <w:rFonts w:ascii="Arial" w:hAnsi="Arial" w:cs="Arial"/>
          <w:color w:val="000000" w:themeColor="text1"/>
          <w:sz w:val="20"/>
          <w:szCs w:val="20"/>
        </w:rPr>
        <w:t>.</w:t>
      </w:r>
      <w:r w:rsidRPr="000E118E" w:rsidR="0046219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0E118E">
        <w:rPr>
          <w:rFonts w:ascii="Arial" w:hAnsi="Arial" w:cs="Arial"/>
          <w:color w:val="000000" w:themeColor="text1"/>
          <w:sz w:val="20"/>
          <w:szCs w:val="20"/>
        </w:rPr>
        <w:t>Naplnění principů a charakteristik sociálního podniku, tzn. přílohy č. 2 výzvy, je rovněž vázané na naplnění indikátorů 1 02 13, nebo 1 02 12 – viz také výše.</w:t>
      </w:r>
    </w:p>
    <w:p w:rsidRPr="000E118E" w:rsidR="008E4D1A" w:rsidP="00CF0F6A" w:rsidRDefault="008E4D1A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Pr="000E118E" w:rsidR="0000607F" w:rsidP="00CF0F6A" w:rsidRDefault="0000607F">
      <w:pPr>
        <w:jc w:val="both"/>
        <w:rPr>
          <w:rFonts w:ascii="Arial" w:hAnsi="Arial" w:cs="Arial"/>
          <w:color w:val="1F497D"/>
          <w:sz w:val="20"/>
          <w:szCs w:val="20"/>
        </w:rPr>
      </w:pPr>
      <w:r w:rsidRPr="000428D7">
        <w:rPr>
          <w:rFonts w:ascii="Arial" w:hAnsi="Arial" w:cs="Arial"/>
          <w:color w:val="1F497D"/>
          <w:sz w:val="20"/>
          <w:szCs w:val="20"/>
        </w:rPr>
        <w:t xml:space="preserve">Pokud v rámci podpory projektu NEBUDOU prostředky OPZ využity na investici do infrastruktury nebo produktivní investici (investice do produkce), podmínka udržitelnosti se na projekt nevztahuje. Pokud v rámci podpory projektu BUDOU prostředky využity na investici do infrastruktury nebo produktivní investici, nicméně podpora NEBUDE poskytnuta v režimu veřejné podpory, jež stanovuje podmínky pro zachování investic, není udržitelnost relevantní.  V </w:t>
      </w:r>
      <w:proofErr w:type="gramStart"/>
      <w:r w:rsidRPr="000428D7">
        <w:rPr>
          <w:rFonts w:ascii="Arial" w:hAnsi="Arial" w:cs="Arial"/>
          <w:color w:val="1F497D"/>
          <w:sz w:val="20"/>
          <w:szCs w:val="20"/>
        </w:rPr>
        <w:t>námi</w:t>
      </w:r>
      <w:proofErr w:type="gramEnd"/>
      <w:r w:rsidRPr="000428D7">
        <w:rPr>
          <w:rFonts w:ascii="Arial" w:hAnsi="Arial" w:cs="Arial"/>
          <w:color w:val="1F497D"/>
          <w:sz w:val="20"/>
          <w:szCs w:val="20"/>
        </w:rPr>
        <w:t xml:space="preserve"> uvedené výzvě bude podpora poskytnuta ve formě de </w:t>
      </w:r>
      <w:proofErr w:type="spellStart"/>
      <w:r w:rsidRPr="000428D7">
        <w:rPr>
          <w:rFonts w:ascii="Arial" w:hAnsi="Arial" w:cs="Arial"/>
          <w:color w:val="1F497D"/>
          <w:sz w:val="20"/>
          <w:szCs w:val="20"/>
        </w:rPr>
        <w:t>minimis</w:t>
      </w:r>
      <w:proofErr w:type="spellEnd"/>
      <w:r w:rsidRPr="000428D7">
        <w:rPr>
          <w:rFonts w:ascii="Arial" w:hAnsi="Arial" w:cs="Arial"/>
          <w:color w:val="1F497D"/>
          <w:sz w:val="20"/>
          <w:szCs w:val="20"/>
        </w:rPr>
        <w:t xml:space="preserve"> – tj. podpora nebude poskytnuta v režimu veřejné podpory, jenž stanovuje podmínky pro zachování investic, (čl. 25 Obecné části pravidel uvádí, že Standardně je veřejná podpora v rámci OPZ poskytována pouze v takových režimech, které udržitelnost investic nevyžadují.) Z uvedeného důvodu není udržitelnost pro projekty v naší výzvě č. 03_1</w:t>
      </w:r>
      <w:r w:rsidRPr="000428D7" w:rsidR="000428D7">
        <w:rPr>
          <w:rFonts w:ascii="Arial" w:hAnsi="Arial" w:cs="Arial"/>
          <w:color w:val="1F497D"/>
          <w:sz w:val="20"/>
          <w:szCs w:val="20"/>
        </w:rPr>
        <w:t>6</w:t>
      </w:r>
      <w:r w:rsidRPr="000428D7">
        <w:rPr>
          <w:rFonts w:ascii="Arial" w:hAnsi="Arial" w:cs="Arial"/>
          <w:color w:val="1F497D"/>
          <w:sz w:val="20"/>
          <w:szCs w:val="20"/>
        </w:rPr>
        <w:t>_0</w:t>
      </w:r>
      <w:r w:rsidRPr="000428D7" w:rsidR="000428D7">
        <w:rPr>
          <w:rFonts w:ascii="Arial" w:hAnsi="Arial" w:cs="Arial"/>
          <w:color w:val="1F497D"/>
          <w:sz w:val="20"/>
          <w:szCs w:val="20"/>
        </w:rPr>
        <w:t xml:space="preserve">67 </w:t>
      </w:r>
      <w:r w:rsidRPr="000428D7">
        <w:rPr>
          <w:rFonts w:ascii="Arial" w:hAnsi="Arial" w:cs="Arial"/>
          <w:color w:val="1F497D"/>
          <w:sz w:val="20"/>
          <w:szCs w:val="20"/>
        </w:rPr>
        <w:t>relevantní.</w:t>
      </w:r>
    </w:p>
    <w:p w:rsidRPr="000E118E" w:rsidR="00C6759C" w:rsidP="00CF0F6A" w:rsidRDefault="00C6759C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3C168A" w:rsidP="00CF0F6A" w:rsidRDefault="0038215A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E118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:rsidR="000E118E" w:rsidP="00CF0F6A" w:rsidRDefault="000E118E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0E118E" w:rsidP="00CF0F6A" w:rsidRDefault="000E118E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Pr="000E118E" w:rsidR="000E118E" w:rsidP="00CF0F6A" w:rsidRDefault="000E118E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Pr="000E118E" w:rsidR="00217477" w:rsidP="00656E49" w:rsidRDefault="00656E49">
      <w:pPr>
        <w:spacing w:after="0" w:line="240" w:lineRule="auto"/>
        <w:jc w:val="center"/>
        <w:rPr>
          <w:rFonts w:ascii="Arial" w:hAnsi="Arial" w:cs="Arial"/>
          <w:color w:val="FF0000"/>
          <w:sz w:val="20"/>
          <w:szCs w:val="20"/>
          <w:u w:val="single"/>
        </w:rPr>
      </w:pPr>
      <w:r w:rsidRPr="000E118E">
        <w:rPr>
          <w:rFonts w:ascii="Arial" w:hAnsi="Arial" w:cs="Arial"/>
          <w:color w:val="FF0000"/>
          <w:sz w:val="20"/>
          <w:szCs w:val="20"/>
          <w:u w:val="single"/>
        </w:rPr>
        <w:lastRenderedPageBreak/>
        <w:t>Ověření administrativní, finanční a provozní kapacity žadatele</w:t>
      </w:r>
    </w:p>
    <w:p w:rsidRPr="000E118E" w:rsidR="00656E49" w:rsidP="00CF0F6A" w:rsidRDefault="00656E49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Pr="000E118E" w:rsidR="00656E49" w:rsidP="00656E49" w:rsidRDefault="00656E49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E118E">
        <w:rPr>
          <w:rFonts w:ascii="Arial" w:hAnsi="Arial" w:cs="Arial"/>
          <w:color w:val="000000"/>
          <w:sz w:val="20"/>
          <w:szCs w:val="20"/>
        </w:rPr>
        <w:t>V rámci kritéria "Ověření administrativní, finanční a provozní kapacity žadatele" se hodnotí přiměřenost plánovaného projektu vůči údajům (personálním a finančním) vykázaným za poslední účetní období.</w:t>
      </w:r>
    </w:p>
    <w:p w:rsidRPr="000E118E" w:rsidR="00656E49" w:rsidP="00656E49" w:rsidRDefault="00656E49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E118E">
        <w:rPr>
          <w:rFonts w:ascii="Arial" w:hAnsi="Arial" w:cs="Arial"/>
          <w:color w:val="000000"/>
          <w:sz w:val="20"/>
          <w:szCs w:val="20"/>
        </w:rPr>
        <w:t>U subjektu žadatele do hodnocení podniku vstupují propojené či partnerské podniky ve smyslu Nařízení Komise (EU) č. 651/2014 (Přílohy I, Čl. 3).</w:t>
      </w:r>
    </w:p>
    <w:p w:rsidRPr="000E118E" w:rsidR="00656E49" w:rsidP="00656E49" w:rsidRDefault="00656E49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E118E">
        <w:rPr>
          <w:rFonts w:ascii="Arial" w:hAnsi="Arial" w:cs="Arial"/>
          <w:color w:val="000000"/>
          <w:sz w:val="20"/>
          <w:szCs w:val="20"/>
        </w:rPr>
        <w:t xml:space="preserve">"Partnerské podniky" jsou podniky, mezi nimiž existuje následující vztah: (mateřský) podnik vlastní sám nebo společně s jedním či více propojenými podniky 25% nebo více základního kapitálu nebo hlasovacích práv jiného podniku. </w:t>
      </w:r>
    </w:p>
    <w:p w:rsidRPr="000E118E" w:rsidR="00656E49" w:rsidP="00656E49" w:rsidRDefault="00656E49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E118E">
        <w:rPr>
          <w:rFonts w:ascii="Arial" w:hAnsi="Arial" w:cs="Arial"/>
          <w:color w:val="000000"/>
          <w:sz w:val="20"/>
          <w:szCs w:val="20"/>
        </w:rPr>
        <w:t>"Propojené podniky" jsou podniky, mezi nimiž existuje vztah spočívající v uplatňování většiny rozhodovacích, hlasovacích práv v jiném podniku, popř. disponuje jinými pravomocemi dle uvedeného Nařízení (přesná definice viz text Nařízení).</w:t>
      </w:r>
    </w:p>
    <w:p w:rsidRPr="000E118E" w:rsidR="00656E49" w:rsidP="00656E49" w:rsidRDefault="00656E49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E118E">
        <w:rPr>
          <w:rFonts w:ascii="Arial" w:hAnsi="Arial" w:cs="Arial"/>
          <w:color w:val="000000"/>
          <w:sz w:val="20"/>
          <w:szCs w:val="20"/>
        </w:rPr>
        <w:t>Subjekt s historií, popř. vazbou na propojený či partnerský podnik povinně v žádosti uvádí počet zaměstnanců a obrat za poslední účetní období.</w:t>
      </w:r>
    </w:p>
    <w:p w:rsidRPr="000E118E" w:rsidR="00656E49" w:rsidP="00656E49" w:rsidRDefault="00656E49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E118E">
        <w:rPr>
          <w:rFonts w:ascii="Arial" w:hAnsi="Arial" w:cs="Arial"/>
          <w:color w:val="000000"/>
          <w:sz w:val="20"/>
          <w:szCs w:val="20"/>
        </w:rPr>
        <w:t>Subjekt, jenž</w:t>
      </w:r>
      <w:r w:rsidR="00FF14F5">
        <w:rPr>
          <w:rFonts w:ascii="Arial" w:hAnsi="Arial" w:cs="Arial"/>
          <w:color w:val="000000"/>
          <w:sz w:val="20"/>
          <w:szCs w:val="20"/>
        </w:rPr>
        <w:t xml:space="preserve"> je žadatelem v rámci Výzvy č. 67</w:t>
      </w:r>
      <w:r w:rsidRPr="000E118E">
        <w:rPr>
          <w:rFonts w:ascii="Arial" w:hAnsi="Arial" w:cs="Arial"/>
          <w:color w:val="000000"/>
          <w:sz w:val="20"/>
          <w:szCs w:val="20"/>
        </w:rPr>
        <w:t>, a nemá historii (vzniká nově), ani propojený či partnerský vztah k jinému podniku a způsobilé výdaje projektu převyšují 2 mil. Kč, nemusí být nutně vyhodnocen jako vysoce rizikový a tedy (ve smyslu daného kritéria) nevyhovující.</w:t>
      </w:r>
    </w:p>
    <w:p w:rsidRPr="000E118E" w:rsidR="00656E49" w:rsidP="00656E49" w:rsidRDefault="00656E49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E118E">
        <w:rPr>
          <w:rFonts w:ascii="Arial" w:hAnsi="Arial" w:cs="Arial"/>
          <w:color w:val="000000"/>
          <w:sz w:val="20"/>
          <w:szCs w:val="20"/>
        </w:rPr>
        <w:t xml:space="preserve">Je nezbytné, aby žadatel v projektové žádosti o to více podrobně popsal, jakým způsobem bude administrativní, finanční a provozní kapacita zajištěna. Je nutné řádně a detailně popsat budoucí fungování nově vznikajícího podniku, kompetence členů realizačního týmu, </w:t>
      </w:r>
      <w:proofErr w:type="spellStart"/>
      <w:r w:rsidRPr="000E118E">
        <w:rPr>
          <w:rFonts w:ascii="Arial" w:hAnsi="Arial" w:cs="Arial"/>
          <w:color w:val="000000"/>
          <w:sz w:val="20"/>
          <w:szCs w:val="20"/>
        </w:rPr>
        <w:t>stakeholdery</w:t>
      </w:r>
      <w:proofErr w:type="spellEnd"/>
      <w:r w:rsidRPr="000E118E">
        <w:rPr>
          <w:rFonts w:ascii="Arial" w:hAnsi="Arial" w:cs="Arial"/>
          <w:color w:val="000000"/>
          <w:sz w:val="20"/>
          <w:szCs w:val="20"/>
        </w:rPr>
        <w:t>, partnery atd. Výsledné hodnocení dostatečnosti kapacit pro úspěšné fungování podniku pak záleží na odborném posudku hodnotitelů. Hodnocené kritérium (viz Příručka pro hodnotitele, Kpt. 7.1.8), resp. dvě z jeho pomocných podotázek (8.1, 8.2) je možné "ve výjimečných a řádně odůvodněných případech" hodnotit jako vyhovující a u všech projektů je důležité posouzení údajů popsaných v žádosti (podotázka 8.3).</w:t>
      </w:r>
    </w:p>
    <w:p w:rsidRPr="000E118E" w:rsidR="00656E49" w:rsidP="00656E49" w:rsidRDefault="00656E49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E118E">
        <w:rPr>
          <w:rFonts w:ascii="Arial" w:hAnsi="Arial" w:cs="Arial"/>
          <w:color w:val="000000"/>
          <w:sz w:val="20"/>
          <w:szCs w:val="20"/>
        </w:rPr>
        <w:t>Administrativní, finanční a provozní kapacitu i nového "nezávislého" podniku se způsobilými výdaji projektu převyšujícími 2 mil. Kč je tak možno hodnotit jako vyhovující.</w:t>
      </w:r>
    </w:p>
    <w:p w:rsidRPr="000E118E" w:rsidR="00964758" w:rsidP="00CF0F6A" w:rsidRDefault="00964758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Pr="000E118E" w:rsidR="00C469BD" w:rsidP="00C469BD" w:rsidRDefault="00C469BD">
      <w:pPr>
        <w:jc w:val="center"/>
        <w:rPr>
          <w:rFonts w:ascii="Arial" w:hAnsi="Arial" w:cs="Arial"/>
          <w:b/>
          <w:color w:val="FF0000"/>
          <w:sz w:val="20"/>
          <w:szCs w:val="20"/>
          <w:u w:val="single"/>
        </w:rPr>
      </w:pPr>
      <w:r w:rsidRPr="000E118E">
        <w:rPr>
          <w:rFonts w:ascii="Arial" w:hAnsi="Arial" w:cs="Arial"/>
          <w:b/>
          <w:color w:val="FF0000"/>
          <w:sz w:val="20"/>
          <w:szCs w:val="20"/>
          <w:u w:val="single"/>
        </w:rPr>
        <w:t>Zemědělská prvovýroba</w:t>
      </w:r>
    </w:p>
    <w:p w:rsidRPr="000E118E" w:rsidR="00C469BD" w:rsidP="00C469BD" w:rsidRDefault="00C469BD">
      <w:pPr>
        <w:jc w:val="both"/>
        <w:rPr>
          <w:rFonts w:ascii="Arial" w:hAnsi="Arial" w:cs="Arial"/>
          <w:sz w:val="20"/>
          <w:szCs w:val="20"/>
        </w:rPr>
      </w:pPr>
      <w:r w:rsidRPr="000E118E">
        <w:rPr>
          <w:rFonts w:ascii="Arial" w:hAnsi="Arial" w:cs="Arial"/>
          <w:sz w:val="20"/>
          <w:szCs w:val="20"/>
        </w:rPr>
        <w:t xml:space="preserve">Definice termínu „zemědělská prvovýroba“ zní: </w:t>
      </w:r>
    </w:p>
    <w:p w:rsidRPr="000E118E" w:rsidR="00C469BD" w:rsidP="00C469BD" w:rsidRDefault="00C469BD">
      <w:pPr>
        <w:jc w:val="both"/>
        <w:rPr>
          <w:rFonts w:ascii="Arial" w:hAnsi="Arial" w:cs="Arial"/>
          <w:b/>
          <w:i/>
          <w:sz w:val="20"/>
          <w:szCs w:val="20"/>
        </w:rPr>
      </w:pPr>
      <w:r w:rsidRPr="000E118E">
        <w:rPr>
          <w:rFonts w:ascii="Arial" w:hAnsi="Arial" w:cs="Arial"/>
          <w:b/>
          <w:i/>
          <w:sz w:val="20"/>
          <w:szCs w:val="20"/>
        </w:rPr>
        <w:t>„produkce produktů rostlinné a živočišné výroby uvedených v příloze I Smlouvy o fungování EU, aniž byly provedeny jakékoli další operace měnící povahu těchto produktů.“</w:t>
      </w:r>
    </w:p>
    <w:p w:rsidRPr="000E118E" w:rsidR="00C469BD" w:rsidP="00C469BD" w:rsidRDefault="00C469BD">
      <w:pPr>
        <w:jc w:val="both"/>
        <w:rPr>
          <w:rFonts w:ascii="Arial" w:hAnsi="Arial" w:cs="Arial"/>
          <w:sz w:val="20"/>
          <w:szCs w:val="20"/>
        </w:rPr>
      </w:pPr>
      <w:r w:rsidRPr="000E118E">
        <w:rPr>
          <w:rFonts w:ascii="Arial" w:hAnsi="Arial" w:cs="Arial"/>
          <w:sz w:val="20"/>
          <w:szCs w:val="20"/>
        </w:rPr>
        <w:t xml:space="preserve">Zmíněná příloha je přiložena v dokumentech. </w:t>
      </w:r>
    </w:p>
    <w:p w:rsidR="000E118E" w:rsidP="000E118E" w:rsidRDefault="000E118E">
      <w:pPr>
        <w:rPr>
          <w:rFonts w:ascii="Arial" w:hAnsi="Arial" w:cs="Arial"/>
          <w:sz w:val="20"/>
          <w:szCs w:val="20"/>
        </w:rPr>
      </w:pPr>
      <w:r w:rsidRPr="000E118E">
        <w:rPr>
          <w:rFonts w:ascii="Arial" w:hAnsi="Arial" w:cs="Arial"/>
          <w:sz w:val="20"/>
          <w:szCs w:val="20"/>
        </w:rPr>
        <w:t>Za prvovýrobu se považuje produkce produktů rostlinné a živočišné výroby, tzn. např. pěstování zeleniny/bylinek, chov skotu/ryb/včel i následný prodej produktů, tzn. např. prodej vypěstované zeleniny/bylinek. Na prodej těchto komodit musí mít prvovýrobce živnostenský list, ale stále je prvovýrobce. Tyto činnosti výzva nepodporuje, protože z výzvy není možné hradit prvovýrobu.</w:t>
      </w:r>
    </w:p>
    <w:p w:rsidR="00D41C13" w:rsidP="00D41C13" w:rsidRDefault="00D41C1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Pr="00D41C13">
        <w:rPr>
          <w:rFonts w:ascii="Arial" w:hAnsi="Arial" w:cs="Arial"/>
          <w:sz w:val="20"/>
          <w:szCs w:val="20"/>
        </w:rPr>
        <w:t>emědělskou prvovýrobou se rozumí pěstování zemědělských plodin, včetně sklizně, chov hospodářských zvířat, výroba mléka a produkce hospodářských zvířat před porážkou. Výsledkem jsou produkty, které neprocházejí žádnou další operací kromě jednoduchého fyzického opracování. Pronájem půdy nemůže být prvovýrobou.</w:t>
      </w:r>
    </w:p>
    <w:p w:rsidRPr="00F20637" w:rsidR="00F20637" w:rsidP="00F20637" w:rsidRDefault="00F20637">
      <w:pPr>
        <w:rPr>
          <w:rFonts w:ascii="Arial" w:hAnsi="Arial" w:cs="Arial"/>
          <w:sz w:val="20"/>
          <w:szCs w:val="20"/>
        </w:rPr>
      </w:pPr>
      <w:r w:rsidRPr="00F20637">
        <w:rPr>
          <w:rFonts w:ascii="Arial" w:hAnsi="Arial" w:cs="Arial"/>
          <w:sz w:val="20"/>
          <w:szCs w:val="20"/>
        </w:rPr>
        <w:t xml:space="preserve">Pěstování hub a jejich prodej spadá do prvovýroby. Sběr hub v lese již do prvovýroby nespadá – jedná se o činnost spadající do sekce CZ NACE lesnictví a těžba dřeva. </w:t>
      </w:r>
    </w:p>
    <w:p w:rsidRPr="000E118E" w:rsidR="000E118E" w:rsidP="000E118E" w:rsidRDefault="000E118E">
      <w:pPr>
        <w:rPr>
          <w:rFonts w:ascii="Arial" w:hAnsi="Arial" w:cs="Arial"/>
          <w:sz w:val="20"/>
          <w:szCs w:val="20"/>
        </w:rPr>
      </w:pPr>
      <w:r w:rsidRPr="000E118E">
        <w:rPr>
          <w:rFonts w:ascii="Arial" w:hAnsi="Arial" w:cs="Arial"/>
          <w:sz w:val="20"/>
          <w:szCs w:val="20"/>
        </w:rPr>
        <w:t>Z výzvy je možné hradit až zpracování produktů, tzn. např. výrobu čajů z vypěstovaných bylin nebo výrobu moštů/křížal z vypěstovaného ovoce.</w:t>
      </w:r>
    </w:p>
    <w:p w:rsidRPr="00F20637" w:rsidR="00C469BD" w:rsidP="00C469BD" w:rsidRDefault="00C469BD">
      <w:pPr>
        <w:jc w:val="both"/>
        <w:rPr>
          <w:rFonts w:ascii="Arial" w:hAnsi="Arial" w:cs="Arial"/>
          <w:b/>
          <w:sz w:val="20"/>
          <w:szCs w:val="20"/>
        </w:rPr>
      </w:pPr>
      <w:r w:rsidRPr="00F20637">
        <w:rPr>
          <w:rFonts w:ascii="Arial" w:hAnsi="Arial" w:cs="Arial"/>
          <w:b/>
          <w:color w:val="FF0000"/>
          <w:sz w:val="20"/>
          <w:szCs w:val="20"/>
        </w:rPr>
        <w:t>V rámci Výzvy č. 03_1</w:t>
      </w:r>
      <w:r w:rsidRPr="00F20637" w:rsidR="000428D7">
        <w:rPr>
          <w:rFonts w:ascii="Arial" w:hAnsi="Arial" w:cs="Arial"/>
          <w:b/>
          <w:color w:val="FF0000"/>
          <w:sz w:val="20"/>
          <w:szCs w:val="20"/>
        </w:rPr>
        <w:t>6_067</w:t>
      </w:r>
      <w:r w:rsidRPr="00F20637">
        <w:rPr>
          <w:rFonts w:ascii="Arial" w:hAnsi="Arial" w:cs="Arial"/>
          <w:b/>
          <w:color w:val="FF0000"/>
          <w:sz w:val="20"/>
          <w:szCs w:val="20"/>
        </w:rPr>
        <w:t xml:space="preserve"> nelze hradit zemědělskou prvovýrobu! </w:t>
      </w:r>
      <w:r w:rsidRPr="000E118E">
        <w:rPr>
          <w:rFonts w:ascii="Arial" w:hAnsi="Arial" w:cs="Arial"/>
          <w:b/>
          <w:i/>
          <w:sz w:val="20"/>
          <w:szCs w:val="20"/>
        </w:rPr>
        <w:t xml:space="preserve">V případě zájmu zemědělskou prvovýrobu, kontaktujte Ministerstvo zemědělství, které se zaměřuje na podporu sociálního zemědělství. </w:t>
      </w:r>
      <w:bookmarkStart w:name="_GoBack" w:id="0"/>
      <w:bookmarkEnd w:id="0"/>
    </w:p>
    <w:sectPr w:rsidRPr="00F20637" w:rsidR="00C469BD" w:rsidSect="00E113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026B681C"/>
    <w:multiLevelType w:val="hybridMultilevel"/>
    <w:tmpl w:val="22B86A7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04666259"/>
    <w:multiLevelType w:val="hybridMultilevel"/>
    <w:tmpl w:val="B366004A"/>
    <w:lvl w:ilvl="0" w:tplc="0405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">
    <w:nsid w:val="05437EFE"/>
    <w:multiLevelType w:val="hybridMultilevel"/>
    <w:tmpl w:val="E132BF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477020"/>
    <w:multiLevelType w:val="hybridMultilevel"/>
    <w:tmpl w:val="7FD0C04E"/>
    <w:lvl w:ilvl="0" w:tplc="DB365D4C">
      <w:start w:val="1"/>
      <w:numFmt w:val="decimal"/>
      <w:lvlText w:val="%1)"/>
      <w:lvlJc w:val="left"/>
      <w:pPr>
        <w:ind w:left="720" w:hanging="360"/>
      </w:pPr>
      <w:rPr>
        <w:rFonts w:hint="default"/>
        <w:b/>
        <w:i/>
        <w:u w:val="single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CB457C"/>
    <w:multiLevelType w:val="hybridMultilevel"/>
    <w:tmpl w:val="CF5C7360"/>
    <w:lvl w:ilvl="0" w:tplc="0405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5">
    <w:nsid w:val="32082B36"/>
    <w:multiLevelType w:val="hybridMultilevel"/>
    <w:tmpl w:val="F7145F2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34613187"/>
    <w:multiLevelType w:val="hybridMultilevel"/>
    <w:tmpl w:val="35B000C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105356"/>
    <w:multiLevelType w:val="hybridMultilevel"/>
    <w:tmpl w:val="E71E28A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B201CF"/>
    <w:multiLevelType w:val="hybridMultilevel"/>
    <w:tmpl w:val="191EFA54"/>
    <w:lvl w:ilvl="0" w:tplc="0405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9">
    <w:nsid w:val="54B14194"/>
    <w:multiLevelType w:val="hybridMultilevel"/>
    <w:tmpl w:val="A644EE9E"/>
    <w:lvl w:ilvl="0" w:tplc="217ACF1A">
      <w:start w:val="1"/>
      <w:numFmt w:val="decimal"/>
      <w:lvlText w:val="%1)"/>
      <w:lvlJc w:val="left"/>
      <w:pPr>
        <w:ind w:left="502" w:hanging="360"/>
      </w:pPr>
      <w:rPr>
        <w:rFonts w:hint="default"/>
        <w:u w:val="single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20137C"/>
    <w:multiLevelType w:val="hybridMultilevel"/>
    <w:tmpl w:val="B3B4956C"/>
    <w:lvl w:ilvl="0" w:tplc="04050001">
      <w:start w:val="1"/>
      <w:numFmt w:val="bullet"/>
      <w:lvlText w:val=""/>
      <w:lvlJc w:val="left"/>
      <w:pPr>
        <w:ind w:left="1434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154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74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594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14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34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54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74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194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6"/>
  </w:num>
  <w:num w:numId="5">
    <w:abstractNumId w:val="9"/>
  </w:num>
  <w:num w:numId="6">
    <w:abstractNumId w:val="7"/>
  </w:num>
  <w:num w:numId="7">
    <w:abstractNumId w:val="10"/>
  </w:num>
  <w:num w:numId="8">
    <w:abstractNumId w:val="1"/>
  </w:num>
  <w:num w:numId="9">
    <w:abstractNumId w:val="4"/>
  </w:num>
  <w:num w:numId="10">
    <w:abstractNumId w:val="8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E33"/>
    <w:rsid w:val="0000607F"/>
    <w:rsid w:val="000428D7"/>
    <w:rsid w:val="000451FD"/>
    <w:rsid w:val="00046B59"/>
    <w:rsid w:val="000D04C0"/>
    <w:rsid w:val="000E118E"/>
    <w:rsid w:val="001134D0"/>
    <w:rsid w:val="001649ED"/>
    <w:rsid w:val="00187983"/>
    <w:rsid w:val="001E1A57"/>
    <w:rsid w:val="00217477"/>
    <w:rsid w:val="00230B83"/>
    <w:rsid w:val="002B695F"/>
    <w:rsid w:val="002E7B65"/>
    <w:rsid w:val="002F21BC"/>
    <w:rsid w:val="0038215A"/>
    <w:rsid w:val="003C168A"/>
    <w:rsid w:val="003D0955"/>
    <w:rsid w:val="003D302D"/>
    <w:rsid w:val="003F711D"/>
    <w:rsid w:val="004107FA"/>
    <w:rsid w:val="00446218"/>
    <w:rsid w:val="0046219D"/>
    <w:rsid w:val="00484403"/>
    <w:rsid w:val="004854D9"/>
    <w:rsid w:val="00490BF6"/>
    <w:rsid w:val="004F3A89"/>
    <w:rsid w:val="004F7D8E"/>
    <w:rsid w:val="005107D3"/>
    <w:rsid w:val="00537786"/>
    <w:rsid w:val="00542FB7"/>
    <w:rsid w:val="00553A71"/>
    <w:rsid w:val="005A4179"/>
    <w:rsid w:val="005D00A4"/>
    <w:rsid w:val="005E70D1"/>
    <w:rsid w:val="005F5B4F"/>
    <w:rsid w:val="006400C4"/>
    <w:rsid w:val="00654395"/>
    <w:rsid w:val="00656E49"/>
    <w:rsid w:val="00680DDD"/>
    <w:rsid w:val="006C3F89"/>
    <w:rsid w:val="006D611C"/>
    <w:rsid w:val="006F2A55"/>
    <w:rsid w:val="006F4941"/>
    <w:rsid w:val="00707C15"/>
    <w:rsid w:val="00724141"/>
    <w:rsid w:val="0075450F"/>
    <w:rsid w:val="00786361"/>
    <w:rsid w:val="007D56C6"/>
    <w:rsid w:val="00837194"/>
    <w:rsid w:val="008E39E9"/>
    <w:rsid w:val="008E4D1A"/>
    <w:rsid w:val="00923744"/>
    <w:rsid w:val="0092667A"/>
    <w:rsid w:val="009329A0"/>
    <w:rsid w:val="00945A0D"/>
    <w:rsid w:val="00964758"/>
    <w:rsid w:val="009C312C"/>
    <w:rsid w:val="009C3412"/>
    <w:rsid w:val="009C707A"/>
    <w:rsid w:val="00AC217F"/>
    <w:rsid w:val="00B42F60"/>
    <w:rsid w:val="00B96F00"/>
    <w:rsid w:val="00BE732F"/>
    <w:rsid w:val="00BF3959"/>
    <w:rsid w:val="00C469BD"/>
    <w:rsid w:val="00C6759C"/>
    <w:rsid w:val="00CC6BD2"/>
    <w:rsid w:val="00CD1C03"/>
    <w:rsid w:val="00CF0F6A"/>
    <w:rsid w:val="00D04AB0"/>
    <w:rsid w:val="00D4095F"/>
    <w:rsid w:val="00D41C13"/>
    <w:rsid w:val="00D65FA5"/>
    <w:rsid w:val="00D762B1"/>
    <w:rsid w:val="00D8661D"/>
    <w:rsid w:val="00D933AB"/>
    <w:rsid w:val="00DA0811"/>
    <w:rsid w:val="00E0226A"/>
    <w:rsid w:val="00E11380"/>
    <w:rsid w:val="00E16360"/>
    <w:rsid w:val="00E503D4"/>
    <w:rsid w:val="00E54E3F"/>
    <w:rsid w:val="00E57E1E"/>
    <w:rsid w:val="00E82C4D"/>
    <w:rsid w:val="00EB55F4"/>
    <w:rsid w:val="00EB612D"/>
    <w:rsid w:val="00EB6BE3"/>
    <w:rsid w:val="00EF47BC"/>
    <w:rsid w:val="00F20637"/>
    <w:rsid w:val="00FB0E33"/>
    <w:rsid w:val="00FC0270"/>
    <w:rsid w:val="00FF1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B0E3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xtkomente">
    <w:name w:val="annotation text"/>
    <w:basedOn w:val="Normln"/>
    <w:link w:val="TextkomenteChar"/>
    <w:uiPriority w:val="99"/>
    <w:unhideWhenUsed/>
    <w:rsid w:val="0075450F"/>
    <w:pPr>
      <w:spacing w:line="240" w:lineRule="auto"/>
    </w:pPr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rsid w:val="0075450F"/>
    <w:rPr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9C341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E54E3F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54E3F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E54E3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54E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E54E3F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964758"/>
    <w:pPr>
      <w:spacing w:before="240" w:after="24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107D3"/>
    <w:rPr>
      <w:color w:val="0000FF" w:themeColor="hyperlink"/>
      <w:u w:val="single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Mkatabulky" w:type="table">
    <w:name w:val="Table Grid"/>
    <w:basedOn w:val="Normlntabulka"/>
    <w:uiPriority w:val="59"/>
    <w:rsid w:val="00FB0E33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Textkomente" w:type="paragraph">
    <w:name w:val="annotation text"/>
    <w:basedOn w:val="Normln"/>
    <w:link w:val="TextkomenteChar"/>
    <w:uiPriority w:val="99"/>
    <w:unhideWhenUsed/>
    <w:rsid w:val="0075450F"/>
    <w:pPr>
      <w:spacing w:line="240" w:lineRule="auto"/>
    </w:pPr>
    <w:rPr>
      <w:sz w:val="20"/>
      <w:szCs w:val="20"/>
    </w:rPr>
  </w:style>
  <w:style w:customStyle="1" w:styleId="TextkomenteChar" w:type="character">
    <w:name w:val="Text komentáře Char"/>
    <w:basedOn w:val="Standardnpsmoodstavce"/>
    <w:link w:val="Textkomente"/>
    <w:uiPriority w:val="99"/>
    <w:rsid w:val="0075450F"/>
    <w:rPr>
      <w:sz w:val="20"/>
      <w:szCs w:val="20"/>
    </w:rPr>
  </w:style>
  <w:style w:styleId="Odstavecseseznamem" w:type="paragraph">
    <w:name w:val="List Paragraph"/>
    <w:basedOn w:val="Normln"/>
    <w:uiPriority w:val="34"/>
    <w:qFormat/>
    <w:rsid w:val="009C3412"/>
    <w:pPr>
      <w:ind w:left="720"/>
      <w:contextualSpacing/>
    </w:pPr>
  </w:style>
  <w:style w:styleId="Odkaznakoment" w:type="character">
    <w:name w:val="annotation reference"/>
    <w:basedOn w:val="Standardnpsmoodstavce"/>
    <w:uiPriority w:val="99"/>
    <w:semiHidden/>
    <w:unhideWhenUsed/>
    <w:rsid w:val="00E54E3F"/>
    <w:rPr>
      <w:sz w:val="16"/>
      <w:szCs w:val="16"/>
    </w:rPr>
  </w:style>
  <w:style w:styleId="Pedmtkomente" w:type="paragraph">
    <w:name w:val="annotation subject"/>
    <w:basedOn w:val="Textkomente"/>
    <w:next w:val="Textkomente"/>
    <w:link w:val="PedmtkomenteChar"/>
    <w:uiPriority w:val="99"/>
    <w:semiHidden/>
    <w:unhideWhenUsed/>
    <w:rsid w:val="00E54E3F"/>
    <w:rPr>
      <w:b/>
      <w:bCs/>
    </w:rPr>
  </w:style>
  <w:style w:customStyle="1" w:styleId="PedmtkomenteChar" w:type="character">
    <w:name w:val="Předmět komentáře Char"/>
    <w:basedOn w:val="TextkomenteChar"/>
    <w:link w:val="Pedmtkomente"/>
    <w:uiPriority w:val="99"/>
    <w:semiHidden/>
    <w:rsid w:val="00E54E3F"/>
    <w:rPr>
      <w:b/>
      <w:bCs/>
      <w:sz w:val="20"/>
      <w:szCs w:val="20"/>
    </w:rPr>
  </w:style>
  <w:style w:styleId="Textbubliny" w:type="paragraph">
    <w:name w:val="Balloon Text"/>
    <w:basedOn w:val="Normln"/>
    <w:link w:val="TextbublinyChar"/>
    <w:uiPriority w:val="99"/>
    <w:semiHidden/>
    <w:unhideWhenUsed/>
    <w:rsid w:val="00E54E3F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E54E3F"/>
    <w:rPr>
      <w:rFonts w:ascii="Tahoma" w:cs="Tahoma" w:hAnsi="Tahoma"/>
      <w:sz w:val="16"/>
      <w:szCs w:val="16"/>
    </w:rPr>
  </w:style>
  <w:style w:styleId="Normlnweb" w:type="paragraph">
    <w:name w:val="Normal (Web)"/>
    <w:basedOn w:val="Normln"/>
    <w:uiPriority w:val="99"/>
    <w:unhideWhenUsed/>
    <w:rsid w:val="00964758"/>
    <w:pPr>
      <w:spacing w:after="240" w:before="240" w:line="240" w:lineRule="auto"/>
    </w:pPr>
    <w:rPr>
      <w:rFonts w:ascii="Times New Roman" w:cs="Times New Roman" w:hAnsi="Times New Roman"/>
      <w:sz w:val="24"/>
      <w:szCs w:val="24"/>
      <w:lang w:eastAsia="cs-CZ"/>
    </w:rPr>
  </w:style>
  <w:style w:styleId="Hypertextovodkaz" w:type="character">
    <w:name w:val="Hyperlink"/>
    <w:basedOn w:val="Standardnpsmoodstavce"/>
    <w:uiPriority w:val="99"/>
    <w:unhideWhenUsed/>
    <w:rsid w:val="005107D3"/>
    <w:rPr>
      <w:color w:themeColor="hyperlink" w:val="0000FF"/>
      <w:u w:val="single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9111197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38969708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42330314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6594863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38510490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50478606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styles.xml" Type="http://schemas.openxmlformats.org/officeDocument/2006/relationships/styles" Id="rId3"/>
    <Relationship TargetMode="External" Target="http://www.esfcr.cz" Type="http://schemas.openxmlformats.org/officeDocument/2006/relationships/hyperlink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webSettings.xml" Type="http://schemas.openxmlformats.org/officeDocument/2006/relationships/webSettings" Id="rId6"/>
    <Relationship Target="settings.xml" Type="http://schemas.openxmlformats.org/officeDocument/2006/relationships/settings" Id="rId5"/>
    <Relationship Target="stylesWithEffects.xml" Type="http://schemas.microsoft.com/office/2007/relationships/stylesWithEffects" Id="rId4"/>
    <Relationship Target="theme/theme1.xml" Type="http://schemas.openxmlformats.org/officeDocument/2006/relationships/theme" Id="rId9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6FBD590D-1CA8-4B9E-B23D-839E110A4BC9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3</properties:Pages>
  <properties:Words>1781</properties:Words>
  <properties:Characters>10509</properties:Characters>
  <properties:Lines>87</properties:Lines>
  <properties:Paragraphs>24</properties:Paragraphs>
  <properties:TotalTime>23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12266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2016-06-27T08:45:00Z</dcterms:created>
  <dc:creator/>
  <cp:lastModifiedBy/>
  <cp:lastPrinted>2015-09-08T09:14:00Z</cp:lastPrinted>
  <dcterms:modified xmlns:xsi="http://www.w3.org/2001/XMLSchema-instance" xsi:type="dcterms:W3CDTF">2016-09-07T14:27:00Z</dcterms:modified>
  <cp:revision>6</cp:revision>
</cp:coreProperties>
</file>