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D2B89" w:rsidRDefault="005D2B89">
      <w:bookmarkStart w:name="_GoBack" w:id="0"/>
      <w:bookmarkEnd w:id="0"/>
    </w:p>
    <w:p w:rsidR="00A90219" w:rsidRDefault="00A90219"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24800" cy="644400"/>
            <wp:effectExtent l="0" t="0" r="0" b="3810"/>
            <wp:docPr id="1" name="Obrázek 1" descr="C:\Users\Kozakova\AppData\Local\Temp\Logo OPZ černobíl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C:\Users\Kozakova\AppData\Local\Temp\Logo OPZ černobílé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19" w:rsidRDefault="00A90219"/>
    <w:p w:rsidR="00A90219" w:rsidRDefault="00A90219">
      <w:r>
        <w:t xml:space="preserve">Příloha č. 3 </w:t>
      </w:r>
    </w:p>
    <w:p w:rsidRPr="008C4A12" w:rsidR="00A90219" w:rsidRDefault="00A90219">
      <w:pPr>
        <w:rPr>
          <w:b/>
          <w:u w:val="single"/>
        </w:rPr>
      </w:pPr>
      <w:r w:rsidRPr="008C4A12">
        <w:rPr>
          <w:b/>
          <w:u w:val="single"/>
        </w:rPr>
        <w:t>ZÁVAZNÝ ČASOVÝ HRAMONOGRAM PLNĚNÍ – přehled naplánovaných školicích dnů pro rok 2016</w:t>
      </w:r>
    </w:p>
    <w:p w:rsidRPr="00A90219" w:rsidR="00A90219" w:rsidP="00A90219" w:rsidRDefault="00A90219">
      <w:pPr>
        <w:pStyle w:val="Bezmezer"/>
      </w:pPr>
      <w:r w:rsidRPr="00A90219">
        <w:t xml:space="preserve">k veřejné zakázce s názvem </w:t>
      </w:r>
    </w:p>
    <w:p w:rsidR="00A90219" w:rsidP="00A90219" w:rsidRDefault="00A90219">
      <w:pPr>
        <w:pStyle w:val="Bezmezer"/>
        <w:rPr>
          <w:b/>
        </w:rPr>
      </w:pPr>
      <w:r>
        <w:rPr>
          <w:b/>
        </w:rPr>
        <w:t>Montér strojů a zařízení – rekvalifikační kurz se závěrečnou zkouškou u autorizované osoby dle profesní kvalifikace</w:t>
      </w:r>
    </w:p>
    <w:p w:rsidR="00A90219" w:rsidP="00A90219" w:rsidRDefault="00A90219">
      <w:pPr>
        <w:pStyle w:val="Bezmezer"/>
        <w:rPr>
          <w:b/>
        </w:rPr>
      </w:pPr>
    </w:p>
    <w:p w:rsidR="00A90219" w:rsidP="00A90219" w:rsidRDefault="00A90219">
      <w:pPr>
        <w:pStyle w:val="Bezmezer"/>
        <w:rPr>
          <w:b/>
        </w:rPr>
      </w:pPr>
      <w:r>
        <w:rPr>
          <w:b/>
        </w:rPr>
        <w:t>Termíny pro skupinu 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Termíny pro skupinu B: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11.7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15.7.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16.7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17.7.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8.8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12.8.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13.8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14.8.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3.9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4.9.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5.9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9.9.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10.9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11.9.</w:t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18.9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25.9.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1.10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2.10.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3.10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7.10.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8.10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9.10.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29.10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          30.10.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31.10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4.11.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5.11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6.11.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19.11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           13.11.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26.11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          27.11.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28.11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             2.12.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eastAsia="Times New Roman" w:cs="Times New Roman"/>
          <w:i/>
          <w:sz w:val="24"/>
          <w:szCs w:val="24"/>
          <w:lang w:eastAsia="cs-CZ"/>
        </w:rPr>
        <w:t>3.12</w:t>
      </w:r>
      <w:proofErr w:type="gramEnd"/>
      <w:r w:rsidRPr="00A90219">
        <w:rPr>
          <w:rFonts w:eastAsia="Times New Roman" w:cs="Times New Roman"/>
          <w:i/>
          <w:sz w:val="24"/>
          <w:szCs w:val="24"/>
          <w:lang w:eastAsia="cs-CZ"/>
        </w:rPr>
        <w:t>.</w:t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="008C4A12">
        <w:rPr>
          <w:rFonts w:ascii="Times New Roman" w:hAnsi="Times New Roman" w:eastAsia="Times New Roman" w:cs="Times New Roman"/>
          <w:sz w:val="24"/>
          <w:szCs w:val="24"/>
          <w:lang w:eastAsia="cs-CZ"/>
        </w:rPr>
        <w:tab/>
      </w:r>
      <w:r w:rsidRPr="008C4A12" w:rsidR="008C4A12">
        <w:rPr>
          <w:rFonts w:eastAsia="Times New Roman" w:cs="Times New Roman"/>
          <w:i/>
          <w:sz w:val="24"/>
          <w:szCs w:val="24"/>
          <w:lang w:eastAsia="cs-CZ"/>
        </w:rPr>
        <w:t>11.12.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proofErr w:type="gramStart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5.12</w:t>
      </w:r>
      <w:proofErr w:type="gramEnd"/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.</w:t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="008C4A12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ab/>
        <w:t>18.12.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10.12.</w:t>
      </w:r>
    </w:p>
    <w:p w:rsidRPr="00A90219" w:rsidR="00A90219" w:rsidP="00A90219" w:rsidRDefault="00A90219">
      <w:pPr>
        <w:numPr>
          <w:ilvl w:val="0"/>
          <w:numId w:val="1"/>
        </w:numPr>
        <w:spacing w:before="100" w:beforeAutospacing="true" w:after="100" w:afterAutospacing="true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 w:rsidRPr="00A90219">
        <w:rPr>
          <w:rFonts w:ascii="Calibri" w:hAnsi="Calibri" w:eastAsia="Times New Roman" w:cs="Times New Roman"/>
          <w:i/>
          <w:iCs/>
          <w:color w:val="000000"/>
          <w:sz w:val="24"/>
          <w:szCs w:val="24"/>
          <w:lang w:eastAsia="cs-CZ"/>
        </w:rPr>
        <w:t>17.12.</w:t>
      </w:r>
    </w:p>
    <w:p w:rsidR="00970A38" w:rsidP="00970A38" w:rsidRDefault="00970A38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970A38" w:rsidP="00970A38" w:rsidRDefault="00970A38">
      <w:pPr>
        <w:rPr>
          <w:rFonts w:cs="Arial"/>
        </w:rPr>
      </w:pPr>
      <w:r>
        <w:rPr>
          <w:rFonts w:cs="Arial"/>
        </w:rPr>
        <w:t>V……………………………</w:t>
      </w:r>
      <w:proofErr w:type="gramStart"/>
      <w:r>
        <w:rPr>
          <w:rFonts w:cs="Arial"/>
        </w:rPr>
        <w:t>…..dne</w:t>
      </w:r>
      <w:proofErr w:type="gramEnd"/>
      <w:r>
        <w:rPr>
          <w:rFonts w:cs="Arial"/>
        </w:rPr>
        <w:t>……………….</w:t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</w:p>
    <w:p w:rsidR="00970A38" w:rsidP="00970A38" w:rsidRDefault="00970A38">
      <w:pPr>
        <w:ind w:left="4248"/>
        <w:rPr>
          <w:rFonts w:cs="Arial"/>
        </w:rPr>
      </w:pPr>
      <w:r>
        <w:rPr>
          <w:rFonts w:cs="Arial"/>
        </w:rPr>
        <w:t xml:space="preserve">   ...……..………………………………………….</w:t>
      </w:r>
    </w:p>
    <w:p w:rsidRPr="00BC3111" w:rsidR="00970A38" w:rsidP="00970A38" w:rsidRDefault="00970A3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Podpis(y) osoby</w:t>
      </w:r>
      <w:proofErr w:type="gramEnd"/>
      <w:r>
        <w:rPr>
          <w:rFonts w:cs="Arial"/>
        </w:rPr>
        <w:t xml:space="preserve"> oprávněné jednat jménem či za uchazeče</w:t>
      </w:r>
    </w:p>
    <w:p w:rsidR="00A90219" w:rsidP="00A90219" w:rsidRDefault="00A90219">
      <w:pPr>
        <w:pStyle w:val="Bezmezer"/>
        <w:rPr>
          <w:b/>
        </w:rPr>
      </w:pPr>
    </w:p>
    <w:sectPr w:rsidR="00A9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DDC6A85"/>
    <w:multiLevelType w:val="multilevel"/>
    <w:tmpl w:val="63C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9"/>
    <w:rsid w:val="004E3C29"/>
    <w:rsid w:val="005D2B89"/>
    <w:rsid w:val="00866D6F"/>
    <w:rsid w:val="008C4A12"/>
    <w:rsid w:val="00970A38"/>
    <w:rsid w:val="009D64BE"/>
    <w:rsid w:val="00A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FDCF6899-2139-438B-BDA7-5F8D877D292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902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02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021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7119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0650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121</properties:Words>
  <properties:Characters>716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836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2016-06-02T19:13:00Z</dcterms:created>
  <dc:creator/>
  <cp:lastModifiedBy/>
  <dcterms:modified xmlns:xsi="http://www.w3.org/2001/XMLSchema-instance" xsi:type="dcterms:W3CDTF">2016-06-02T19:13:00Z</dcterms:modified>
  <cp:revision>3</cp:revision>
</cp:coreProperties>
</file>