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B7C99" w14:textId="77777777" w:rsidR="00657142" w:rsidRDefault="00657142" w:rsidP="00657142">
      <w:pPr>
        <w:rPr>
          <w:rFonts w:ascii="Arial" w:hAnsi="Arial" w:cs="Arial"/>
          <w:b/>
          <w:sz w:val="24"/>
        </w:rPr>
      </w:pPr>
    </w:p>
    <w:p w14:paraId="31AC62DC" w14:textId="4F01E63C" w:rsidR="00C5261C" w:rsidRDefault="00657142" w:rsidP="00657142">
      <w:pPr>
        <w:rPr>
          <w:rFonts w:ascii="Arial" w:hAnsi="Arial" w:cs="Arial"/>
          <w:b/>
          <w:sz w:val="24"/>
        </w:rPr>
      </w:pPr>
      <w:r w:rsidRPr="00657142">
        <w:rPr>
          <w:rFonts w:ascii="Arial" w:hAnsi="Arial" w:cs="Arial"/>
          <w:b/>
          <w:sz w:val="24"/>
        </w:rPr>
        <w:t>Příloha č. 4 – Detailní vymezení předmětu zakázky</w:t>
      </w:r>
    </w:p>
    <w:p w14:paraId="6E630D50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tbl>
      <w:tblPr>
        <w:tblW w:w="1390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1587"/>
        <w:gridCol w:w="1587"/>
        <w:gridCol w:w="3827"/>
        <w:gridCol w:w="3828"/>
      </w:tblGrid>
      <w:tr w:rsidR="00BE5FAE" w:rsidRPr="00A9407C" w14:paraId="47E89C78" w14:textId="77777777" w:rsidTr="00BE5FAE">
        <w:trPr>
          <w:trHeight w:val="676"/>
        </w:trPr>
        <w:tc>
          <w:tcPr>
            <w:tcW w:w="3078" w:type="dxa"/>
            <w:shd w:val="clear" w:color="000000" w:fill="D9D9D9"/>
            <w:vAlign w:val="center"/>
            <w:hideMark/>
          </w:tcPr>
          <w:p w14:paraId="70E3C0E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Vzdělávací aktivita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6C6D63FE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účastníků</w:t>
            </w:r>
          </w:p>
        </w:tc>
        <w:tc>
          <w:tcPr>
            <w:tcW w:w="1587" w:type="dxa"/>
            <w:shd w:val="clear" w:color="000000" w:fill="D9D9D9"/>
            <w:vAlign w:val="center"/>
            <w:hideMark/>
          </w:tcPr>
          <w:p w14:paraId="3BA1F8F1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40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skupin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14:paraId="4FD7FE28" w14:textId="77777777" w:rsidR="00BE5FAE" w:rsidRPr="00A9407C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na 1 skupinu v hod.</w:t>
            </w:r>
          </w:p>
        </w:tc>
        <w:tc>
          <w:tcPr>
            <w:tcW w:w="3828" w:type="dxa"/>
            <w:shd w:val="clear" w:color="000000" w:fill="D9D9D9"/>
            <w:vAlign w:val="center"/>
          </w:tcPr>
          <w:p w14:paraId="2C3E1EBF" w14:textId="77777777" w:rsidR="00BE5FAE" w:rsidRPr="00FC7937" w:rsidRDefault="00BE5FAE" w:rsidP="00BE5F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Rozsah školení celkem za všechny skupiny v hod.</w:t>
            </w:r>
          </w:p>
        </w:tc>
      </w:tr>
      <w:tr w:rsidR="004E3E05" w:rsidRPr="004E3E05" w14:paraId="67322AAA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41C7881A" w14:textId="76DB42B5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Projektové řízení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(GV)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BD257D" w14:textId="205B7890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53F04B" w14:textId="702CE40E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4365CD1" w14:textId="1A0EB67A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34938329" w14:textId="417B1ED1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E3E05" w:rsidRPr="004E3E05" w14:paraId="2FDBF46E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0A9BB73E" w14:textId="549B2100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Projektové řízení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(AW)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D18631" w14:textId="0535F2B0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2ED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15AFEA" w14:textId="01ABF852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A0A5AA1" w14:textId="2B5A101E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8" w:type="dxa"/>
            <w:vAlign w:val="center"/>
          </w:tcPr>
          <w:p w14:paraId="5A43BC49" w14:textId="392920B9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E3E05" w:rsidRPr="004E3E05" w14:paraId="6509A011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243CFCE0" w14:textId="5E4DD198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Komunikační dovednosti</w:t>
            </w:r>
            <w:bookmarkStart w:id="0" w:name="_GoBack"/>
            <w:bookmarkEnd w:id="0"/>
            <w:r w:rsidR="00443FF9">
              <w:rPr>
                <w:rFonts w:ascii="Arial" w:hAnsi="Arial" w:cs="Arial"/>
                <w:sz w:val="20"/>
                <w:szCs w:val="20"/>
              </w:rPr>
              <w:t xml:space="preserve"> (GV)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BDD9D7" w14:textId="3D6225F9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5AFD59" w14:textId="7957A689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5B61CEB" w14:textId="79D91A2B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26803831" w14:textId="18CDCFF8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E3E05" w:rsidRPr="004E3E05" w14:paraId="564A45E6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3D4EA410" w14:textId="6A6E90D4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Komunikační dovednosti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(AW)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F8C545" w14:textId="329CC7E3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B4982C" w14:textId="43AD1B84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13E9AFD" w14:textId="2AB02999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49CCAEEE" w14:textId="43389784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E3E05" w:rsidRPr="004E3E05" w14:paraId="5793E509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612CA065" w14:textId="2EB70256" w:rsidR="004E3E05" w:rsidRPr="004E3E05" w:rsidRDefault="006A1EEB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EEB">
              <w:rPr>
                <w:rFonts w:ascii="Arial" w:hAnsi="Arial" w:cs="Arial"/>
                <w:sz w:val="20"/>
                <w:szCs w:val="20"/>
              </w:rPr>
              <w:t>Komunikace při zpracování analýzy funkčních požadavků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(GV)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8123017" w14:textId="63057ECD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CCB9D53" w14:textId="64DE753B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5F511E" w14:textId="6D1980FC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65B7CF2D" w14:textId="0676422E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E3E05" w:rsidRPr="004E3E05" w14:paraId="7D3FD538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5FC6757E" w14:textId="3DE1779B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Komunikační a prezentační dovednosti pro pokročilé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(AW)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B9639D7" w14:textId="454454D1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35C97E" w14:textId="69769D7B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37FBF31" w14:textId="01D59124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56D67B2A" w14:textId="792DCEEB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E3E05" w:rsidRPr="004E3E05" w14:paraId="1D382860" w14:textId="77777777" w:rsidTr="003A5323">
        <w:trPr>
          <w:trHeight w:val="315"/>
        </w:trPr>
        <w:tc>
          <w:tcPr>
            <w:tcW w:w="3078" w:type="dxa"/>
            <w:shd w:val="clear" w:color="auto" w:fill="auto"/>
          </w:tcPr>
          <w:p w14:paraId="14E3B2D1" w14:textId="0DB65166" w:rsidR="004E3E05" w:rsidRPr="004E3E05" w:rsidRDefault="004E3E05" w:rsidP="00FE04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3E05">
              <w:rPr>
                <w:rFonts w:ascii="Arial" w:hAnsi="Arial" w:cs="Arial"/>
                <w:sz w:val="20"/>
                <w:szCs w:val="20"/>
              </w:rPr>
              <w:t>Úspěšné řízení organizace</w:t>
            </w:r>
            <w:r w:rsidR="00443FF9">
              <w:rPr>
                <w:rFonts w:ascii="Arial" w:hAnsi="Arial" w:cs="Arial"/>
                <w:sz w:val="20"/>
                <w:szCs w:val="20"/>
              </w:rPr>
              <w:t xml:space="preserve"> (AW)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4FBDEF" w14:textId="0684636F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4367B00" w14:textId="1FE75472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9198E89" w14:textId="6D67FA18" w:rsidR="004E3E05" w:rsidRPr="004E3E05" w:rsidRDefault="004E3E05" w:rsidP="00FE04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center"/>
          </w:tcPr>
          <w:p w14:paraId="747DE7F2" w14:textId="48F24AB4" w:rsidR="004E3E05" w:rsidRPr="004E3E05" w:rsidRDefault="004E3E05" w:rsidP="00FE04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</w:tbl>
    <w:p w14:paraId="6902A2C8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37B585A7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49D53B23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144A7952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7F6D8AAF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286E4F91" w14:textId="77777777" w:rsidR="00BE5FAE" w:rsidRDefault="00BE5FAE" w:rsidP="00657142">
      <w:pPr>
        <w:rPr>
          <w:rFonts w:ascii="Arial" w:hAnsi="Arial" w:cs="Arial"/>
          <w:b/>
          <w:sz w:val="24"/>
        </w:rPr>
      </w:pPr>
    </w:p>
    <w:p w14:paraId="55512C04" w14:textId="77777777" w:rsidR="00BE5FAE" w:rsidRDefault="00BE5FAE" w:rsidP="00657142">
      <w:pPr>
        <w:rPr>
          <w:rFonts w:ascii="Arial" w:hAnsi="Arial" w:cs="Arial"/>
          <w:b/>
          <w:sz w:val="24"/>
        </w:rPr>
        <w:sectPr w:rsidR="00BE5FAE" w:rsidSect="00BE5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80" w:right="1276" w:bottom="1080" w:left="1440" w:header="709" w:footer="709" w:gutter="0"/>
          <w:cols w:space="708"/>
          <w:docGrid w:linePitch="360"/>
        </w:sectPr>
      </w:pPr>
    </w:p>
    <w:p w14:paraId="2AEF280C" w14:textId="37766D70" w:rsidR="00BE5FAE" w:rsidRPr="00657142" w:rsidRDefault="00BE5FAE" w:rsidP="00657142">
      <w:pPr>
        <w:rPr>
          <w:rFonts w:ascii="Arial" w:hAnsi="Arial" w:cs="Arial"/>
          <w:b/>
          <w:sz w:val="24"/>
        </w:rPr>
      </w:pP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C5261C" w:rsidRPr="00657142" w14:paraId="471DD212" w14:textId="77777777" w:rsidTr="001931B7">
        <w:tc>
          <w:tcPr>
            <w:tcW w:w="9736" w:type="dxa"/>
            <w:shd w:val="clear" w:color="auto" w:fill="BEFF05"/>
          </w:tcPr>
          <w:p w14:paraId="2D6642CF" w14:textId="139FEA61" w:rsidR="00C5261C" w:rsidRPr="004E3E05" w:rsidRDefault="00660271" w:rsidP="00EF3D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Projektové řízení</w:t>
            </w:r>
          </w:p>
        </w:tc>
      </w:tr>
      <w:tr w:rsidR="00C5261C" w:rsidRPr="00657142" w14:paraId="4661DFE5" w14:textId="77777777" w:rsidTr="001931B7">
        <w:tc>
          <w:tcPr>
            <w:tcW w:w="9736" w:type="dxa"/>
          </w:tcPr>
          <w:p w14:paraId="5E10D255" w14:textId="15FEBE35" w:rsidR="00C5261C" w:rsidRPr="002907BA" w:rsidRDefault="004E3E05" w:rsidP="00434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C5261C" w:rsidRPr="00657142" w14:paraId="5FD7488B" w14:textId="77777777" w:rsidTr="001931B7">
        <w:tc>
          <w:tcPr>
            <w:tcW w:w="9736" w:type="dxa"/>
            <w:shd w:val="clear" w:color="auto" w:fill="auto"/>
          </w:tcPr>
          <w:p w14:paraId="72B5D48C" w14:textId="77777777" w:rsidR="00660271" w:rsidRPr="00D06365" w:rsidRDefault="00660271" w:rsidP="00660271">
            <w:pPr>
              <w:jc w:val="both"/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 xml:space="preserve">Cílem kurzu je rozvinout dovednosti potřebné pro efektivní a ziskové řízení softwarových a IT projektů. Cílem je prostřednictvím kvalitní organizace práce dokončení projektu ve sjednaném rozsahu, čase a plánovaných nákladech. </w:t>
            </w:r>
          </w:p>
          <w:p w14:paraId="44A7E1C4" w14:textId="77777777" w:rsidR="00660271" w:rsidRPr="003D7501" w:rsidRDefault="00660271" w:rsidP="00660271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Klíčová témata ke kurzu:</w:t>
            </w:r>
          </w:p>
          <w:p w14:paraId="778CED0C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Důvody pro realizaci technik projektového managementu v praxi</w:t>
            </w:r>
          </w:p>
          <w:p w14:paraId="746EE52F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Co je to projekt, jeho definice a kategorie</w:t>
            </w:r>
          </w:p>
          <w:p w14:paraId="5D5B37A1" w14:textId="6E1BC8FD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 xml:space="preserve">Princip 3cíle projektu a </w:t>
            </w:r>
            <w:r w:rsidR="006A1EEB">
              <w:rPr>
                <w:rFonts w:ascii="Arial" w:hAnsi="Arial" w:cs="Arial"/>
              </w:rPr>
              <w:t>vzájemná závislost jeho veličin</w:t>
            </w:r>
          </w:p>
          <w:p w14:paraId="0F720990" w14:textId="22F8F2A9" w:rsidR="00660271" w:rsidRPr="00D06365" w:rsidRDefault="006A1EEB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 atomizace projektu</w:t>
            </w:r>
          </w:p>
          <w:p w14:paraId="24E58645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 xml:space="preserve">Dělení projektu na fáze, </w:t>
            </w:r>
            <w:proofErr w:type="spellStart"/>
            <w:r w:rsidRPr="00D06365">
              <w:rPr>
                <w:rFonts w:ascii="Arial" w:hAnsi="Arial" w:cs="Arial"/>
              </w:rPr>
              <w:t>podfáze</w:t>
            </w:r>
            <w:proofErr w:type="spellEnd"/>
            <w:r w:rsidRPr="00D06365">
              <w:rPr>
                <w:rFonts w:ascii="Arial" w:hAnsi="Arial" w:cs="Arial"/>
              </w:rPr>
              <w:t xml:space="preserve"> a činnosti</w:t>
            </w:r>
          </w:p>
          <w:p w14:paraId="145CDE4F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Obvyklé fáze IT projektu</w:t>
            </w:r>
          </w:p>
          <w:p w14:paraId="49C93CFD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Způsob řízení dílčích fází</w:t>
            </w:r>
          </w:p>
          <w:p w14:paraId="483589E8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Stanovení rozsahu fáze</w:t>
            </w:r>
          </w:p>
          <w:p w14:paraId="48F85482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Stanovení akceptačních kritérií fází - jak vyhodnotit, že je fáze hotová</w:t>
            </w:r>
          </w:p>
          <w:p w14:paraId="79CEE726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Předání a akceptace fáze</w:t>
            </w:r>
          </w:p>
          <w:p w14:paraId="11869A8A" w14:textId="35F89FFF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 xml:space="preserve">Sestavení plánu projektu a jeho </w:t>
            </w:r>
            <w:r w:rsidR="006A1EEB">
              <w:rPr>
                <w:rFonts w:ascii="Arial" w:hAnsi="Arial" w:cs="Arial"/>
              </w:rPr>
              <w:t>verifikace</w:t>
            </w:r>
          </w:p>
          <w:p w14:paraId="73E34BAA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Členění rozsáhlých projektů do etap</w:t>
            </w:r>
          </w:p>
          <w:p w14:paraId="71DAA70D" w14:textId="16F506D9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E</w:t>
            </w:r>
            <w:r w:rsidR="006A1EEB">
              <w:rPr>
                <w:rFonts w:ascii="Arial" w:hAnsi="Arial" w:cs="Arial"/>
              </w:rPr>
              <w:t>konomika softwarového projektu</w:t>
            </w:r>
          </w:p>
          <w:p w14:paraId="6C4785F2" w14:textId="17778CEF" w:rsidR="00660271" w:rsidRPr="00D06365" w:rsidRDefault="006A1EEB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Projektová dokumentace</w:t>
            </w:r>
          </w:p>
          <w:p w14:paraId="0EEA883B" w14:textId="5360D1F2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Rizika projektu - skutečnosti, kter</w:t>
            </w:r>
            <w:r w:rsidR="006A1EEB">
              <w:rPr>
                <w:rFonts w:ascii="Arial" w:hAnsi="Arial" w:cs="Arial"/>
              </w:rPr>
              <w:t>é mapujeme a které nesmí nastat</w:t>
            </w:r>
          </w:p>
          <w:p w14:paraId="567907E3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Sestavení projektové struktury podle typu projektu (řídící komise, vedení projektu, pracovní skupiny)</w:t>
            </w:r>
          </w:p>
          <w:p w14:paraId="7C30821A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Motivace projektového týmu</w:t>
            </w:r>
          </w:p>
          <w:p w14:paraId="6BFC1C33" w14:textId="263BC450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Obvyklá práva a povinnosti projektového manaže</w:t>
            </w:r>
            <w:r w:rsidR="006A1EEB">
              <w:rPr>
                <w:rFonts w:ascii="Arial" w:hAnsi="Arial" w:cs="Arial"/>
              </w:rPr>
              <w:t>ra z pohledu funkčního projektu</w:t>
            </w:r>
          </w:p>
          <w:p w14:paraId="41D2BB00" w14:textId="77777777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D06365">
              <w:rPr>
                <w:rFonts w:ascii="Arial" w:hAnsi="Arial" w:cs="Arial"/>
              </w:rPr>
              <w:t>Projektové schůzky a jejich význam</w:t>
            </w:r>
          </w:p>
          <w:p w14:paraId="4C5CCD2F" w14:textId="02274247" w:rsidR="00660271" w:rsidRPr="00D06365" w:rsidRDefault="006A1EEB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Zadání úkolu lidem na projektu</w:t>
            </w:r>
          </w:p>
          <w:p w14:paraId="1F386A47" w14:textId="53257FF5" w:rsidR="00660271" w:rsidRPr="00D06365" w:rsidRDefault="006A1EEB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Komunikační schéma na projektu</w:t>
            </w:r>
          </w:p>
          <w:p w14:paraId="5251F657" w14:textId="330CF09F" w:rsidR="00660271" w:rsidRPr="00D06365" w:rsidRDefault="00660271" w:rsidP="00660271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D06365">
              <w:rPr>
                <w:rFonts w:ascii="Arial" w:hAnsi="Arial" w:cs="Arial"/>
              </w:rPr>
              <w:t>do, s kým a jakým způsobem komunikuje na projektu</w:t>
            </w:r>
          </w:p>
          <w:p w14:paraId="33D725F0" w14:textId="1B942D96" w:rsidR="00A671AE" w:rsidRPr="002907BA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06365">
              <w:rPr>
                <w:rFonts w:ascii="Arial" w:hAnsi="Arial" w:cs="Arial"/>
              </w:rPr>
              <w:t>ákladní pravidla komunikace a jejich důvody</w:t>
            </w:r>
          </w:p>
        </w:tc>
      </w:tr>
      <w:tr w:rsidR="00C5261C" w:rsidRPr="00657142" w14:paraId="61BD8BDB" w14:textId="77777777" w:rsidTr="001931B7">
        <w:trPr>
          <w:trHeight w:val="311"/>
        </w:trPr>
        <w:tc>
          <w:tcPr>
            <w:tcW w:w="9736" w:type="dxa"/>
            <w:shd w:val="clear" w:color="auto" w:fill="BEFF05"/>
          </w:tcPr>
          <w:p w14:paraId="6106ECF6" w14:textId="4D48A7C8" w:rsidR="00C5261C" w:rsidRPr="002907BA" w:rsidRDefault="00660271" w:rsidP="00EF3D90">
            <w:pPr>
              <w:jc w:val="center"/>
              <w:rPr>
                <w:rFonts w:ascii="Arial" w:hAnsi="Arial" w:cs="Arial"/>
              </w:rPr>
            </w:pPr>
            <w:r w:rsidRPr="004E3E05">
              <w:rPr>
                <w:rFonts w:ascii="Arial" w:hAnsi="Arial" w:cs="Arial"/>
                <w:b/>
              </w:rPr>
              <w:t>Komunikační dovednosti</w:t>
            </w:r>
          </w:p>
        </w:tc>
      </w:tr>
      <w:tr w:rsidR="00C5261C" w:rsidRPr="00657142" w14:paraId="27AB3884" w14:textId="77777777" w:rsidTr="001931B7">
        <w:tc>
          <w:tcPr>
            <w:tcW w:w="9736" w:type="dxa"/>
          </w:tcPr>
          <w:p w14:paraId="3FAB3F61" w14:textId="2E7E1864" w:rsidR="00C5261C" w:rsidRPr="002907BA" w:rsidRDefault="004E3E05" w:rsidP="004349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Obsah kurzu</w:t>
            </w:r>
          </w:p>
        </w:tc>
      </w:tr>
      <w:tr w:rsidR="00C5261C" w:rsidRPr="00657142" w14:paraId="232E785E" w14:textId="77777777" w:rsidTr="001931B7">
        <w:tc>
          <w:tcPr>
            <w:tcW w:w="9736" w:type="dxa"/>
            <w:shd w:val="clear" w:color="auto" w:fill="auto"/>
          </w:tcPr>
          <w:p w14:paraId="2DB4AA4A" w14:textId="77777777" w:rsidR="00660271" w:rsidRPr="003D7501" w:rsidRDefault="00660271" w:rsidP="00660271">
            <w:pPr>
              <w:jc w:val="both"/>
              <w:outlineLvl w:val="0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Očekáváním od kurzu je zlepšit úroveň komunikace lidí v rámci realizační částí firmy a tím dosahovat v průběhu projektů/podpory větší spokojenosti zákazníků. Kurz je určený zejména pro konzultanty, vývojáře a pracovníky supportu. Tito odborně velmi znalí profesionálové často sami sobě komplikují práci díky nedostatkům v komunikaci. </w:t>
            </w:r>
          </w:p>
          <w:p w14:paraId="06F5A949" w14:textId="77777777" w:rsidR="00660271" w:rsidRPr="003D7501" w:rsidRDefault="00660271" w:rsidP="00660271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Klíčová témata ke kurzu:</w:t>
            </w:r>
          </w:p>
          <w:p w14:paraId="196C052D" w14:textId="22813861" w:rsidR="00660271" w:rsidRPr="003D7501" w:rsidRDefault="00660271" w:rsidP="00660271">
            <w:pPr>
              <w:pStyle w:val="Odstavecseseznamem"/>
              <w:numPr>
                <w:ilvl w:val="0"/>
                <w:numId w:val="75"/>
              </w:num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Proč je pozitivn</w:t>
            </w:r>
            <w:r w:rsidR="00FD16EE">
              <w:rPr>
                <w:rFonts w:ascii="Arial" w:hAnsi="Arial" w:cs="Arial"/>
              </w:rPr>
              <w:t>í komunikace pro práci důležitá</w:t>
            </w:r>
          </w:p>
          <w:p w14:paraId="600F56E7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Jak vyhodnocuje lidská hlava výsledek komunikace z pohledu spokojenosti s ní</w:t>
            </w:r>
          </w:p>
          <w:p w14:paraId="4785C7AA" w14:textId="47A4C0EA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Příklady, s čím jsou zákazníci IT f</w:t>
            </w:r>
            <w:r w:rsidR="00FD16EE">
              <w:rPr>
                <w:rFonts w:ascii="Arial" w:hAnsi="Arial" w:cs="Arial"/>
              </w:rPr>
              <w:t>irem při komunikaci nespokojeni</w:t>
            </w:r>
          </w:p>
          <w:p w14:paraId="7249A63D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Prvky, které tvoří celkový dojem z komunikace </w:t>
            </w:r>
          </w:p>
          <w:p w14:paraId="0E7B5811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Příčiny, proč si s někým rozumím a s někým ne - komunikační typologie</w:t>
            </w:r>
          </w:p>
          <w:p w14:paraId="2CEE38DA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Komunikační kanály a jejich dopad na výsledky komunikace</w:t>
            </w:r>
          </w:p>
          <w:p w14:paraId="4A07D145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Emoce v komunikaci a jejich role</w:t>
            </w:r>
          </w:p>
          <w:p w14:paraId="28F4283F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Psychologické mechanismy, jak zlepšit své postavení v hlavě protistrany při komunikaci</w:t>
            </w:r>
          </w:p>
          <w:p w14:paraId="39B8CD1B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Pochvala  - nástroj  na budování vztahů</w:t>
            </w:r>
          </w:p>
          <w:p w14:paraId="01A164F2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Využití pochvaly při zpracování konfliktních dotazů</w:t>
            </w:r>
          </w:p>
          <w:p w14:paraId="27AA4D1D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Názorový soulad – společný pohled sbližuje</w:t>
            </w:r>
          </w:p>
          <w:p w14:paraId="4B5D2A07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Společný nepřítel – silná motivace ke spolupráci</w:t>
            </w:r>
          </w:p>
          <w:p w14:paraId="50222160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lastRenderedPageBreak/>
              <w:t>Tři nejčastější chyby spojené se zjišťováním informací</w:t>
            </w:r>
          </w:p>
          <w:p w14:paraId="48674567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Typologie otázek a její praktické využití</w:t>
            </w:r>
          </w:p>
          <w:p w14:paraId="3CDE5EFA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Vyjasnění informace sekvencí otázek</w:t>
            </w:r>
          </w:p>
          <w:p w14:paraId="39EE7F80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Jak zamezit pocitu výslechu - technika zdůvodnění otázek</w:t>
            </w:r>
          </w:p>
          <w:p w14:paraId="0D9E33CF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Zamezení nedorozuměním potvrzením zjištěných informací</w:t>
            </w:r>
          </w:p>
          <w:p w14:paraId="09364BAB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Proč je pro konzultační praxi klíčové se dobrat od „požadavků“ zákazníka k jejich „příčinám“</w:t>
            </w:r>
          </w:p>
          <w:p w14:paraId="03018CD5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Podpora návrhu formou přínosů pro druhou stranu</w:t>
            </w:r>
          </w:p>
          <w:p w14:paraId="6D847336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Prezentace zamítavého stanoviska s minimalizací dopadů</w:t>
            </w:r>
          </w:p>
          <w:p w14:paraId="0D44C26D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Korektní formalizace závěrů a jednoznačné předávání úkolů </w:t>
            </w:r>
          </w:p>
          <w:p w14:paraId="21E397E8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Práce s negativní náladou protistrany</w:t>
            </w:r>
          </w:p>
          <w:p w14:paraId="33475D9F" w14:textId="77777777" w:rsidR="00660271" w:rsidRPr="003D750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Postup zvládání nedorozumění</w:t>
            </w:r>
          </w:p>
          <w:p w14:paraId="5A34E995" w14:textId="77777777" w:rsidR="00660271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Zvládnutí stížnosti</w:t>
            </w:r>
          </w:p>
          <w:p w14:paraId="6EA3F658" w14:textId="3AF1F00A" w:rsidR="00890ED1" w:rsidRPr="00BE5FAE" w:rsidRDefault="00660271" w:rsidP="00660271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Zvládání verbální agrese</w:t>
            </w:r>
          </w:p>
        </w:tc>
      </w:tr>
      <w:tr w:rsidR="00C5261C" w:rsidRPr="00657142" w14:paraId="69224B3C" w14:textId="77777777" w:rsidTr="001931B7">
        <w:tc>
          <w:tcPr>
            <w:tcW w:w="9736" w:type="dxa"/>
            <w:shd w:val="clear" w:color="auto" w:fill="BEFF05"/>
          </w:tcPr>
          <w:p w14:paraId="48CC854A" w14:textId="5D1EA89F" w:rsidR="00C5261C" w:rsidRPr="00660271" w:rsidRDefault="006A1EEB" w:rsidP="00EF3D90">
            <w:pPr>
              <w:jc w:val="center"/>
              <w:rPr>
                <w:rFonts w:ascii="Arial" w:hAnsi="Arial" w:cs="Arial"/>
                <w:b/>
              </w:rPr>
            </w:pPr>
            <w:r w:rsidRPr="006A1EEB">
              <w:rPr>
                <w:rFonts w:ascii="Arial" w:hAnsi="Arial" w:cs="Arial"/>
                <w:b/>
              </w:rPr>
              <w:lastRenderedPageBreak/>
              <w:t>Komunikace při zpracování analýzy funkčních požadavků</w:t>
            </w:r>
          </w:p>
        </w:tc>
      </w:tr>
      <w:tr w:rsidR="00C5261C" w:rsidRPr="00657142" w14:paraId="0735443F" w14:textId="77777777" w:rsidTr="001931B7">
        <w:tc>
          <w:tcPr>
            <w:tcW w:w="9736" w:type="dxa"/>
          </w:tcPr>
          <w:p w14:paraId="63AD3774" w14:textId="5F283503" w:rsidR="00C5261C" w:rsidRPr="002907B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2907BA">
              <w:rPr>
                <w:rFonts w:ascii="Arial" w:hAnsi="Arial" w:cs="Arial"/>
              </w:rPr>
              <w:t xml:space="preserve">Obsah </w:t>
            </w:r>
            <w:r w:rsidR="004E3E05">
              <w:rPr>
                <w:rFonts w:ascii="Arial" w:hAnsi="Arial" w:cs="Arial"/>
              </w:rPr>
              <w:t>kurzu</w:t>
            </w:r>
          </w:p>
        </w:tc>
      </w:tr>
      <w:tr w:rsidR="00C5261C" w:rsidRPr="00657142" w14:paraId="73283D98" w14:textId="77777777" w:rsidTr="001931B7">
        <w:tc>
          <w:tcPr>
            <w:tcW w:w="9736" w:type="dxa"/>
            <w:shd w:val="clear" w:color="auto" w:fill="auto"/>
          </w:tcPr>
          <w:p w14:paraId="45494475" w14:textId="77777777" w:rsidR="006A1EEB" w:rsidRPr="003D7501" w:rsidRDefault="006A1EEB" w:rsidP="006A1EEB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Mapování potřeb zákazníků je jeden z klíčových úkolů konzultantů na projektech. Očekáváním od kurzu je zdokonalit účastníky v tom, jak při tvorbě analýzy a následného návrhu řešení komunikačně postupovat, aby se zabránilo nedorozuměním při pochopení odborného obsahu jejich zjištění. Požadované je zaměření, jak na korektní postupy při analýze u zákazníka, tak na část dokumentační. Preferovaná jsou také praktická cvičení k osvojení dovedností. </w:t>
            </w:r>
          </w:p>
          <w:p w14:paraId="26D40CC1" w14:textId="77777777" w:rsidR="006A1EEB" w:rsidRPr="003D7501" w:rsidRDefault="006A1EEB" w:rsidP="006A1EEB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Klíčová témata ke kurzu:</w:t>
            </w:r>
          </w:p>
          <w:p w14:paraId="2FFA1032" w14:textId="7777777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Co znamená „zpracuj analýzu“</w:t>
            </w:r>
          </w:p>
          <w:p w14:paraId="274C1DF7" w14:textId="4B62311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Analýza a návrh j</w:t>
            </w:r>
            <w:r>
              <w:rPr>
                <w:rFonts w:ascii="Arial" w:hAnsi="Arial" w:cs="Arial"/>
              </w:rPr>
              <w:t>ako součást projektové metodiky</w:t>
            </w:r>
          </w:p>
          <w:p w14:paraId="2E26515E" w14:textId="1B6A63DC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Nejčastější komunikační chyby při</w:t>
            </w:r>
            <w:r>
              <w:rPr>
                <w:rFonts w:ascii="Arial" w:hAnsi="Arial" w:cs="Arial"/>
              </w:rPr>
              <w:t xml:space="preserve"> tvorbě analýzy a návrhu řešení</w:t>
            </w:r>
          </w:p>
          <w:p w14:paraId="0F0C4550" w14:textId="3420AD48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Met</w:t>
            </w:r>
            <w:r>
              <w:rPr>
                <w:rFonts w:ascii="Arial" w:hAnsi="Arial" w:cs="Arial"/>
              </w:rPr>
              <w:t>odické postupy analýzy a návrhu</w:t>
            </w:r>
          </w:p>
          <w:p w14:paraId="64CBD072" w14:textId="7777777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Procesní pochopení zákazníka jako základ definice rozsahu analýzy</w:t>
            </w:r>
          </w:p>
          <w:p w14:paraId="7A08A311" w14:textId="7777777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Dovednost sestavit mapu procesů </w:t>
            </w:r>
          </w:p>
          <w:p w14:paraId="3864B478" w14:textId="7777777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Navázání obsahu analýzy na seznam řešených procesů</w:t>
            </w:r>
          </w:p>
          <w:p w14:paraId="0A6C2BA6" w14:textId="7777777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Vazba procesů zákazníka na postupy rozdílové analýzy</w:t>
            </w:r>
          </w:p>
          <w:p w14:paraId="72D340CA" w14:textId="447FEBE6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Rozlišen</w:t>
            </w:r>
            <w:r>
              <w:rPr>
                <w:rFonts w:ascii="Arial" w:hAnsi="Arial" w:cs="Arial"/>
              </w:rPr>
              <w:t>í potřeb a požadavků zákazníka</w:t>
            </w:r>
          </w:p>
          <w:p w14:paraId="2D697C25" w14:textId="7A89B350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Metody oceňování požadavků zákazníka</w:t>
            </w:r>
          </w:p>
          <w:p w14:paraId="42CC6D89" w14:textId="143FBEFD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Obhajoba požadované ceny</w:t>
            </w:r>
          </w:p>
          <w:p w14:paraId="3792EF4C" w14:textId="389D2D70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Dotazování zák</w:t>
            </w:r>
            <w:r>
              <w:rPr>
                <w:rFonts w:ascii="Arial" w:hAnsi="Arial" w:cs="Arial"/>
              </w:rPr>
              <w:t>azníku v rámci analýzy</w:t>
            </w:r>
          </w:p>
          <w:p w14:paraId="1AF2F7E0" w14:textId="69DD4F5F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Obhajoba n</w:t>
            </w:r>
            <w:r>
              <w:rPr>
                <w:rFonts w:ascii="Arial" w:hAnsi="Arial" w:cs="Arial"/>
              </w:rPr>
              <w:t>avrhovaných postupů u zákazníka</w:t>
            </w:r>
          </w:p>
          <w:p w14:paraId="761C07DD" w14:textId="6E1D09E1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Postupy změny</w:t>
            </w:r>
            <w:r>
              <w:rPr>
                <w:rFonts w:ascii="Arial" w:hAnsi="Arial" w:cs="Arial"/>
              </w:rPr>
              <w:t xml:space="preserve"> nereálného požadavku zákazníka</w:t>
            </w:r>
          </w:p>
          <w:p w14:paraId="2C66B208" w14:textId="022F847B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Dokumentace svázaná s analýzou p</w:t>
            </w:r>
            <w:r>
              <w:rPr>
                <w:rFonts w:ascii="Arial" w:hAnsi="Arial" w:cs="Arial"/>
              </w:rPr>
              <w:t>otřeb (vzory k volnému využití)</w:t>
            </w:r>
          </w:p>
          <w:p w14:paraId="7AC8A369" w14:textId="61F3A597" w:rsidR="006A1EEB" w:rsidRPr="003D7501" w:rsidRDefault="006A1EEB" w:rsidP="006A1EEB">
            <w:pPr>
              <w:pStyle w:val="Odstavecseseznamem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Ověřování kvality dodávky v kontextu o</w:t>
            </w:r>
            <w:r>
              <w:rPr>
                <w:rFonts w:ascii="Arial" w:hAnsi="Arial" w:cs="Arial"/>
              </w:rPr>
              <w:t>bsahu analýzy a návrhu systému</w:t>
            </w:r>
          </w:p>
          <w:p w14:paraId="2187D5F8" w14:textId="7E31F06C" w:rsidR="00B742F2" w:rsidRPr="002907BA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Nácvik průběhu analytické schůzky u zákazníka</w:t>
            </w:r>
          </w:p>
        </w:tc>
      </w:tr>
      <w:tr w:rsidR="00C5261C" w:rsidRPr="00657142" w14:paraId="65FA1700" w14:textId="77777777" w:rsidTr="001931B7">
        <w:tc>
          <w:tcPr>
            <w:tcW w:w="9736" w:type="dxa"/>
            <w:shd w:val="clear" w:color="auto" w:fill="BEFF05"/>
          </w:tcPr>
          <w:p w14:paraId="69CFDA64" w14:textId="78386522" w:rsidR="00C5261C" w:rsidRPr="002907BA" w:rsidRDefault="006A1EEB" w:rsidP="00EF3D90">
            <w:pPr>
              <w:jc w:val="center"/>
              <w:rPr>
                <w:rFonts w:ascii="Arial" w:hAnsi="Arial" w:cs="Arial"/>
              </w:rPr>
            </w:pPr>
            <w:r w:rsidRPr="00660271">
              <w:rPr>
                <w:rFonts w:ascii="Arial" w:hAnsi="Arial" w:cs="Arial"/>
                <w:b/>
              </w:rPr>
              <w:t>Komunikační a prezentační dovednosti pro pokročilé</w:t>
            </w:r>
          </w:p>
        </w:tc>
      </w:tr>
      <w:tr w:rsidR="00C5261C" w:rsidRPr="00657142" w14:paraId="38B79BFD" w14:textId="77777777" w:rsidTr="001931B7">
        <w:tc>
          <w:tcPr>
            <w:tcW w:w="9736" w:type="dxa"/>
          </w:tcPr>
          <w:p w14:paraId="465151B0" w14:textId="5E2439E6" w:rsidR="00C5261C" w:rsidRPr="002907BA" w:rsidRDefault="00BE5FAE" w:rsidP="00434993">
            <w:pPr>
              <w:jc w:val="center"/>
              <w:rPr>
                <w:rFonts w:ascii="Arial" w:hAnsi="Arial" w:cs="Arial"/>
                <w:b/>
              </w:rPr>
            </w:pPr>
            <w:r w:rsidRPr="002907BA">
              <w:rPr>
                <w:rFonts w:ascii="Arial" w:hAnsi="Arial" w:cs="Arial"/>
              </w:rPr>
              <w:t xml:space="preserve">Obsah </w:t>
            </w:r>
            <w:r w:rsidR="004E3E05">
              <w:rPr>
                <w:rFonts w:ascii="Arial" w:hAnsi="Arial" w:cs="Arial"/>
              </w:rPr>
              <w:t>kurzu</w:t>
            </w:r>
          </w:p>
        </w:tc>
      </w:tr>
      <w:tr w:rsidR="00C5261C" w:rsidRPr="00657142" w14:paraId="3E04D9DD" w14:textId="77777777" w:rsidTr="001931B7">
        <w:tc>
          <w:tcPr>
            <w:tcW w:w="9736" w:type="dxa"/>
            <w:shd w:val="clear" w:color="auto" w:fill="auto"/>
          </w:tcPr>
          <w:p w14:paraId="7C6B55EB" w14:textId="073DF151" w:rsidR="006A1EEB" w:rsidRPr="003D7501" w:rsidRDefault="006A1EEB" w:rsidP="006A1EEB">
            <w:pPr>
              <w:jc w:val="both"/>
              <w:outlineLvl w:val="0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Očekáváním od kurzu je rozvoj komunikační</w:t>
            </w:r>
            <w:r>
              <w:rPr>
                <w:rFonts w:ascii="Arial" w:hAnsi="Arial" w:cs="Arial"/>
              </w:rPr>
              <w:t>ch dovedností na špičkové úrovni</w:t>
            </w:r>
            <w:r w:rsidRPr="003D7501">
              <w:rPr>
                <w:rFonts w:ascii="Arial" w:hAnsi="Arial" w:cs="Arial"/>
              </w:rPr>
              <w:t xml:space="preserve"> pro klíčové zaměstnance společnosti, kteří již zvládají základní komunikační standardy. Kurz by jim měl poskytnout postupy, jak dosáhnout komunikační převahy zejména v náročných, či vypjatých pracovních situacích. Zohledněna bude práce s větší skupinou posluchačů.</w:t>
            </w:r>
          </w:p>
          <w:p w14:paraId="3CCC0CBC" w14:textId="77777777" w:rsidR="006A1EEB" w:rsidRPr="003D7501" w:rsidRDefault="006A1EEB" w:rsidP="006A1EEB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Klíčová témata ke kurzu:</w:t>
            </w:r>
          </w:p>
          <w:p w14:paraId="7B116594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Postup zvládání námitek ostatních účastníků komunikace </w:t>
            </w:r>
          </w:p>
          <w:p w14:paraId="6572E470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Sdělení zamítavého stanoviska k nerealizovatelným požadavkům klienta  </w:t>
            </w:r>
          </w:p>
          <w:p w14:paraId="03B27854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Konstruktivní motivační kritika špatně odvedené práce</w:t>
            </w:r>
          </w:p>
          <w:p w14:paraId="70BEE79C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Dosažení kompromisu - technika „systematického rozhodování“ </w:t>
            </w:r>
          </w:p>
          <w:p w14:paraId="66C8353E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Shoda na prioritě více variant - metoda párového porovnání </w:t>
            </w:r>
          </w:p>
          <w:p w14:paraId="29AF892E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lastRenderedPageBreak/>
              <w:t xml:space="preserve">Postupy získání času pro promyšlení odpovědi nebo zklidnění </w:t>
            </w:r>
          </w:p>
          <w:p w14:paraId="4E2E74A4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Změna nereálné představy řešení </w:t>
            </w:r>
          </w:p>
          <w:p w14:paraId="673D83A1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Korektní postupy přiznání vlastního pochybení s minimalizací škod</w:t>
            </w:r>
          </w:p>
          <w:p w14:paraId="3DEF9F57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Odolávání verbálnímu nátlaku ze strany klienta</w:t>
            </w:r>
          </w:p>
          <w:p w14:paraId="2CC09D01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Obrana proti manipulativním technikám </w:t>
            </w:r>
          </w:p>
          <w:p w14:paraId="74540561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 xml:space="preserve">Postup Sdělení osobně nepříjemné skutečnosti </w:t>
            </w:r>
          </w:p>
          <w:p w14:paraId="565F4828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Eliminace vzniklého nedorozumění</w:t>
            </w:r>
          </w:p>
          <w:p w14:paraId="2060125B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Práce s nepříjemným posluchačem (skáče do prezentace, komentuje, nepříjemně se ptá)</w:t>
            </w:r>
          </w:p>
          <w:p w14:paraId="20ACEF26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Zvládání záměrného narušení prezentace našim odpůrcem (odpůrcem našeho řešení)</w:t>
            </w:r>
          </w:p>
          <w:p w14:paraId="255F403A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Zkratové jednání osoby v publiku</w:t>
            </w:r>
          </w:p>
          <w:p w14:paraId="522FA61E" w14:textId="77777777" w:rsidR="006A1EEB" w:rsidRPr="003D7501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Zvládnutí situace, kdy posluchači nevěnují pozornost a věnují se jiné práci</w:t>
            </w:r>
          </w:p>
          <w:p w14:paraId="671FA3BE" w14:textId="77777777" w:rsidR="006A1EEB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Jak postupovat, když posluchači odcházejí</w:t>
            </w:r>
          </w:p>
          <w:p w14:paraId="76E80496" w14:textId="43D997A6" w:rsidR="00B742F2" w:rsidRPr="002907BA" w:rsidRDefault="006A1EEB" w:rsidP="006A1EEB">
            <w:pPr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Řešení situace, kdy se posluchači baví mezi sebou</w:t>
            </w:r>
          </w:p>
        </w:tc>
      </w:tr>
      <w:tr w:rsidR="00C5261C" w:rsidRPr="00657142" w14:paraId="6FD07BF1" w14:textId="77777777" w:rsidTr="001931B7">
        <w:tc>
          <w:tcPr>
            <w:tcW w:w="9736" w:type="dxa"/>
            <w:shd w:val="clear" w:color="auto" w:fill="BEFF05"/>
          </w:tcPr>
          <w:p w14:paraId="50B2A0D2" w14:textId="0A7F22E7" w:rsidR="00C5261C" w:rsidRPr="00660271" w:rsidRDefault="00660271" w:rsidP="00EF3D90">
            <w:pPr>
              <w:jc w:val="center"/>
              <w:rPr>
                <w:rFonts w:ascii="Arial" w:hAnsi="Arial" w:cs="Arial"/>
                <w:b/>
              </w:rPr>
            </w:pPr>
            <w:r w:rsidRPr="00660271">
              <w:rPr>
                <w:rFonts w:ascii="Arial" w:hAnsi="Arial" w:cs="Arial"/>
                <w:b/>
              </w:rPr>
              <w:lastRenderedPageBreak/>
              <w:t>Úspěšné řízení organizace</w:t>
            </w:r>
          </w:p>
        </w:tc>
      </w:tr>
      <w:tr w:rsidR="00C5261C" w:rsidRPr="00657142" w14:paraId="3E67B589" w14:textId="77777777" w:rsidTr="001931B7">
        <w:tc>
          <w:tcPr>
            <w:tcW w:w="9736" w:type="dxa"/>
          </w:tcPr>
          <w:p w14:paraId="2C2FBCB8" w14:textId="6A8BE98B" w:rsidR="00C5261C" w:rsidRPr="002907BA" w:rsidRDefault="00BE5FAE" w:rsidP="00434993">
            <w:pPr>
              <w:jc w:val="center"/>
              <w:rPr>
                <w:rFonts w:ascii="Arial" w:hAnsi="Arial" w:cs="Arial"/>
              </w:rPr>
            </w:pPr>
            <w:r w:rsidRPr="002907BA">
              <w:rPr>
                <w:rFonts w:ascii="Arial" w:hAnsi="Arial" w:cs="Arial"/>
              </w:rPr>
              <w:t>Obsah kurzů</w:t>
            </w:r>
          </w:p>
        </w:tc>
      </w:tr>
      <w:tr w:rsidR="00C5261C" w:rsidRPr="00657142" w14:paraId="06A161DF" w14:textId="77777777" w:rsidTr="001931B7">
        <w:tc>
          <w:tcPr>
            <w:tcW w:w="9736" w:type="dxa"/>
          </w:tcPr>
          <w:p w14:paraId="2E4CF3AA" w14:textId="77777777" w:rsidR="00660271" w:rsidRPr="00562915" w:rsidRDefault="00660271" w:rsidP="00660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Cílem kurzu je poznat, jak dosáhnout většího úspěchu a lepších výsledků organizace, zvýšit efektivitu týmů, jak rozvíjet týmovou spolupráci a jak správně motivovat. Od kurzu se také očekává, že ukáže, jak si v týmu získat důvěru a autoritu.</w:t>
            </w:r>
          </w:p>
          <w:p w14:paraId="592C9C78" w14:textId="77777777" w:rsidR="00660271" w:rsidRPr="003D7501" w:rsidRDefault="00660271" w:rsidP="00660271">
            <w:pPr>
              <w:jc w:val="both"/>
              <w:rPr>
                <w:rFonts w:ascii="Arial" w:hAnsi="Arial" w:cs="Arial"/>
              </w:rPr>
            </w:pPr>
            <w:r w:rsidRPr="003D7501">
              <w:rPr>
                <w:rFonts w:ascii="Arial" w:hAnsi="Arial" w:cs="Arial"/>
              </w:rPr>
              <w:t>Klíčová témata ke kurzu:</w:t>
            </w:r>
          </w:p>
          <w:p w14:paraId="1F7B8E06" w14:textId="68B6A112" w:rsidR="00660271" w:rsidRPr="00D06365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Kdo je lídr? (</w:t>
            </w:r>
            <w:r w:rsidR="001931B7">
              <w:rPr>
                <w:rFonts w:ascii="Arial" w:hAnsi="Arial" w:cs="Arial"/>
              </w:rPr>
              <w:t>pravomoci</w:t>
            </w:r>
            <w:r>
              <w:rPr>
                <w:rFonts w:ascii="Arial" w:hAnsi="Arial" w:cs="Arial"/>
              </w:rPr>
              <w:t>, odpovědnost, autorita)</w:t>
            </w:r>
          </w:p>
          <w:p w14:paraId="62043B44" w14:textId="77777777" w:rsidR="00660271" w:rsidRPr="00D06365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Řízení a vedení (styly vedení, hodnocení, delegování)</w:t>
            </w:r>
          </w:p>
          <w:p w14:paraId="57629DA8" w14:textId="77777777" w:rsidR="00660271" w:rsidRPr="00D06365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Motivace (poznání svého týmu, druhy motivace, typologie osobnosti)</w:t>
            </w:r>
          </w:p>
          <w:p w14:paraId="7D471CD4" w14:textId="77777777" w:rsidR="00660271" w:rsidRPr="00D06365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Vedení porad (techniky, rozdělení rolí, časový plán)</w:t>
            </w:r>
          </w:p>
          <w:p w14:paraId="3B12F17C" w14:textId="77777777" w:rsidR="00660271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Komunikace (styly komunikace, verbální a neverbální komunikace, tok informací)</w:t>
            </w:r>
          </w:p>
          <w:p w14:paraId="2BAC28AE" w14:textId="60C6F178" w:rsidR="00B742F2" w:rsidRPr="00BE5FAE" w:rsidRDefault="00660271" w:rsidP="00660271">
            <w:pPr>
              <w:pStyle w:val="Odstavecseseznamem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Trénink rétoriky (umět zaujmout a přesvědčit, jak se zbavit ostychu)</w:t>
            </w:r>
          </w:p>
        </w:tc>
      </w:tr>
    </w:tbl>
    <w:p w14:paraId="1BC69C48" w14:textId="77777777" w:rsidR="00C5261C" w:rsidRPr="00657142" w:rsidRDefault="00C5261C" w:rsidP="00AC4472">
      <w:pPr>
        <w:rPr>
          <w:rFonts w:ascii="Arial" w:hAnsi="Arial" w:cs="Arial"/>
        </w:rPr>
      </w:pPr>
    </w:p>
    <w:sectPr w:rsidR="00C5261C" w:rsidRPr="00657142" w:rsidSect="00657142"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8DD18" w15:done="0"/>
  <w15:commentEx w15:paraId="00B31B4C" w15:done="0"/>
  <w15:commentEx w15:paraId="75A67F23" w15:done="0"/>
  <w15:commentEx w15:paraId="78ABA8D3" w15:done="0"/>
  <w15:commentEx w15:paraId="734848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586A" w14:textId="77777777" w:rsidR="004C1527" w:rsidRDefault="004C1527" w:rsidP="00657142">
      <w:pPr>
        <w:spacing w:after="0" w:line="240" w:lineRule="auto"/>
      </w:pPr>
      <w:r>
        <w:separator/>
      </w:r>
    </w:p>
  </w:endnote>
  <w:endnote w:type="continuationSeparator" w:id="0">
    <w:p w14:paraId="0B0149A0" w14:textId="77777777" w:rsidR="004C1527" w:rsidRDefault="004C1527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C03" w14:textId="77777777" w:rsidR="002B3C2C" w:rsidRDefault="002B3C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CA28" w14:textId="77777777" w:rsidR="002B3C2C" w:rsidRDefault="002B3C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AAED" w14:textId="77777777" w:rsidR="002B3C2C" w:rsidRDefault="002B3C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FDD1" w14:textId="77777777" w:rsidR="004C1527" w:rsidRDefault="004C1527" w:rsidP="00657142">
      <w:pPr>
        <w:spacing w:after="0" w:line="240" w:lineRule="auto"/>
      </w:pPr>
      <w:r>
        <w:separator/>
      </w:r>
    </w:p>
  </w:footnote>
  <w:footnote w:type="continuationSeparator" w:id="0">
    <w:p w14:paraId="7E37880B" w14:textId="77777777" w:rsidR="004C1527" w:rsidRDefault="004C1527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3EC59" w14:textId="77777777" w:rsidR="002B3C2C" w:rsidRDefault="002B3C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3717" w14:textId="34B68B1E" w:rsidR="00657142" w:rsidRDefault="00657142">
    <w:pPr>
      <w:pStyle w:val="Zhlav"/>
    </w:pPr>
    <w:r>
      <w:rPr>
        <w:noProof/>
        <w:lang w:eastAsia="cs-CZ"/>
      </w:rPr>
      <w:drawing>
        <wp:inline distT="0" distB="0" distL="0" distR="0" wp14:anchorId="5A03BF29" wp14:editId="5CC969C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BCA2" w14:textId="77777777" w:rsidR="002B3C2C" w:rsidRDefault="002B3C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864"/>
    <w:multiLevelType w:val="hybridMultilevel"/>
    <w:tmpl w:val="D5F0E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64A99"/>
    <w:multiLevelType w:val="multilevel"/>
    <w:tmpl w:val="123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71"/>
    <w:multiLevelType w:val="hybridMultilevel"/>
    <w:tmpl w:val="42E8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10F34"/>
    <w:multiLevelType w:val="multilevel"/>
    <w:tmpl w:val="D8A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E3B87"/>
    <w:multiLevelType w:val="hybridMultilevel"/>
    <w:tmpl w:val="C380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9525C"/>
    <w:multiLevelType w:val="hybridMultilevel"/>
    <w:tmpl w:val="D1F89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B21DF"/>
    <w:multiLevelType w:val="hybridMultilevel"/>
    <w:tmpl w:val="4470F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02DE0"/>
    <w:multiLevelType w:val="multilevel"/>
    <w:tmpl w:val="47F8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6D71CB"/>
    <w:multiLevelType w:val="hybridMultilevel"/>
    <w:tmpl w:val="9DE4D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3609A1"/>
    <w:multiLevelType w:val="hybridMultilevel"/>
    <w:tmpl w:val="4A04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94019"/>
    <w:multiLevelType w:val="hybridMultilevel"/>
    <w:tmpl w:val="6F128A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807DC0"/>
    <w:multiLevelType w:val="multilevel"/>
    <w:tmpl w:val="FE68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A572D3"/>
    <w:multiLevelType w:val="hybridMultilevel"/>
    <w:tmpl w:val="AC5EF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64372"/>
    <w:multiLevelType w:val="multilevel"/>
    <w:tmpl w:val="40D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C5378C"/>
    <w:multiLevelType w:val="multilevel"/>
    <w:tmpl w:val="71C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3A087D"/>
    <w:multiLevelType w:val="multilevel"/>
    <w:tmpl w:val="8CF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3D458E"/>
    <w:multiLevelType w:val="hybridMultilevel"/>
    <w:tmpl w:val="3B885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AE016C"/>
    <w:multiLevelType w:val="hybridMultilevel"/>
    <w:tmpl w:val="8BC47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D1108"/>
    <w:multiLevelType w:val="hybridMultilevel"/>
    <w:tmpl w:val="28DCD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3672D6"/>
    <w:multiLevelType w:val="multilevel"/>
    <w:tmpl w:val="97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303056"/>
    <w:multiLevelType w:val="multilevel"/>
    <w:tmpl w:val="38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C2537A"/>
    <w:multiLevelType w:val="multilevel"/>
    <w:tmpl w:val="6A6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1A2E0E"/>
    <w:multiLevelType w:val="multilevel"/>
    <w:tmpl w:val="22A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58157B"/>
    <w:multiLevelType w:val="multilevel"/>
    <w:tmpl w:val="80C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756E1C"/>
    <w:multiLevelType w:val="hybridMultilevel"/>
    <w:tmpl w:val="E3828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7A0F62"/>
    <w:multiLevelType w:val="multilevel"/>
    <w:tmpl w:val="B2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387771"/>
    <w:multiLevelType w:val="hybridMultilevel"/>
    <w:tmpl w:val="FA7C3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E62C5"/>
    <w:multiLevelType w:val="hybridMultilevel"/>
    <w:tmpl w:val="BF6C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E6449C"/>
    <w:multiLevelType w:val="multilevel"/>
    <w:tmpl w:val="9A0A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0EF0780"/>
    <w:multiLevelType w:val="multilevel"/>
    <w:tmpl w:val="D852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17C2820"/>
    <w:multiLevelType w:val="hybridMultilevel"/>
    <w:tmpl w:val="084EE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9A6D38"/>
    <w:multiLevelType w:val="multilevel"/>
    <w:tmpl w:val="88C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D20CE6"/>
    <w:multiLevelType w:val="hybridMultilevel"/>
    <w:tmpl w:val="1CD0B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E21FD1"/>
    <w:multiLevelType w:val="hybridMultilevel"/>
    <w:tmpl w:val="17D82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CE036A"/>
    <w:multiLevelType w:val="multilevel"/>
    <w:tmpl w:val="3DB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D36CE3"/>
    <w:multiLevelType w:val="hybridMultilevel"/>
    <w:tmpl w:val="0CFA5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4247D3"/>
    <w:multiLevelType w:val="hybridMultilevel"/>
    <w:tmpl w:val="4AF65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6A1767"/>
    <w:multiLevelType w:val="multilevel"/>
    <w:tmpl w:val="10A2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03358A"/>
    <w:multiLevelType w:val="hybridMultilevel"/>
    <w:tmpl w:val="399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3F6F63"/>
    <w:multiLevelType w:val="multilevel"/>
    <w:tmpl w:val="DBF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2969DC"/>
    <w:multiLevelType w:val="multilevel"/>
    <w:tmpl w:val="C4F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97681F"/>
    <w:multiLevelType w:val="hybridMultilevel"/>
    <w:tmpl w:val="96525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97779E"/>
    <w:multiLevelType w:val="hybridMultilevel"/>
    <w:tmpl w:val="8868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122FC1"/>
    <w:multiLevelType w:val="multilevel"/>
    <w:tmpl w:val="96F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57589E"/>
    <w:multiLevelType w:val="multilevel"/>
    <w:tmpl w:val="F69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C54E54"/>
    <w:multiLevelType w:val="hybridMultilevel"/>
    <w:tmpl w:val="8348E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BD3DDE"/>
    <w:multiLevelType w:val="multilevel"/>
    <w:tmpl w:val="714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9F0D59"/>
    <w:multiLevelType w:val="hybridMultilevel"/>
    <w:tmpl w:val="98907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B9637C"/>
    <w:multiLevelType w:val="multilevel"/>
    <w:tmpl w:val="B63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9FE2D53"/>
    <w:multiLevelType w:val="hybridMultilevel"/>
    <w:tmpl w:val="1EE82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A77B9A"/>
    <w:multiLevelType w:val="hybridMultilevel"/>
    <w:tmpl w:val="2DBCE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26109F"/>
    <w:multiLevelType w:val="multilevel"/>
    <w:tmpl w:val="BB6C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D70901"/>
    <w:multiLevelType w:val="hybridMultilevel"/>
    <w:tmpl w:val="15282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1D7D06"/>
    <w:multiLevelType w:val="hybridMultilevel"/>
    <w:tmpl w:val="5130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957802"/>
    <w:multiLevelType w:val="multilevel"/>
    <w:tmpl w:val="8E88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9017BE"/>
    <w:multiLevelType w:val="multilevel"/>
    <w:tmpl w:val="143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E6759A"/>
    <w:multiLevelType w:val="multilevel"/>
    <w:tmpl w:val="BD3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0F319AF"/>
    <w:multiLevelType w:val="multilevel"/>
    <w:tmpl w:val="15C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1817B3"/>
    <w:multiLevelType w:val="multilevel"/>
    <w:tmpl w:val="E19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735D88"/>
    <w:multiLevelType w:val="multilevel"/>
    <w:tmpl w:val="DE16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4E277D5"/>
    <w:multiLevelType w:val="hybridMultilevel"/>
    <w:tmpl w:val="1896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332732"/>
    <w:multiLevelType w:val="multilevel"/>
    <w:tmpl w:val="CD6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9A52854"/>
    <w:multiLevelType w:val="multilevel"/>
    <w:tmpl w:val="B9E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9A81E03"/>
    <w:multiLevelType w:val="multilevel"/>
    <w:tmpl w:val="3E4E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BB67847"/>
    <w:multiLevelType w:val="hybridMultilevel"/>
    <w:tmpl w:val="2DF0D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1106A5"/>
    <w:multiLevelType w:val="multilevel"/>
    <w:tmpl w:val="2BD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440522"/>
    <w:multiLevelType w:val="hybridMultilevel"/>
    <w:tmpl w:val="32765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EF8746E"/>
    <w:multiLevelType w:val="multilevel"/>
    <w:tmpl w:val="C93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1E15C6"/>
    <w:multiLevelType w:val="multilevel"/>
    <w:tmpl w:val="0F4C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6C5D35"/>
    <w:multiLevelType w:val="hybridMultilevel"/>
    <w:tmpl w:val="138E9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3C04B71"/>
    <w:multiLevelType w:val="hybridMultilevel"/>
    <w:tmpl w:val="C0E2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EF66EA"/>
    <w:multiLevelType w:val="hybridMultilevel"/>
    <w:tmpl w:val="F9A8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305F14"/>
    <w:multiLevelType w:val="multilevel"/>
    <w:tmpl w:val="826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9E52BE0"/>
    <w:multiLevelType w:val="multilevel"/>
    <w:tmpl w:val="E47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CDD731D"/>
    <w:multiLevelType w:val="hybridMultilevel"/>
    <w:tmpl w:val="E556C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F80F5A"/>
    <w:multiLevelType w:val="multilevel"/>
    <w:tmpl w:val="50D6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9"/>
  </w:num>
  <w:num w:numId="2">
    <w:abstractNumId w:val="30"/>
  </w:num>
  <w:num w:numId="3">
    <w:abstractNumId w:val="33"/>
  </w:num>
  <w:num w:numId="4">
    <w:abstractNumId w:val="71"/>
  </w:num>
  <w:num w:numId="5">
    <w:abstractNumId w:val="32"/>
  </w:num>
  <w:num w:numId="6">
    <w:abstractNumId w:val="53"/>
  </w:num>
  <w:num w:numId="7">
    <w:abstractNumId w:val="74"/>
  </w:num>
  <w:num w:numId="8">
    <w:abstractNumId w:val="12"/>
  </w:num>
  <w:num w:numId="9">
    <w:abstractNumId w:val="45"/>
  </w:num>
  <w:num w:numId="10">
    <w:abstractNumId w:val="0"/>
  </w:num>
  <w:num w:numId="11">
    <w:abstractNumId w:val="38"/>
  </w:num>
  <w:num w:numId="12">
    <w:abstractNumId w:val="22"/>
  </w:num>
  <w:num w:numId="13">
    <w:abstractNumId w:val="46"/>
  </w:num>
  <w:num w:numId="14">
    <w:abstractNumId w:val="55"/>
  </w:num>
  <w:num w:numId="15">
    <w:abstractNumId w:val="20"/>
  </w:num>
  <w:num w:numId="16">
    <w:abstractNumId w:val="73"/>
  </w:num>
  <w:num w:numId="17">
    <w:abstractNumId w:val="72"/>
  </w:num>
  <w:num w:numId="18">
    <w:abstractNumId w:val="43"/>
  </w:num>
  <w:num w:numId="19">
    <w:abstractNumId w:val="59"/>
  </w:num>
  <w:num w:numId="20">
    <w:abstractNumId w:val="57"/>
  </w:num>
  <w:num w:numId="21">
    <w:abstractNumId w:val="11"/>
  </w:num>
  <w:num w:numId="22">
    <w:abstractNumId w:val="23"/>
  </w:num>
  <w:num w:numId="23">
    <w:abstractNumId w:val="34"/>
  </w:num>
  <w:num w:numId="24">
    <w:abstractNumId w:val="14"/>
  </w:num>
  <w:num w:numId="25">
    <w:abstractNumId w:val="40"/>
  </w:num>
  <w:num w:numId="26">
    <w:abstractNumId w:val="18"/>
  </w:num>
  <w:num w:numId="27">
    <w:abstractNumId w:val="28"/>
  </w:num>
  <w:num w:numId="28">
    <w:abstractNumId w:val="68"/>
  </w:num>
  <w:num w:numId="29">
    <w:abstractNumId w:val="19"/>
  </w:num>
  <w:num w:numId="30">
    <w:abstractNumId w:val="61"/>
  </w:num>
  <w:num w:numId="31">
    <w:abstractNumId w:val="13"/>
  </w:num>
  <w:num w:numId="32">
    <w:abstractNumId w:val="9"/>
  </w:num>
  <w:num w:numId="33">
    <w:abstractNumId w:val="60"/>
  </w:num>
  <w:num w:numId="34">
    <w:abstractNumId w:val="29"/>
  </w:num>
  <w:num w:numId="35">
    <w:abstractNumId w:val="1"/>
  </w:num>
  <w:num w:numId="36">
    <w:abstractNumId w:val="25"/>
  </w:num>
  <w:num w:numId="37">
    <w:abstractNumId w:val="51"/>
  </w:num>
  <w:num w:numId="38">
    <w:abstractNumId w:val="58"/>
  </w:num>
  <w:num w:numId="39">
    <w:abstractNumId w:val="39"/>
  </w:num>
  <w:num w:numId="40">
    <w:abstractNumId w:val="54"/>
  </w:num>
  <w:num w:numId="41">
    <w:abstractNumId w:val="31"/>
  </w:num>
  <w:num w:numId="42">
    <w:abstractNumId w:val="3"/>
  </w:num>
  <w:num w:numId="43">
    <w:abstractNumId w:val="21"/>
  </w:num>
  <w:num w:numId="44">
    <w:abstractNumId w:val="24"/>
  </w:num>
  <w:num w:numId="45">
    <w:abstractNumId w:val="47"/>
  </w:num>
  <w:num w:numId="46">
    <w:abstractNumId w:val="44"/>
  </w:num>
  <w:num w:numId="47">
    <w:abstractNumId w:val="65"/>
  </w:num>
  <w:num w:numId="48">
    <w:abstractNumId w:val="7"/>
  </w:num>
  <w:num w:numId="49">
    <w:abstractNumId w:val="67"/>
  </w:num>
  <w:num w:numId="50">
    <w:abstractNumId w:val="35"/>
  </w:num>
  <w:num w:numId="51">
    <w:abstractNumId w:val="8"/>
  </w:num>
  <w:num w:numId="52">
    <w:abstractNumId w:val="64"/>
  </w:num>
  <w:num w:numId="53">
    <w:abstractNumId w:val="41"/>
  </w:num>
  <w:num w:numId="54">
    <w:abstractNumId w:val="6"/>
  </w:num>
  <w:num w:numId="55">
    <w:abstractNumId w:val="2"/>
  </w:num>
  <w:num w:numId="56">
    <w:abstractNumId w:val="17"/>
  </w:num>
  <w:num w:numId="57">
    <w:abstractNumId w:val="15"/>
  </w:num>
  <w:num w:numId="58">
    <w:abstractNumId w:val="37"/>
  </w:num>
  <w:num w:numId="59">
    <w:abstractNumId w:val="62"/>
  </w:num>
  <w:num w:numId="60">
    <w:abstractNumId w:val="63"/>
  </w:num>
  <w:num w:numId="61">
    <w:abstractNumId w:val="66"/>
  </w:num>
  <w:num w:numId="62">
    <w:abstractNumId w:val="5"/>
  </w:num>
  <w:num w:numId="63">
    <w:abstractNumId w:val="50"/>
  </w:num>
  <w:num w:numId="64">
    <w:abstractNumId w:val="26"/>
  </w:num>
  <w:num w:numId="65">
    <w:abstractNumId w:val="36"/>
  </w:num>
  <w:num w:numId="66">
    <w:abstractNumId w:val="70"/>
  </w:num>
  <w:num w:numId="67">
    <w:abstractNumId w:val="56"/>
  </w:num>
  <w:num w:numId="68">
    <w:abstractNumId w:val="75"/>
  </w:num>
  <w:num w:numId="69">
    <w:abstractNumId w:val="48"/>
  </w:num>
  <w:num w:numId="70">
    <w:abstractNumId w:val="27"/>
  </w:num>
  <w:num w:numId="71">
    <w:abstractNumId w:val="4"/>
  </w:num>
  <w:num w:numId="72">
    <w:abstractNumId w:val="16"/>
  </w:num>
  <w:num w:numId="73">
    <w:abstractNumId w:val="52"/>
  </w:num>
  <w:num w:numId="74">
    <w:abstractNumId w:val="42"/>
  </w:num>
  <w:num w:numId="75">
    <w:abstractNumId w:val="10"/>
  </w:num>
  <w:num w:numId="76">
    <w:abstractNumId w:val="49"/>
  </w:num>
  <w:numIdMacAtCleanup w:val="7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Trnková">
    <w15:presenceInfo w15:providerId="Windows Live" w15:userId="00ff9184151b5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C"/>
    <w:rsid w:val="000062F1"/>
    <w:rsid w:val="000353CC"/>
    <w:rsid w:val="000549AE"/>
    <w:rsid w:val="00071BAD"/>
    <w:rsid w:val="0008503A"/>
    <w:rsid w:val="000B5A7A"/>
    <w:rsid w:val="000C1624"/>
    <w:rsid w:val="000F2493"/>
    <w:rsid w:val="0012761E"/>
    <w:rsid w:val="001560A6"/>
    <w:rsid w:val="001628DC"/>
    <w:rsid w:val="00167066"/>
    <w:rsid w:val="00184805"/>
    <w:rsid w:val="001931B7"/>
    <w:rsid w:val="001F1AE1"/>
    <w:rsid w:val="001F4512"/>
    <w:rsid w:val="001F7FD2"/>
    <w:rsid w:val="0020433C"/>
    <w:rsid w:val="00230CAE"/>
    <w:rsid w:val="00234142"/>
    <w:rsid w:val="002752A2"/>
    <w:rsid w:val="002907BA"/>
    <w:rsid w:val="002A22DD"/>
    <w:rsid w:val="002B3C2C"/>
    <w:rsid w:val="002C453C"/>
    <w:rsid w:val="002E0912"/>
    <w:rsid w:val="002F7836"/>
    <w:rsid w:val="0033588C"/>
    <w:rsid w:val="003852F7"/>
    <w:rsid w:val="003A1A70"/>
    <w:rsid w:val="003A51A3"/>
    <w:rsid w:val="004021D0"/>
    <w:rsid w:val="004038DD"/>
    <w:rsid w:val="00405684"/>
    <w:rsid w:val="00434993"/>
    <w:rsid w:val="00437E0A"/>
    <w:rsid w:val="00443FF9"/>
    <w:rsid w:val="004B4701"/>
    <w:rsid w:val="004C1527"/>
    <w:rsid w:val="004C1AFC"/>
    <w:rsid w:val="004E36DC"/>
    <w:rsid w:val="004E3E05"/>
    <w:rsid w:val="004E6829"/>
    <w:rsid w:val="0051543D"/>
    <w:rsid w:val="00536AD6"/>
    <w:rsid w:val="00561DF3"/>
    <w:rsid w:val="00572F65"/>
    <w:rsid w:val="0058189F"/>
    <w:rsid w:val="006133AD"/>
    <w:rsid w:val="00627DBD"/>
    <w:rsid w:val="00637E88"/>
    <w:rsid w:val="00652B50"/>
    <w:rsid w:val="00657142"/>
    <w:rsid w:val="00660271"/>
    <w:rsid w:val="00664A01"/>
    <w:rsid w:val="006946FD"/>
    <w:rsid w:val="006A1EEB"/>
    <w:rsid w:val="006A4BEE"/>
    <w:rsid w:val="006E1E31"/>
    <w:rsid w:val="0072345D"/>
    <w:rsid w:val="00743DD8"/>
    <w:rsid w:val="00776020"/>
    <w:rsid w:val="0083571E"/>
    <w:rsid w:val="00857E3E"/>
    <w:rsid w:val="00890ED1"/>
    <w:rsid w:val="008B4AB5"/>
    <w:rsid w:val="008C35DD"/>
    <w:rsid w:val="008C413C"/>
    <w:rsid w:val="009136A3"/>
    <w:rsid w:val="00965BE8"/>
    <w:rsid w:val="009B5518"/>
    <w:rsid w:val="00A63BC5"/>
    <w:rsid w:val="00A671AE"/>
    <w:rsid w:val="00A7540D"/>
    <w:rsid w:val="00A802F7"/>
    <w:rsid w:val="00A925A0"/>
    <w:rsid w:val="00AA1199"/>
    <w:rsid w:val="00AA6528"/>
    <w:rsid w:val="00AC4472"/>
    <w:rsid w:val="00B01702"/>
    <w:rsid w:val="00B45E27"/>
    <w:rsid w:val="00B742F2"/>
    <w:rsid w:val="00BA0757"/>
    <w:rsid w:val="00BA3703"/>
    <w:rsid w:val="00BE5FAE"/>
    <w:rsid w:val="00BF54C9"/>
    <w:rsid w:val="00C44433"/>
    <w:rsid w:val="00C5261C"/>
    <w:rsid w:val="00C9754D"/>
    <w:rsid w:val="00D55FEE"/>
    <w:rsid w:val="00DA3190"/>
    <w:rsid w:val="00DC0148"/>
    <w:rsid w:val="00DD0DA9"/>
    <w:rsid w:val="00DF0C87"/>
    <w:rsid w:val="00E036F6"/>
    <w:rsid w:val="00E21186"/>
    <w:rsid w:val="00E833FB"/>
    <w:rsid w:val="00E959DD"/>
    <w:rsid w:val="00EB013A"/>
    <w:rsid w:val="00EB79D5"/>
    <w:rsid w:val="00ED648D"/>
    <w:rsid w:val="00EF3D90"/>
    <w:rsid w:val="00F21504"/>
    <w:rsid w:val="00FA19EA"/>
    <w:rsid w:val="00FC65C8"/>
    <w:rsid w:val="00FD16EE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ACB6-7BE8-49D8-86D7-DA74F0A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2016-11-03T07:25:00Z</dcterms:created>
  <dcterms:modified xsi:type="dcterms:W3CDTF">2016-11-03T07:25:00Z</dcterms:modified>
</cp:coreProperties>
</file>