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6F7239" w:rsidP="006F7239" w:rsidRDefault="006F7239" w14:paraId="7D6099CB" w14:textId="77777777">
      <w:pPr>
        <w:jc w:val="both"/>
      </w:pPr>
      <w:r w:rsidRPr="006F7239">
        <w:rPr>
          <w:b/>
        </w:rPr>
        <w:t>Časté chyby příjemců v ZoR a ŽoP</w:t>
      </w:r>
    </w:p>
    <w:p w:rsidR="006F7239" w:rsidP="006F7239" w:rsidRDefault="006F7239" w14:paraId="7DF8F03C" w14:textId="77777777">
      <w:pPr>
        <w:keepNext/>
        <w:jc w:val="both"/>
      </w:pPr>
      <w:r>
        <w:t>ZoR:</w:t>
      </w:r>
    </w:p>
    <w:p w:rsidR="006F7239" w:rsidP="006F7239" w:rsidRDefault="00792DF5" w14:paraId="522538CA" w14:textId="77777777">
      <w:pPr>
        <w:pStyle w:val="Odstavecseseznamem"/>
        <w:numPr>
          <w:ilvl w:val="0"/>
          <w:numId w:val="1"/>
        </w:numPr>
        <w:jc w:val="both"/>
      </w:pPr>
      <w:r>
        <w:t>Nejsou dostatečně popsány klíčové aktivity, není jasný postup realizace, chybí informace o vzdělávacích akcích (jak dlouho se konaly, kolik lidí bylo proškoleno atd.)</w:t>
      </w:r>
      <w:r w:rsidR="000F5397">
        <w:t>, zapojení realizačního týmu</w:t>
      </w:r>
    </w:p>
    <w:p w:rsidR="00792DF5" w:rsidP="006F7239" w:rsidRDefault="00792DF5" w14:paraId="7900751F" w14:textId="77777777">
      <w:pPr>
        <w:pStyle w:val="Odstavecseseznamem"/>
        <w:numPr>
          <w:ilvl w:val="0"/>
          <w:numId w:val="1"/>
        </w:numPr>
        <w:jc w:val="both"/>
      </w:pPr>
      <w:r>
        <w:t>Indikátory</w:t>
      </w:r>
    </w:p>
    <w:p w:rsidR="00792DF5" w:rsidP="00792DF5" w:rsidRDefault="00792DF5" w14:paraId="219A1B01" w14:textId="77777777">
      <w:pPr>
        <w:pStyle w:val="Odstavecseseznamem"/>
        <w:numPr>
          <w:ilvl w:val="1"/>
          <w:numId w:val="1"/>
        </w:numPr>
        <w:jc w:val="both"/>
      </w:pPr>
      <w:r>
        <w:t xml:space="preserve">U </w:t>
      </w:r>
      <w:r w:rsidR="00080A7F">
        <w:t>přírůstkových hodnot chybí komentář</w:t>
      </w:r>
    </w:p>
    <w:p w:rsidR="002E182C" w:rsidP="002E182C" w:rsidRDefault="00080A7F" w14:paraId="300AA8D7" w14:textId="77777777">
      <w:pPr>
        <w:pStyle w:val="Odstavecseseznamem"/>
        <w:numPr>
          <w:ilvl w:val="1"/>
          <w:numId w:val="1"/>
        </w:numPr>
        <w:jc w:val="both"/>
      </w:pPr>
      <w:r>
        <w:t xml:space="preserve">Chybí indikátory týkající se účastníků – v ZoR se uvádějí </w:t>
      </w:r>
      <w:r w:rsidRPr="00080A7F">
        <w:rPr>
          <w:b/>
        </w:rPr>
        <w:t>vždy</w:t>
      </w:r>
      <w:r>
        <w:t xml:space="preserve">, i v případě nulové přírůstkové hodnoty (v takovém případě k nim není nutný komentář); naproti tomu indikátory 8 05 00 a 6 80 00 se vykazují pouze v případě </w:t>
      </w:r>
      <w:r w:rsidRPr="00080A7F">
        <w:rPr>
          <w:b/>
        </w:rPr>
        <w:t>nenulové</w:t>
      </w:r>
      <w:r>
        <w:t xml:space="preserve"> přírůstkové hodnoty</w:t>
      </w:r>
    </w:p>
    <w:p w:rsidR="002E182C" w:rsidP="002E182C" w:rsidRDefault="002E182C" w14:paraId="23FC11C8" w14:textId="77777777">
      <w:pPr>
        <w:pStyle w:val="Odstavecseseznamem"/>
        <w:numPr>
          <w:ilvl w:val="1"/>
          <w:numId w:val="1"/>
        </w:numPr>
        <w:jc w:val="both"/>
      </w:pPr>
      <w:r>
        <w:t>Příjemci se zapomínají v úvodu zaregistrovat do IS ESF, propadne tak platnost aktivačních kódů, do IS ESF se zaznamenávají informace o podporách poskytnutých účastníkům, bez záznamu v IS ESF nelze v IS KP14+ vykázat přírůstkové hodnoty</w:t>
      </w:r>
    </w:p>
    <w:p w:rsidR="00080A7F" w:rsidP="00080A7F" w:rsidRDefault="006A164A" w14:paraId="1842D8AF" w14:textId="77777777">
      <w:pPr>
        <w:pStyle w:val="Odstavecseseznamem"/>
        <w:numPr>
          <w:ilvl w:val="0"/>
          <w:numId w:val="1"/>
        </w:numPr>
        <w:jc w:val="both"/>
      </w:pPr>
      <w:r>
        <w:t>V modulu</w:t>
      </w:r>
      <w:r w:rsidR="000F5397">
        <w:t xml:space="preserve"> veřejné zakázky</w:t>
      </w:r>
      <w:r w:rsidR="00E316CE">
        <w:t xml:space="preserve"> často chybí aktualizované informace, pokud dojde k pokroku v zakázce, příjemce by to měl promítnout a v ZoR změnit stav zakázky podle stádia, ve kterém se zakáz</w:t>
      </w:r>
      <w:r>
        <w:t>ka nachází</w:t>
      </w:r>
    </w:p>
    <w:p w:rsidR="00747E9C" w:rsidP="00080A7F" w:rsidRDefault="00747E9C" w14:paraId="577F7FCC" w14:textId="77777777">
      <w:pPr>
        <w:pStyle w:val="Odstavecseseznamem"/>
        <w:numPr>
          <w:ilvl w:val="0"/>
          <w:numId w:val="1"/>
        </w:numPr>
        <w:jc w:val="both"/>
      </w:pPr>
      <w:r>
        <w:t>Pokud se příjemce potýká s nějakými problémy, měl by o nich v rámci ZoR informovat v záložce Identifikace problému, příjemci tuto záložku často opomíjejí, není to vyloženě chyba, problémy a popis jejich řešení by ale měly být zachyceny zde</w:t>
      </w:r>
    </w:p>
    <w:p w:rsidR="00747E9C" w:rsidP="00080A7F" w:rsidRDefault="00747E9C" w14:paraId="5156A739" w14:textId="77777777">
      <w:pPr>
        <w:pStyle w:val="Odstavecseseznamem"/>
        <w:numPr>
          <w:ilvl w:val="0"/>
          <w:numId w:val="1"/>
        </w:numPr>
        <w:jc w:val="both"/>
      </w:pPr>
      <w:r>
        <w:t>I když je předložena ŽoP s nulovým vyúčtováním, pro vyplnění ZoR platí ste</w:t>
      </w:r>
      <w:r w:rsidR="00D15059">
        <w:t>jné požadavky jako v případě, kdy je odevzdána ŽoP s nenulovým vyúčtováním; v těchto případech doporučujeme vyplnit záložku Identifikace problému, kde vysvětlíte důvod nulového vyúčtování</w:t>
      </w:r>
    </w:p>
    <w:p w:rsidR="00541DC3" w:rsidP="00080A7F" w:rsidRDefault="00277CA7" w14:paraId="045A280D" w14:textId="09D1B665">
      <w:pPr>
        <w:pStyle w:val="Odstavecseseznamem"/>
        <w:numPr>
          <w:ilvl w:val="0"/>
          <w:numId w:val="1"/>
        </w:numPr>
        <w:jc w:val="both"/>
      </w:pPr>
      <w:r>
        <w:t>Chybí čestné prohlášení v</w:t>
      </w:r>
      <w:r w:rsidR="00A664B6">
        <w:t> </w:t>
      </w:r>
      <w:r>
        <w:t>ZoR</w:t>
      </w:r>
    </w:p>
    <w:p w:rsidR="00A664B6" w:rsidP="00080A7F" w:rsidRDefault="00A664B6" w14:paraId="638E22BC" w14:textId="2CA981E0">
      <w:pPr>
        <w:pStyle w:val="Odstavecseseznamem"/>
        <w:numPr>
          <w:ilvl w:val="0"/>
          <w:numId w:val="1"/>
        </w:numPr>
        <w:jc w:val="both"/>
      </w:pPr>
      <w:r>
        <w:t>Není</w:t>
      </w:r>
      <w:r w:rsidR="00F74C48">
        <w:t xml:space="preserve"> uveden záznam o</w:t>
      </w:r>
      <w:r>
        <w:t xml:space="preserve"> plnění povinných prvků publicity (plakát a umístění povinných prvků) na záložce publicita</w:t>
      </w:r>
      <w:bookmarkStart w:name="_GoBack" w:id="0"/>
      <w:bookmarkEnd w:id="0"/>
    </w:p>
    <w:p w:rsidR="00D73616" w:rsidP="00D73616" w:rsidRDefault="00D73616" w14:paraId="6E1334E9" w14:textId="77777777">
      <w:pPr>
        <w:pStyle w:val="Odstavecseseznamem"/>
        <w:jc w:val="both"/>
      </w:pPr>
    </w:p>
    <w:p w:rsidR="00D15059" w:rsidP="00D15059" w:rsidRDefault="00D15059" w14:paraId="11BF353F" w14:textId="77777777">
      <w:pPr>
        <w:jc w:val="both"/>
      </w:pPr>
      <w:r>
        <w:t>ŽoP:</w:t>
      </w:r>
    </w:p>
    <w:p w:rsidR="00BD5CE5" w:rsidP="006A164A" w:rsidRDefault="00D15059" w14:paraId="6F6A600A" w14:textId="77777777">
      <w:pPr>
        <w:pStyle w:val="Odstavecseseznamem"/>
        <w:numPr>
          <w:ilvl w:val="0"/>
          <w:numId w:val="1"/>
        </w:numPr>
        <w:jc w:val="both"/>
      </w:pPr>
      <w:r>
        <w:t>Špatně vyplněna částka na krytí výdajů, tj. požadovaná záloha</w:t>
      </w:r>
      <w:r w:rsidR="00BD5CE5">
        <w:t>; v prvních ŽoP je totožná s celkovým vyúčtováním; v dalších ŽoP si musí</w:t>
      </w:r>
      <w:r w:rsidR="00541DC3">
        <w:t xml:space="preserve"> příjemce</w:t>
      </w:r>
      <w:r w:rsidR="00BD5CE5">
        <w:t xml:space="preserve"> hlídat, zda už mu nebyla proplacena výše celé dotace, prostředky nad stanovenou výši celkových způsobilých výdajů požadovat nemůže</w:t>
      </w:r>
    </w:p>
    <w:p w:rsidR="00DD4D01" w:rsidP="006A164A" w:rsidRDefault="00DD4D01" w14:paraId="323F71AC" w14:textId="2A1534B2">
      <w:pPr>
        <w:pStyle w:val="Odstavecseseznamem"/>
        <w:numPr>
          <w:ilvl w:val="0"/>
          <w:numId w:val="1"/>
        </w:numPr>
        <w:jc w:val="both"/>
      </w:pPr>
      <w:r>
        <w:t>V průběžných ŽoP jsou nárokovány také investiční výdaje, přitom všechny výdaje na investice jsou proplaceny již v první zálohové ŽoP. Další výdaje jsou tedy propláceny jako neinvestiční. Pokud např. je v ŽoP vyúčtováno 100 000 jako investice a 100 000 jako neinvetice, příjemce vyplní zadá do pole Částka na krytí výdajů neinvestice 200 000 a do investic 0.</w:t>
      </w:r>
    </w:p>
    <w:p w:rsidR="002B4C97" w:rsidP="002B4C97" w:rsidRDefault="00541DC3" w14:paraId="5EF35BA3" w14:textId="77777777">
      <w:pPr>
        <w:pStyle w:val="Odstavecseseznamem"/>
        <w:numPr>
          <w:ilvl w:val="0"/>
          <w:numId w:val="1"/>
        </w:numPr>
        <w:jc w:val="both"/>
      </w:pPr>
      <w:r>
        <w:t>Chyby v pracovních výkazech, jsou zde činnosti spadající do NN, chybně uvedené údaje, příjemci předkládají pracovní výkazy, i když je předkládat nemusí, příjemcům doporučujeme kontaktovat projektového manažera a dohodnout se s ním, u kterých pozic je nutné pracovní výkaz dokláda</w:t>
      </w:r>
      <w:r w:rsidR="002B4C97">
        <w:t>t; předkládat ho nemusí:</w:t>
      </w:r>
    </w:p>
    <w:p w:rsidR="002B4C97" w:rsidP="002B4C97" w:rsidRDefault="002B4C97" w14:paraId="390F6DBB" w14:textId="77777777">
      <w:pPr>
        <w:pStyle w:val="Odstavecseseznamem"/>
        <w:numPr>
          <w:ilvl w:val="1"/>
          <w:numId w:val="1"/>
        </w:numPr>
        <w:jc w:val="both"/>
      </w:pPr>
      <w:r>
        <w:lastRenderedPageBreak/>
        <w:t>Lidé se samostatnou smlouvou nebo dohodou pro projekt, jejíž náplň zahrnuje výhradně činnosti spadající do přímých nákladů; jakmile je náznak nepřímých nákladů, pracovní výkaz musí být doložen.</w:t>
      </w:r>
    </w:p>
    <w:p w:rsidR="002B4C97" w:rsidP="00C74408" w:rsidRDefault="00C74408" w14:paraId="1FF17FE5" w14:textId="77777777">
      <w:pPr>
        <w:pStyle w:val="Odstavecseseznamem"/>
        <w:numPr>
          <w:ilvl w:val="1"/>
          <w:numId w:val="1"/>
        </w:numPr>
        <w:jc w:val="both"/>
      </w:pPr>
      <w:r>
        <w:t xml:space="preserve">Se ZoR by příjemce měl dodat Přehled členů realizačního týmu, kde bude uveden aktuální přehled činností a který slouží k rozhodnutí, zda pracovní výkaz vyžadovat. Dostupný je zde pod prezentací </w:t>
      </w:r>
      <w:hyperlink w:history="true" r:id="rId9">
        <w:r w:rsidRPr="00484F09">
          <w:rPr>
            <w:rStyle w:val="Hypertextovodkaz"/>
          </w:rPr>
          <w:t>https://www.esfcr.cz/vyzva-033-opz</w:t>
        </w:r>
      </w:hyperlink>
      <w:r>
        <w:t xml:space="preserve"> Bude i u semináře pro p</w:t>
      </w:r>
      <w:r w:rsidR="000F5397">
        <w:t>říjemce z výzev 58 a</w:t>
      </w:r>
      <w:r>
        <w:t xml:space="preserve"> 117.</w:t>
      </w:r>
    </w:p>
    <w:p w:rsidR="00C74408" w:rsidP="00C74408" w:rsidRDefault="00C74408" w14:paraId="0EC42952" w14:textId="77777777">
      <w:pPr>
        <w:pStyle w:val="Odstavecseseznamem"/>
        <w:numPr>
          <w:ilvl w:val="1"/>
          <w:numId w:val="1"/>
        </w:numPr>
        <w:jc w:val="both"/>
      </w:pPr>
      <w:r>
        <w:t>Pracovní výkazy musí vždy předkládat lidé hrazeni z cílových odměn (nulové pozice)</w:t>
      </w:r>
    </w:p>
    <w:p w:rsidR="00277CA7" w:rsidP="00D15059" w:rsidRDefault="000F5397" w14:paraId="1671D9F3" w14:textId="77777777">
      <w:pPr>
        <w:pStyle w:val="Odstavecseseznamem"/>
        <w:numPr>
          <w:ilvl w:val="0"/>
          <w:numId w:val="1"/>
        </w:numPr>
        <w:jc w:val="both"/>
      </w:pPr>
      <w:r>
        <w:t>příjemci</w:t>
      </w:r>
      <w:r w:rsidR="00277CA7">
        <w:t xml:space="preserve"> zapomínají v ŽoP vybrat relevantní čestné prohlášení a zaškrtnout souhlas; nezaměňovat s čestným prohlášením v ZoR; čestné prohlášení musí být vybráno i v případě ŽoP s nulovým vyúčtováním</w:t>
      </w:r>
    </w:p>
    <w:p w:rsidR="00241FC0" w:rsidP="00D15059" w:rsidRDefault="00241FC0" w14:paraId="2B525CFD" w14:textId="78A0383E">
      <w:pPr>
        <w:pStyle w:val="Odstavecseseznamem"/>
        <w:numPr>
          <w:ilvl w:val="0"/>
          <w:numId w:val="1"/>
        </w:numPr>
        <w:jc w:val="both"/>
      </w:pPr>
      <w:r>
        <w:t>dochází k přečerpání rozpočtové položky</w:t>
      </w:r>
    </w:p>
    <w:p w:rsidR="00277CA7" w:rsidP="00D15059" w:rsidRDefault="00277CA7" w14:paraId="28C30ABB" w14:textId="77777777">
      <w:pPr>
        <w:pStyle w:val="Odstavecseseznamem"/>
        <w:numPr>
          <w:ilvl w:val="0"/>
          <w:numId w:val="1"/>
        </w:numPr>
        <w:jc w:val="both"/>
      </w:pPr>
      <w:r>
        <w:t>Příjemci chybují při výpočtu odvodů na sociální a zdravotní pojištění</w:t>
      </w:r>
      <w:r w:rsidR="005166AE">
        <w:t>, často s nimi vůbec nepočítají.</w:t>
      </w:r>
    </w:p>
    <w:p w:rsidR="00277CA7" w:rsidP="00D15059" w:rsidRDefault="002B4C97" w14:paraId="5D7F7E66" w14:textId="77777777">
      <w:pPr>
        <w:pStyle w:val="Odstavecseseznamem"/>
        <w:numPr>
          <w:ilvl w:val="0"/>
          <w:numId w:val="1"/>
        </w:numPr>
        <w:jc w:val="both"/>
      </w:pPr>
      <w:r>
        <w:t>U výdajů nad 10 000 chybí</w:t>
      </w:r>
      <w:r w:rsidR="00355ACE">
        <w:t xml:space="preserve"> výpisy z bankovních účt</w:t>
      </w:r>
      <w:r w:rsidR="005166AE">
        <w:t>ů nebo sjetina účetnictví</w:t>
      </w:r>
    </w:p>
    <w:p w:rsidR="000F5397" w:rsidP="00D15059" w:rsidRDefault="000F5397" w14:paraId="7F21006B" w14:textId="77777777">
      <w:pPr>
        <w:pStyle w:val="Odstavecseseznamem"/>
        <w:numPr>
          <w:ilvl w:val="0"/>
          <w:numId w:val="1"/>
        </w:numPr>
        <w:jc w:val="both"/>
      </w:pPr>
      <w:r>
        <w:t>Jsou nárokovány výdaje, které byly proplaceny po ukončení monitorovacího období. Když například období končí 31. 12. 2017, nelze do ŽoP zahrnout prosincové platy proplacené v lednu 2018. Výjimkou je závěrečná ŽoP</w:t>
      </w:r>
    </w:p>
    <w:p w:rsidR="00C74408" w:rsidP="00732174" w:rsidRDefault="00C74408" w14:paraId="301A0242" w14:textId="3BB3DC69">
      <w:pPr>
        <w:pStyle w:val="Odstavecseseznamem"/>
        <w:numPr>
          <w:ilvl w:val="0"/>
          <w:numId w:val="1"/>
        </w:numPr>
        <w:jc w:val="both"/>
      </w:pPr>
      <w:r>
        <w:t>Přímá podpora</w:t>
      </w:r>
      <w:r w:rsidR="00732174">
        <w:t xml:space="preserve"> (mzdové příspěvky, ubytování CS atd.)</w:t>
      </w:r>
      <w:r>
        <w:t xml:space="preserve"> musí být vyplněná v předepsané tabulce dostupné zde </w:t>
      </w:r>
      <w:hyperlink w:history="true" r:id="rId10">
        <w:r w:rsidRPr="00484F09" w:rsidR="00732174">
          <w:rPr>
            <w:rStyle w:val="Hypertextovodkaz"/>
          </w:rPr>
          <w:t>https://www.esfcr.cz/pokyny-k-vyplneni-zpravy-o-realizaci-zadosti-o-platbu-a-zadosti-o-zmenu-opz</w:t>
        </w:r>
      </w:hyperlink>
      <w:r w:rsidR="00732174">
        <w:t xml:space="preserve"> nebo v jiném dokumentu, který obsahuje rozsah informací jako uvedená tabulka; přímá podpora se uvádí do soupisky jako jeden řádek s přiloženou tabulkou, která musí být elektronicky podepsána</w:t>
      </w:r>
    </w:p>
    <w:p w:rsidR="00B639D5" w:rsidP="00732174" w:rsidRDefault="00B639D5" w14:paraId="235F8A46" w14:textId="0E36E2FE">
      <w:pPr>
        <w:pStyle w:val="Odstavecseseznamem"/>
        <w:numPr>
          <w:ilvl w:val="0"/>
          <w:numId w:val="1"/>
        </w:numPr>
        <w:jc w:val="both"/>
      </w:pPr>
      <w:r>
        <w:t>U refundace mezd za účast CS na vzdělávání v rámci přímé podpory chybí prezenční listiny z jednotlivých školení</w:t>
      </w:r>
    </w:p>
    <w:p w:rsidRPr="006F7239" w:rsidR="00732174" w:rsidP="00732174" w:rsidRDefault="00732174" w14:paraId="70D55B57" w14:textId="77777777">
      <w:pPr>
        <w:pStyle w:val="Odstavecseseznamem"/>
        <w:numPr>
          <w:ilvl w:val="0"/>
          <w:numId w:val="1"/>
        </w:numPr>
        <w:jc w:val="both"/>
      </w:pPr>
      <w:r>
        <w:t xml:space="preserve">Postupovat podle informací uvedených v Pokynech pro vyplnění </w:t>
      </w:r>
      <w:r w:rsidR="000F5397">
        <w:t>ZoR/ŽoP v IS KP14+, které jsou dostupné na</w:t>
      </w:r>
      <w:r>
        <w:t xml:space="preserve"> </w:t>
      </w:r>
      <w:hyperlink w:history="true" r:id="rId11">
        <w:r w:rsidRPr="00484F09">
          <w:rPr>
            <w:rStyle w:val="Hypertextovodkaz"/>
          </w:rPr>
          <w:t>https://www.esfcr.cz/pokyny-k-vyplneni-zpravy-o-realizaci-zadosti-o-platbu-a-zadosti-o-zmenu-opz/-/dokument/809712</w:t>
        </w:r>
      </w:hyperlink>
      <w:r w:rsidR="000F5397">
        <w:t xml:space="preserve"> </w:t>
      </w:r>
      <w:r>
        <w:t>a</w:t>
      </w:r>
      <w:r w:rsidR="000F5397">
        <w:t xml:space="preserve"> podle</w:t>
      </w:r>
      <w:r>
        <w:t xml:space="preserve"> dalších zdrojů uvedených na </w:t>
      </w:r>
      <w:hyperlink w:history="true" r:id="rId12">
        <w:r w:rsidRPr="00484F09">
          <w:rPr>
            <w:rStyle w:val="Hypertextovodkaz"/>
          </w:rPr>
          <w:t>www.esfcr.cz</w:t>
        </w:r>
      </w:hyperlink>
      <w:r>
        <w:t xml:space="preserve"> </w:t>
      </w:r>
    </w:p>
    <w:sectPr w:rsidRPr="006F7239" w:rsidR="0073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9B935B7"/>
    <w:multiLevelType w:val="hybridMultilevel"/>
    <w:tmpl w:val="ABDCCBB2"/>
    <w:lvl w:ilvl="0" w:tplc="CA56DBE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val="textFit" w:percent="11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68"/>
    <w:rsid w:val="00080A7F"/>
    <w:rsid w:val="000D7168"/>
    <w:rsid w:val="000F5397"/>
    <w:rsid w:val="00241FC0"/>
    <w:rsid w:val="00277CA7"/>
    <w:rsid w:val="00292E49"/>
    <w:rsid w:val="002B4C97"/>
    <w:rsid w:val="002E182C"/>
    <w:rsid w:val="00355ACE"/>
    <w:rsid w:val="003F0F5B"/>
    <w:rsid w:val="004C6962"/>
    <w:rsid w:val="005166AE"/>
    <w:rsid w:val="00541DC3"/>
    <w:rsid w:val="006514AE"/>
    <w:rsid w:val="006A164A"/>
    <w:rsid w:val="006F7239"/>
    <w:rsid w:val="00732174"/>
    <w:rsid w:val="00747E9C"/>
    <w:rsid w:val="00792DF5"/>
    <w:rsid w:val="008328C3"/>
    <w:rsid w:val="008F7230"/>
    <w:rsid w:val="00A664B6"/>
    <w:rsid w:val="00AC33AC"/>
    <w:rsid w:val="00B639D5"/>
    <w:rsid w:val="00BD5CE5"/>
    <w:rsid w:val="00C15BEF"/>
    <w:rsid w:val="00C74408"/>
    <w:rsid w:val="00D15059"/>
    <w:rsid w:val="00D73616"/>
    <w:rsid w:val="00DD4D01"/>
    <w:rsid w:val="00E30079"/>
    <w:rsid w:val="00E316CE"/>
    <w:rsid w:val="00EE285C"/>
    <w:rsid w:val="00EF3BAC"/>
    <w:rsid w:val="00F74C48"/>
    <w:rsid w:val="00F8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04EBEA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BE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15B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1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41FC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36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361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736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61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73616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C15BEF"/>
    <w:rPr>
      <w:color w:themeColor="hyperlink" w:val="0000FF"/>
      <w:u w:val="single"/>
    </w:rPr>
  </w:style>
  <w:style w:styleId="Odstavecseseznamem" w:type="paragraph">
    <w:name w:val="List Paragraph"/>
    <w:basedOn w:val="Normln"/>
    <w:uiPriority w:val="34"/>
    <w:qFormat/>
    <w:rsid w:val="00C15BEF"/>
    <w:pPr>
      <w:ind w:left="720"/>
      <w:contextualSpacing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241F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241FC0"/>
    <w:rPr>
      <w:rFonts w:ascii="Tahoma" w:cs="Tahoma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D7361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73616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73616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7361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73616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Mode="External" Target="http://www.esfcr.cz" Type="http://schemas.openxmlformats.org/officeDocument/2006/relationships/hyperlink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Mode="External" Target="https://www.esfcr.cz/pokyny-k-vyplneni-zpravy-o-realizaci-zadosti-o-platbu-a-zadosti-o-zmenu-opz/-/dokument/809712" Type="http://schemas.openxmlformats.org/officeDocument/2006/relationships/hyperlink" Id="rId11"/>
    <Relationship Target="styles.xml" Type="http://schemas.openxmlformats.org/officeDocument/2006/relationships/styles" Id="rId5"/>
    <Relationship TargetMode="External" Target="https://www.esfcr.cz/pokyny-k-vyplneni-zpravy-o-realizaci-zadosti-o-platbu-a-zadosti-o-zmenu-opz" Type="http://schemas.openxmlformats.org/officeDocument/2006/relationships/hyperlink" Id="rId10"/>
    <Relationship Target="numbering.xml" Type="http://schemas.openxmlformats.org/officeDocument/2006/relationships/numbering" Id="rId4"/>
    <Relationship TargetMode="External" Target="https://www.esfcr.cz/vyzva-033-opz" Type="http://schemas.openxmlformats.org/officeDocument/2006/relationships/hyperlink" Id="rId9"/>
    <Relationship Target="theme/theme1.xml" Type="http://schemas.openxmlformats.org/officeDocument/2006/relationships/them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 xsi:nil="true"/>
  </documentManagement>
</p:properties>
</file>

<file path=customXml/itemProps1.xml><?xml version="1.0" encoding="utf-8"?>
<ds:datastoreItem xmlns:ds="http://schemas.openxmlformats.org/officeDocument/2006/customXml" ds:itemID="{21520900-B491-43A5-A65D-9FADEC26030A}"/>
</file>

<file path=customXml/itemProps2.xml><?xml version="1.0" encoding="utf-8"?>
<ds:datastoreItem xmlns:ds="http://schemas.openxmlformats.org/officeDocument/2006/customXml" ds:itemID="{905B77AA-15EF-4DE6-A4BD-26B235575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355BB1-E6A7-42A1-A126-62FEB308FA9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700</properties:Words>
  <properties:Characters>4135</properties:Characters>
  <properties:Lines>34</properties:Lines>
  <properties:Paragraphs>9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4826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2018-04-04T07:06:00Z</dcterms:created>
  <dc:creator/>
  <cp:lastModifiedBy/>
  <dcterms:modified xmlns:xsi="http://www.w3.org/2001/XMLSchema-instance" xsi:type="dcterms:W3CDTF">2018-04-04T09:28:00Z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