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504E5" w:rsidR="00355F03" w:rsidP="00A87A19" w:rsidRDefault="008504E5">
      <w:pPr>
        <w:pStyle w:val="Nadpis2"/>
        <w:numPr>
          <w:ilvl w:val="0"/>
          <w:numId w:val="0"/>
        </w:numPr>
        <w:spacing w:after="120"/>
        <w:ind w:left="851" w:hanging="851"/>
        <w:jc w:val="right"/>
        <w:rPr>
          <w:rFonts w:ascii="Arial" w:hAnsi="Arial" w:cs="Arial"/>
          <w:sz w:val="22"/>
          <w:szCs w:val="22"/>
        </w:rPr>
      </w:pPr>
      <w:bookmarkStart w:name="_Toc417638004" w:id="0"/>
      <w:r w:rsidRPr="008504E5">
        <w:rPr>
          <w:rFonts w:ascii="Arial" w:hAnsi="Arial" w:cs="Arial"/>
          <w:sz w:val="22"/>
          <w:szCs w:val="22"/>
        </w:rPr>
        <w:t>Příloha č. </w:t>
      </w:r>
      <w:r w:rsidR="000C6AAB">
        <w:rPr>
          <w:rFonts w:ascii="Arial" w:hAnsi="Arial" w:cs="Arial"/>
          <w:sz w:val="22"/>
          <w:szCs w:val="22"/>
        </w:rPr>
        <w:t>1</w:t>
      </w:r>
      <w:r w:rsidRPr="008504E5">
        <w:rPr>
          <w:rFonts w:ascii="Arial" w:hAnsi="Arial" w:cs="Arial"/>
          <w:sz w:val="22"/>
          <w:szCs w:val="22"/>
        </w:rPr>
        <w:t xml:space="preserve"> </w:t>
      </w:r>
    </w:p>
    <w:p w:rsidR="00F4525B" w:rsidP="00EE317C" w:rsidRDefault="00F4525B">
      <w:pPr>
        <w:pStyle w:val="Nadpis2"/>
        <w:numPr>
          <w:ilvl w:val="0"/>
          <w:numId w:val="0"/>
        </w:numPr>
        <w:spacing w:after="120"/>
        <w:ind w:left="851" w:hanging="851"/>
        <w:rPr>
          <w:rFonts w:ascii="Arial" w:hAnsi="Arial" w:cs="Arial"/>
          <w:sz w:val="22"/>
          <w:szCs w:val="22"/>
          <w:u w:val="single"/>
        </w:rPr>
      </w:pPr>
      <w:r w:rsidRPr="008504E5">
        <w:rPr>
          <w:rFonts w:ascii="Arial" w:hAnsi="Arial" w:cs="Arial"/>
          <w:sz w:val="22"/>
          <w:szCs w:val="22"/>
          <w:u w:val="single"/>
        </w:rPr>
        <w:t>Informace o podmínkách veřejné podpory</w:t>
      </w:r>
      <w:bookmarkEnd w:id="0"/>
      <w:r w:rsidRPr="008504E5" w:rsidR="008504E5">
        <w:rPr>
          <w:rFonts w:ascii="Arial" w:hAnsi="Arial" w:cs="Arial"/>
          <w:sz w:val="22"/>
          <w:szCs w:val="22"/>
          <w:u w:val="single"/>
        </w:rPr>
        <w:t xml:space="preserve"> (</w:t>
      </w:r>
      <w:r w:rsidR="00DF5F7E">
        <w:rPr>
          <w:rFonts w:ascii="Arial" w:hAnsi="Arial" w:cs="Arial"/>
          <w:sz w:val="22"/>
          <w:szCs w:val="22"/>
          <w:u w:val="single"/>
        </w:rPr>
        <w:t>b</w:t>
      </w:r>
      <w:r w:rsidRPr="008504E5" w:rsidR="008504E5">
        <w:rPr>
          <w:rFonts w:ascii="Arial" w:hAnsi="Arial" w:cs="Arial"/>
          <w:sz w:val="22"/>
          <w:szCs w:val="22"/>
          <w:u w:val="single"/>
        </w:rPr>
        <w:t>od 3.8 výzvy)</w:t>
      </w:r>
    </w:p>
    <w:p w:rsidR="00D852C5" w:rsidP="009135F9" w:rsidRDefault="00D852C5">
      <w:pPr>
        <w:spacing w:before="120" w:after="120"/>
      </w:pPr>
    </w:p>
    <w:p w:rsidRPr="0040264B" w:rsidR="00D852C5" w:rsidP="007C02AF" w:rsidRDefault="00011BDB">
      <w:pPr>
        <w:pStyle w:val="Nadpis3"/>
        <w:spacing w:after="240"/>
        <w:ind w:left="357" w:hanging="357"/>
      </w:pPr>
      <w:r w:rsidRPr="00AA45DC">
        <w:t>Úvod</w:t>
      </w:r>
    </w:p>
    <w:p w:rsidR="0045114A" w:rsidP="0095261E" w:rsidRDefault="00AF32B9">
      <w:pPr>
        <w:spacing w:before="120" w:after="120"/>
        <w:rPr>
          <w:rFonts w:ascii="Arial" w:hAnsi="Arial" w:cs="Arial"/>
        </w:rPr>
      </w:pPr>
      <w:r w:rsidRPr="0070519C">
        <w:rPr>
          <w:rFonts w:ascii="Arial" w:hAnsi="Arial" w:cs="Arial"/>
        </w:rPr>
        <w:t xml:space="preserve">Informace o veřejné podpoře (včetně podpory de </w:t>
      </w:r>
      <w:proofErr w:type="spellStart"/>
      <w:r w:rsidRPr="0070519C">
        <w:rPr>
          <w:rFonts w:ascii="Arial" w:hAnsi="Arial" w:cs="Arial"/>
        </w:rPr>
        <w:t>minimis</w:t>
      </w:r>
      <w:proofErr w:type="spellEnd"/>
      <w:r w:rsidRPr="0070519C">
        <w:rPr>
          <w:rFonts w:ascii="Arial" w:hAnsi="Arial" w:cs="Arial"/>
        </w:rPr>
        <w:t>) jsou k dispozici v Obecné části pravidel pro žadatele a příjemce v rámci Operačního programu Zaměstnanost (konkrétní odkaz na</w:t>
      </w:r>
      <w:r>
        <w:rPr>
          <w:rFonts w:ascii="Arial" w:hAnsi="Arial" w:cs="Arial"/>
        </w:rPr>
        <w:t> </w:t>
      </w:r>
      <w:r w:rsidRPr="00F9397F">
        <w:rPr>
          <w:rFonts w:ascii="Arial" w:hAnsi="Arial" w:cs="Arial"/>
        </w:rPr>
        <w:t xml:space="preserve">elektronickou verzi tohoto dokumentu viz </w:t>
      </w:r>
      <w:r w:rsidRPr="00434D23">
        <w:rPr>
          <w:rFonts w:ascii="Arial" w:hAnsi="Arial" w:cs="Arial"/>
        </w:rPr>
        <w:t xml:space="preserve">část 10.2 této výzvy). </w:t>
      </w:r>
      <w:r w:rsidRPr="00434D23" w:rsidR="00FA042B">
        <w:rPr>
          <w:rFonts w:ascii="Arial" w:hAnsi="Arial" w:cs="Arial"/>
        </w:rPr>
        <w:t>Vyhlašovatel</w:t>
      </w:r>
      <w:r w:rsidR="00FA042B">
        <w:rPr>
          <w:rFonts w:ascii="Arial" w:hAnsi="Arial" w:cs="Arial"/>
        </w:rPr>
        <w:t xml:space="preserve"> nad </w:t>
      </w:r>
      <w:r w:rsidRPr="00F9397F">
        <w:rPr>
          <w:rFonts w:ascii="Arial" w:hAnsi="Arial" w:cs="Arial"/>
        </w:rPr>
        <w:t xml:space="preserve">rámec pravidel stanovených právními předpisy pro tuto výzvu stanovuje </w:t>
      </w:r>
      <w:r w:rsidR="0045114A">
        <w:rPr>
          <w:rFonts w:ascii="Arial" w:hAnsi="Arial" w:cs="Arial"/>
        </w:rPr>
        <w:t>prostřednictvím tohoto</w:t>
      </w:r>
      <w:r w:rsidR="003133FA">
        <w:rPr>
          <w:rFonts w:ascii="Arial" w:hAnsi="Arial" w:cs="Arial"/>
        </w:rPr>
        <w:t xml:space="preserve"> dokumentu</w:t>
      </w:r>
      <w:r w:rsidRPr="00F9397F" w:rsidR="003133FA">
        <w:rPr>
          <w:rFonts w:ascii="Arial" w:hAnsi="Arial" w:cs="Arial"/>
        </w:rPr>
        <w:t xml:space="preserve"> </w:t>
      </w:r>
      <w:r w:rsidRPr="00F9397F">
        <w:rPr>
          <w:rFonts w:ascii="Arial" w:hAnsi="Arial" w:cs="Arial"/>
        </w:rPr>
        <w:t xml:space="preserve">omezení týkající se veřejné podpory (včetně podpory de </w:t>
      </w:r>
      <w:proofErr w:type="spellStart"/>
      <w:r w:rsidRPr="00F9397F">
        <w:rPr>
          <w:rFonts w:ascii="Arial" w:hAnsi="Arial" w:cs="Arial"/>
        </w:rPr>
        <w:t>minimis</w:t>
      </w:r>
      <w:proofErr w:type="spellEnd"/>
      <w:r w:rsidRPr="00F9397F">
        <w:rPr>
          <w:rFonts w:ascii="Arial" w:hAnsi="Arial" w:cs="Arial"/>
        </w:rPr>
        <w:t>)</w:t>
      </w:r>
      <w:r w:rsidR="00011BDB">
        <w:rPr>
          <w:rFonts w:ascii="Arial" w:hAnsi="Arial" w:cs="Arial"/>
        </w:rPr>
        <w:t>.</w:t>
      </w:r>
      <w:r w:rsidR="00AB7235">
        <w:rPr>
          <w:rFonts w:ascii="Arial" w:hAnsi="Arial" w:cs="Arial"/>
        </w:rPr>
        <w:t xml:space="preserve"> </w:t>
      </w:r>
    </w:p>
    <w:p w:rsidR="00011BDB" w:rsidP="0095261E" w:rsidRDefault="00AB723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AB7235">
        <w:rPr>
          <w:rFonts w:ascii="Arial" w:hAnsi="Arial" w:cs="Arial"/>
        </w:rPr>
        <w:t>nejasnost</w:t>
      </w:r>
      <w:r w:rsidR="00AA1AF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 aktivit konkrétního projektu</w:t>
      </w:r>
      <w:r w:rsidRPr="00AB72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které budou zakládat veřejnou podporu, </w:t>
      </w:r>
      <w:r w:rsidRPr="00AB7235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 xml:space="preserve">aplikace režimu veřejné podpory (včetně podpory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) </w:t>
      </w:r>
      <w:r w:rsidRPr="00AB7235">
        <w:rPr>
          <w:rFonts w:ascii="Arial" w:hAnsi="Arial" w:cs="Arial"/>
        </w:rPr>
        <w:t>posuzován</w:t>
      </w:r>
      <w:r>
        <w:rPr>
          <w:rFonts w:ascii="Arial" w:hAnsi="Arial" w:cs="Arial"/>
        </w:rPr>
        <w:t>a</w:t>
      </w:r>
      <w:r w:rsidRPr="00AB72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45114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upřesněna s příjemcem </w:t>
      </w:r>
      <w:r w:rsidRPr="00AB7235">
        <w:rPr>
          <w:rFonts w:ascii="Arial" w:hAnsi="Arial" w:cs="Arial"/>
        </w:rPr>
        <w:t xml:space="preserve">před vydáním Rozhodnutí </w:t>
      </w:r>
      <w:r>
        <w:rPr>
          <w:rFonts w:ascii="Arial" w:hAnsi="Arial" w:cs="Arial"/>
        </w:rPr>
        <w:t xml:space="preserve">o poskytnutí dotace </w:t>
      </w:r>
      <w:r w:rsidRPr="00AB7235">
        <w:rPr>
          <w:rFonts w:ascii="Arial" w:hAnsi="Arial" w:cs="Arial"/>
        </w:rPr>
        <w:t>u každého jednotlivého projektu</w:t>
      </w:r>
      <w:r>
        <w:rPr>
          <w:rFonts w:ascii="Arial" w:hAnsi="Arial" w:cs="Arial"/>
        </w:rPr>
        <w:t>.</w:t>
      </w:r>
    </w:p>
    <w:p w:rsidR="00A434DA" w:rsidP="00EE317C" w:rsidRDefault="00A434DA">
      <w:pPr>
        <w:spacing w:before="120" w:after="120"/>
        <w:rPr>
          <w:rFonts w:ascii="Arial" w:hAnsi="Arial" w:cs="Arial"/>
        </w:rPr>
      </w:pPr>
    </w:p>
    <w:p w:rsidR="0045114A" w:rsidP="00EE317C" w:rsidRDefault="0045114A">
      <w:pPr>
        <w:spacing w:before="120" w:after="120"/>
        <w:rPr>
          <w:rFonts w:ascii="Arial" w:hAnsi="Arial" w:cs="Arial"/>
        </w:rPr>
      </w:pPr>
    </w:p>
    <w:p w:rsidR="00D852C5" w:rsidP="007C02AF" w:rsidRDefault="00434CA2">
      <w:pPr>
        <w:pStyle w:val="Nadpis3"/>
        <w:spacing w:after="240"/>
        <w:ind w:left="357" w:hanging="357"/>
      </w:pPr>
      <w:r>
        <w:t>Základní v</w:t>
      </w:r>
      <w:r w:rsidRPr="00AA45DC">
        <w:t xml:space="preserve">ymezení </w:t>
      </w:r>
      <w:r w:rsidRPr="00AA45DC" w:rsidR="00011BDB">
        <w:t xml:space="preserve">podporovaných aktivit </w:t>
      </w:r>
      <w:r w:rsidRPr="00AA45DC" w:rsidR="00545787">
        <w:t>výzvy z pohledu pravidel veřejné podpory</w:t>
      </w:r>
    </w:p>
    <w:p w:rsidRPr="007C02AF" w:rsidR="00A434DA" w:rsidP="009135F9" w:rsidRDefault="00A434DA">
      <w:pPr>
        <w:spacing w:before="120" w:after="120"/>
        <w:rPr>
          <w:rFonts w:cs="Arial"/>
          <w:u w:val="single"/>
        </w:rPr>
      </w:pPr>
      <w:r w:rsidRPr="009135F9">
        <w:rPr>
          <w:rFonts w:ascii="Arial" w:hAnsi="Arial" w:cs="Arial"/>
        </w:rPr>
        <w:t xml:space="preserve">Z pohledu aplikace pravidel veřejné podpory </w:t>
      </w:r>
      <w:r>
        <w:rPr>
          <w:rFonts w:ascii="Arial" w:hAnsi="Arial" w:cs="Arial"/>
        </w:rPr>
        <w:t xml:space="preserve">jsou výzvou podporované aktivity </w:t>
      </w:r>
      <w:r w:rsidRPr="007C02AF">
        <w:rPr>
          <w:rFonts w:ascii="Arial" w:hAnsi="Arial" w:cs="Arial"/>
          <w:b/>
          <w:u w:val="single"/>
        </w:rPr>
        <w:t>rozdělen</w:t>
      </w:r>
      <w:r w:rsidRPr="007C02AF" w:rsidR="00CF72A8">
        <w:rPr>
          <w:rFonts w:ascii="Arial" w:hAnsi="Arial" w:cs="Arial"/>
          <w:b/>
          <w:u w:val="single"/>
        </w:rPr>
        <w:t>y do </w:t>
      </w:r>
      <w:r w:rsidRPr="007C02AF" w:rsidR="00EE67DC">
        <w:rPr>
          <w:rFonts w:ascii="Arial" w:hAnsi="Arial" w:cs="Arial"/>
          <w:b/>
          <w:u w:val="single"/>
        </w:rPr>
        <w:t>2 hlavních</w:t>
      </w:r>
      <w:r w:rsidRPr="007C02AF">
        <w:rPr>
          <w:rFonts w:ascii="Arial" w:hAnsi="Arial" w:cs="Arial"/>
          <w:b/>
          <w:u w:val="single"/>
        </w:rPr>
        <w:t xml:space="preserve"> oblastí:</w:t>
      </w:r>
    </w:p>
    <w:p w:rsidR="002A5020" w:rsidP="009135F9" w:rsidRDefault="00A434DA">
      <w:pPr>
        <w:pStyle w:val="Odstavecseseznamem"/>
        <w:numPr>
          <w:ilvl w:val="0"/>
          <w:numId w:val="16"/>
        </w:numPr>
        <w:spacing w:before="120" w:after="120"/>
        <w:rPr>
          <w:rFonts w:ascii="Arial" w:hAnsi="Arial" w:cs="Arial"/>
        </w:rPr>
      </w:pPr>
      <w:r w:rsidRPr="003133FA">
        <w:rPr>
          <w:rFonts w:ascii="Arial" w:hAnsi="Arial" w:cs="Arial"/>
          <w:b/>
        </w:rPr>
        <w:t>Aktivity, které nenaplňují kumulativně znaky veřejné podpory</w:t>
      </w:r>
      <w:r w:rsidRPr="003133FA">
        <w:rPr>
          <w:rFonts w:ascii="Arial" w:hAnsi="Arial" w:cs="Arial"/>
        </w:rPr>
        <w:t xml:space="preserve"> </w:t>
      </w:r>
      <w:r w:rsidRPr="003133FA" w:rsidR="002A5020">
        <w:rPr>
          <w:rFonts w:ascii="Arial" w:hAnsi="Arial" w:cs="Arial"/>
        </w:rPr>
        <w:t>–</w:t>
      </w:r>
      <w:r w:rsidRPr="003133FA">
        <w:rPr>
          <w:rFonts w:ascii="Arial" w:hAnsi="Arial" w:cs="Arial"/>
        </w:rPr>
        <w:t xml:space="preserve"> </w:t>
      </w:r>
      <w:r w:rsidRPr="003133FA" w:rsidR="002A5020">
        <w:rPr>
          <w:rFonts w:ascii="Arial" w:hAnsi="Arial" w:cs="Arial"/>
        </w:rPr>
        <w:t xml:space="preserve">u těchto aktivit se předpokládá, že s ohledem na povahu poskytované činnosti, </w:t>
      </w:r>
      <w:r w:rsidRPr="007C02AF" w:rsidR="002A5020">
        <w:rPr>
          <w:rFonts w:ascii="Arial" w:hAnsi="Arial" w:cs="Arial"/>
          <w:u w:val="single"/>
        </w:rPr>
        <w:t>nebudou naplněny všechny znaky veřejné podpory</w:t>
      </w:r>
      <w:r w:rsidRPr="003133FA" w:rsidR="002A5020">
        <w:rPr>
          <w:rFonts w:ascii="Arial" w:hAnsi="Arial" w:cs="Arial"/>
        </w:rPr>
        <w:t>, a tudíž poskytnutí finančních prostředků na tyto aktivity nezakládá veřejnou podporu</w:t>
      </w:r>
      <w:r w:rsidR="00194EB5">
        <w:rPr>
          <w:rFonts w:ascii="Arial" w:hAnsi="Arial" w:cs="Arial"/>
        </w:rPr>
        <w:t xml:space="preserve"> ve smyslu článku 107 odst. 1 Smlouvy o</w:t>
      </w:r>
      <w:r w:rsidR="001A3DAD">
        <w:rPr>
          <w:rFonts w:ascii="Arial" w:hAnsi="Arial" w:cs="Arial"/>
        </w:rPr>
        <w:t> </w:t>
      </w:r>
      <w:r w:rsidR="00194EB5">
        <w:rPr>
          <w:rFonts w:ascii="Arial" w:hAnsi="Arial" w:cs="Arial"/>
        </w:rPr>
        <w:t>fungování Evropské unie</w:t>
      </w:r>
      <w:r w:rsidRPr="003133FA" w:rsidR="002A5020">
        <w:rPr>
          <w:rFonts w:ascii="Arial" w:hAnsi="Arial" w:cs="Arial"/>
        </w:rPr>
        <w:t xml:space="preserve">. </w:t>
      </w:r>
    </w:p>
    <w:p w:rsidR="0045114A" w:rsidP="0045114A" w:rsidRDefault="0045114A">
      <w:pPr>
        <w:pStyle w:val="Odstavecseseznamem"/>
        <w:spacing w:before="120" w:after="120"/>
        <w:rPr>
          <w:rFonts w:ascii="Arial" w:hAnsi="Arial" w:cs="Arial"/>
        </w:rPr>
      </w:pPr>
    </w:p>
    <w:p w:rsidRPr="009135F9" w:rsidR="0045114A" w:rsidP="0045114A" w:rsidRDefault="0045114A">
      <w:pPr>
        <w:pStyle w:val="Odstavecseseznamem"/>
        <w:spacing w:before="120" w:after="120"/>
        <w:rPr>
          <w:rFonts w:ascii="Arial" w:hAnsi="Arial" w:cs="Arial"/>
        </w:rPr>
      </w:pPr>
      <w:r w:rsidRPr="009135F9">
        <w:rPr>
          <w:rFonts w:ascii="Arial" w:hAnsi="Arial" w:cs="Arial"/>
        </w:rPr>
        <w:t>Z pohledu věcného zaměření výzvy se jedná zejména o tyto podporované aktivity:</w:t>
      </w:r>
    </w:p>
    <w:p w:rsidR="0045114A" w:rsidP="0045114A" w:rsidRDefault="0045114A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rozvoj oblasti sociální práce ve veřejné správě,</w:t>
      </w:r>
    </w:p>
    <w:p w:rsidRPr="0040264B" w:rsidR="0045114A" w:rsidP="0045114A" w:rsidRDefault="0045114A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vzdělávání sociálních pracovníků působících na úřadech (obecní úřady, krajské úřady, Úřad práce ČR, apod.),</w:t>
      </w:r>
    </w:p>
    <w:p w:rsidR="0045114A" w:rsidP="0045114A" w:rsidRDefault="0045114A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propagace sociální práce,</w:t>
      </w:r>
    </w:p>
    <w:p w:rsidR="0045114A" w:rsidP="0045114A" w:rsidRDefault="0045114A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rozvoj a zkvalitňování sociálně právní ochrany dětí (mimo registrovanou sociální službu – tedy u organizací, které neposkytují sociální služby dle zákona č. 108/2006 Sb., o sociálních službách, ve znění pozdějších předpisů),</w:t>
      </w:r>
    </w:p>
    <w:p w:rsidR="0045114A" w:rsidP="0045114A" w:rsidRDefault="0045114A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rozvoj a zkvalitňování sociální práce (mimo registrovanou sociální službu – tedy u organizací, které neposkytují sociální služby dle zákona č. 108/2006 Sb., o sociálních službách, ve znění pozdějších předpisů),</w:t>
      </w:r>
    </w:p>
    <w:p w:rsidR="0045114A" w:rsidP="0045114A" w:rsidRDefault="0045114A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95261E">
        <w:rPr>
          <w:rFonts w:ascii="Arial" w:hAnsi="Arial" w:cs="Arial"/>
        </w:rPr>
        <w:t>zavádění komplexních programů,</w:t>
      </w:r>
      <w:r w:rsidRPr="00EE3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95261E">
        <w:rPr>
          <w:rFonts w:ascii="Arial" w:hAnsi="Arial" w:cs="Arial"/>
        </w:rPr>
        <w:t>avádění nástrojů mezioborové a</w:t>
      </w:r>
      <w:r>
        <w:rPr>
          <w:rFonts w:ascii="Arial" w:hAnsi="Arial" w:cs="Arial"/>
        </w:rPr>
        <w:t> </w:t>
      </w:r>
      <w:r w:rsidRPr="0095261E">
        <w:rPr>
          <w:rFonts w:ascii="Arial" w:hAnsi="Arial" w:cs="Arial"/>
        </w:rPr>
        <w:t>meziresortní spolupráce,</w:t>
      </w:r>
    </w:p>
    <w:p w:rsidRPr="0095261E" w:rsidR="0045114A" w:rsidP="0045114A" w:rsidRDefault="0045114A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podpora pečujících osob.</w:t>
      </w:r>
    </w:p>
    <w:p w:rsidR="0045114A" w:rsidP="0045114A" w:rsidRDefault="0045114A">
      <w:pPr>
        <w:spacing w:before="120"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Tyto aktivity </w:t>
      </w:r>
      <w:r w:rsidRPr="0070519C">
        <w:rPr>
          <w:rFonts w:ascii="Arial" w:hAnsi="Arial" w:cs="Arial"/>
        </w:rPr>
        <w:t>nejsou v rámci projektu podporovány v režimu veřejné podpory</w:t>
      </w:r>
      <w:r>
        <w:rPr>
          <w:rFonts w:ascii="Arial" w:hAnsi="Arial" w:cs="Arial"/>
        </w:rPr>
        <w:t xml:space="preserve"> a jsou považovány za činnost</w:t>
      </w:r>
      <w:r w:rsidR="00194EB5">
        <w:rPr>
          <w:rFonts w:ascii="Arial" w:hAnsi="Arial" w:cs="Arial"/>
        </w:rPr>
        <w:t>i, které nemají hospodářskou povahu (</w:t>
      </w:r>
      <w:proofErr w:type="spellStart"/>
      <w:r w:rsidR="00194EB5">
        <w:rPr>
          <w:rFonts w:ascii="Arial" w:hAnsi="Arial" w:cs="Arial"/>
        </w:rPr>
        <w:t>nehospodářské</w:t>
      </w:r>
      <w:proofErr w:type="spellEnd"/>
      <w:r w:rsidR="00194EB5">
        <w:rPr>
          <w:rFonts w:ascii="Arial" w:hAnsi="Arial" w:cs="Arial"/>
        </w:rPr>
        <w:t xml:space="preserve"> činnosti)</w:t>
      </w:r>
      <w:r w:rsidR="00A2210A">
        <w:rPr>
          <w:rFonts w:ascii="Arial" w:hAnsi="Arial" w:cs="Arial"/>
        </w:rPr>
        <w:t>, a</w:t>
      </w:r>
      <w:r w:rsidR="001A3DAD">
        <w:rPr>
          <w:rFonts w:ascii="Arial" w:hAnsi="Arial" w:cs="Arial"/>
        </w:rPr>
        <w:t> </w:t>
      </w:r>
      <w:r w:rsidR="00A2210A">
        <w:rPr>
          <w:rFonts w:ascii="Arial" w:hAnsi="Arial" w:cs="Arial"/>
        </w:rPr>
        <w:t>tudíž příjemce není ohledně těchto činností považován za podnik.</w:t>
      </w:r>
      <w:r>
        <w:rPr>
          <w:rFonts w:ascii="Arial" w:hAnsi="Arial" w:cs="Arial"/>
        </w:rPr>
        <w:t xml:space="preserve"> Aktivity jsou realizovány mimo systém </w:t>
      </w:r>
      <w:r w:rsidR="00194EB5">
        <w:rPr>
          <w:rFonts w:ascii="Arial" w:hAnsi="Arial" w:cs="Arial"/>
        </w:rPr>
        <w:t xml:space="preserve">financování </w:t>
      </w:r>
      <w:r>
        <w:rPr>
          <w:rFonts w:ascii="Arial" w:hAnsi="Arial" w:cs="Arial"/>
        </w:rPr>
        <w:t>sociálních služeb.</w:t>
      </w:r>
    </w:p>
    <w:p w:rsidR="0045114A" w:rsidP="007C02AF" w:rsidRDefault="0045114A">
      <w:pPr>
        <w:spacing w:before="120" w:after="120"/>
        <w:rPr>
          <w:rFonts w:ascii="Arial" w:hAnsi="Arial" w:cs="Arial"/>
        </w:rPr>
      </w:pPr>
    </w:p>
    <w:p w:rsidRPr="007C02AF" w:rsidR="0043482D" w:rsidP="007C02AF" w:rsidRDefault="0043482D">
      <w:pPr>
        <w:spacing w:before="120" w:after="120"/>
        <w:rPr>
          <w:rFonts w:ascii="Arial" w:hAnsi="Arial" w:cs="Arial"/>
        </w:rPr>
      </w:pPr>
    </w:p>
    <w:p w:rsidR="00434CA2" w:rsidP="009135F9" w:rsidRDefault="00A434DA">
      <w:pPr>
        <w:pStyle w:val="Odstavecseseznamem"/>
        <w:numPr>
          <w:ilvl w:val="0"/>
          <w:numId w:val="16"/>
        </w:numPr>
        <w:spacing w:before="120" w:after="120"/>
        <w:rPr>
          <w:rFonts w:ascii="Arial" w:hAnsi="Arial" w:cs="Arial"/>
        </w:rPr>
      </w:pPr>
      <w:r w:rsidRPr="003133FA">
        <w:rPr>
          <w:rFonts w:ascii="Arial" w:hAnsi="Arial" w:cs="Arial"/>
          <w:b/>
        </w:rPr>
        <w:t>Aktivity</w:t>
      </w:r>
      <w:r w:rsidRPr="003133FA" w:rsidR="002A5020">
        <w:rPr>
          <w:rFonts w:ascii="Arial" w:hAnsi="Arial" w:cs="Arial"/>
          <w:b/>
        </w:rPr>
        <w:t xml:space="preserve"> související s podporu služeb obecného hospodářského zájmu, </w:t>
      </w:r>
      <w:r w:rsidRPr="003133FA" w:rsidR="00CF72A8">
        <w:rPr>
          <w:rFonts w:ascii="Arial" w:hAnsi="Arial" w:cs="Arial"/>
          <w:b/>
        </w:rPr>
        <w:t xml:space="preserve">tedy </w:t>
      </w:r>
      <w:r w:rsidRPr="003133FA" w:rsidR="002A5020">
        <w:rPr>
          <w:rFonts w:ascii="Arial" w:hAnsi="Arial" w:cs="Arial"/>
          <w:b/>
        </w:rPr>
        <w:t>sociálních služeb</w:t>
      </w:r>
      <w:r w:rsidRPr="003133FA" w:rsidR="002A5020">
        <w:rPr>
          <w:rFonts w:ascii="Arial" w:hAnsi="Arial" w:cs="Arial"/>
        </w:rPr>
        <w:t xml:space="preserve">, </w:t>
      </w:r>
      <w:r w:rsidRPr="003E3F5F" w:rsidR="002A5020">
        <w:rPr>
          <w:rFonts w:ascii="Arial" w:hAnsi="Arial" w:cs="Arial"/>
          <w:b/>
        </w:rPr>
        <w:t>které jsou poskytovány na základě Pověření vydaného</w:t>
      </w:r>
      <w:r w:rsidRPr="003E3F5F" w:rsidR="002A5020">
        <w:rPr>
          <w:rFonts w:ascii="Arial" w:hAnsi="Arial" w:cs="Arial"/>
        </w:rPr>
        <w:t xml:space="preserve"> </w:t>
      </w:r>
      <w:r w:rsidRPr="003133FA" w:rsidR="00CF72A8">
        <w:rPr>
          <w:rFonts w:ascii="Arial" w:hAnsi="Arial" w:cs="Arial"/>
        </w:rPr>
        <w:t>v souladu s </w:t>
      </w:r>
      <w:r w:rsidRPr="00194EB5" w:rsidR="00194EB5">
        <w:rPr>
          <w:rFonts w:ascii="Arial" w:hAnsi="Arial" w:cs="Arial"/>
        </w:rPr>
        <w:t>Rozhodnutí</w:t>
      </w:r>
      <w:r w:rsidR="002E1437">
        <w:rPr>
          <w:rFonts w:ascii="Arial" w:hAnsi="Arial" w:cs="Arial"/>
        </w:rPr>
        <w:t>m</w:t>
      </w:r>
      <w:r w:rsidRPr="00194EB5" w:rsidR="00194EB5">
        <w:rPr>
          <w:rFonts w:ascii="Arial" w:hAnsi="Arial" w:cs="Arial"/>
        </w:rPr>
        <w:t xml:space="preserve"> Komise ze dne 20. 12. 2011 o použití čl. 106 odst. 2</w:t>
      </w:r>
      <w:r w:rsidR="001A3DAD">
        <w:rPr>
          <w:rFonts w:ascii="Arial" w:hAnsi="Arial" w:cs="Arial"/>
        </w:rPr>
        <w:t> </w:t>
      </w:r>
      <w:r w:rsidRPr="00194EB5" w:rsidR="00194EB5">
        <w:rPr>
          <w:rFonts w:ascii="Arial" w:hAnsi="Arial" w:cs="Arial"/>
        </w:rPr>
        <w:t xml:space="preserve">Smlouvy o fungování Evropské unie na státní podporu ve formě vyrovnávací platby za závazek veřejné služby udělené určitým podnikům pověřeným poskytování služeb obecného hospodářského zájmu (2012/21/EU,  </w:t>
      </w:r>
      <w:proofErr w:type="spellStart"/>
      <w:r w:rsidRPr="00194EB5" w:rsidR="00194EB5">
        <w:rPr>
          <w:rFonts w:ascii="Arial" w:hAnsi="Arial" w:cs="Arial"/>
        </w:rPr>
        <w:t>Úř</w:t>
      </w:r>
      <w:proofErr w:type="spellEnd"/>
      <w:r w:rsidRPr="00194EB5" w:rsidR="00194EB5">
        <w:rPr>
          <w:rFonts w:ascii="Arial" w:hAnsi="Arial" w:cs="Arial"/>
        </w:rPr>
        <w:t xml:space="preserve">. </w:t>
      </w:r>
      <w:proofErr w:type="spellStart"/>
      <w:proofErr w:type="gramStart"/>
      <w:r w:rsidRPr="00194EB5" w:rsidR="00194EB5">
        <w:rPr>
          <w:rFonts w:ascii="Arial" w:hAnsi="Arial" w:cs="Arial"/>
        </w:rPr>
        <w:t>věst</w:t>
      </w:r>
      <w:proofErr w:type="spellEnd"/>
      <w:proofErr w:type="gramEnd"/>
      <w:r w:rsidRPr="00194EB5" w:rsidR="00194EB5">
        <w:rPr>
          <w:rFonts w:ascii="Arial" w:hAnsi="Arial" w:cs="Arial"/>
        </w:rPr>
        <w:t>.  L 7, 11. 1. 2012</w:t>
      </w:r>
      <w:r w:rsidR="002E1437">
        <w:rPr>
          <w:rFonts w:ascii="Arial" w:hAnsi="Arial" w:cs="Arial"/>
        </w:rPr>
        <w:t>)</w:t>
      </w:r>
      <w:r w:rsidR="00B55037">
        <w:rPr>
          <w:rFonts w:ascii="Arial" w:hAnsi="Arial" w:cs="Arial"/>
        </w:rPr>
        <w:t>,</w:t>
      </w:r>
      <w:r w:rsidRPr="003133FA" w:rsidR="00CF72A8">
        <w:rPr>
          <w:rFonts w:ascii="Arial" w:hAnsi="Arial" w:cs="Arial"/>
        </w:rPr>
        <w:t xml:space="preserve"> (dále jen „Rozhodnutí č. 2012/21/EU“) </w:t>
      </w:r>
      <w:r w:rsidRPr="003133FA" w:rsidR="002A5020">
        <w:rPr>
          <w:rFonts w:ascii="Arial" w:hAnsi="Arial" w:cs="Arial"/>
          <w:b/>
        </w:rPr>
        <w:t xml:space="preserve">veřejným objednatelem </w:t>
      </w:r>
      <w:r w:rsidRPr="003133FA" w:rsidR="002A5020">
        <w:rPr>
          <w:rFonts w:ascii="Arial" w:hAnsi="Arial" w:cs="Arial"/>
        </w:rPr>
        <w:t>(</w:t>
      </w:r>
      <w:r w:rsidRPr="003133FA" w:rsidR="00CF72A8">
        <w:rPr>
          <w:rFonts w:ascii="Arial" w:hAnsi="Arial" w:cs="Arial"/>
        </w:rPr>
        <w:t xml:space="preserve">tedy </w:t>
      </w:r>
      <w:r w:rsidRPr="003133FA" w:rsidR="002A5020">
        <w:rPr>
          <w:rFonts w:ascii="Arial" w:hAnsi="Arial" w:cs="Arial"/>
        </w:rPr>
        <w:t>krajem, obcí, organizační složkou státu)</w:t>
      </w:r>
      <w:r w:rsidRPr="003133FA" w:rsidR="00E2230A">
        <w:rPr>
          <w:rFonts w:ascii="Arial" w:hAnsi="Arial" w:cs="Arial"/>
        </w:rPr>
        <w:t xml:space="preserve">. Jedná se o sociální služby, o jejichž potřebě poskytování rozhodl veřejný objednatel, a to především na základě zařazení sociální služby do příslušné sítě sociálních služeb v daném území, a který zároveň v Pověření </w:t>
      </w:r>
      <w:r w:rsidRPr="003133FA" w:rsidR="00EB2049">
        <w:rPr>
          <w:rFonts w:ascii="Arial" w:hAnsi="Arial" w:cs="Arial"/>
        </w:rPr>
        <w:t>provedl vymezení</w:t>
      </w:r>
      <w:r w:rsidRPr="003133FA" w:rsidR="00E2230A">
        <w:rPr>
          <w:rFonts w:ascii="Arial" w:hAnsi="Arial" w:cs="Arial"/>
        </w:rPr>
        <w:t xml:space="preserve"> sociální služb</w:t>
      </w:r>
      <w:r w:rsidRPr="003133FA" w:rsidR="00EB2049">
        <w:rPr>
          <w:rFonts w:ascii="Arial" w:hAnsi="Arial" w:cs="Arial"/>
        </w:rPr>
        <w:t>y</w:t>
      </w:r>
      <w:r w:rsidRPr="003133FA" w:rsidR="00E2230A">
        <w:rPr>
          <w:rFonts w:ascii="Arial" w:hAnsi="Arial" w:cs="Arial"/>
        </w:rPr>
        <w:t xml:space="preserve"> (</w:t>
      </w:r>
      <w:r w:rsidRPr="003133FA" w:rsidR="00EB2049">
        <w:rPr>
          <w:rFonts w:ascii="Arial" w:hAnsi="Arial" w:cs="Arial"/>
        </w:rPr>
        <w:t xml:space="preserve">službu vymezil </w:t>
      </w:r>
      <w:r w:rsidRPr="003133FA" w:rsidR="00E2230A">
        <w:rPr>
          <w:rFonts w:ascii="Arial" w:hAnsi="Arial" w:cs="Arial"/>
        </w:rPr>
        <w:t xml:space="preserve">především identifikátorem služby, kapacitou služby, lokalitou, časovou dostupností, </w:t>
      </w:r>
      <w:r w:rsidR="00194EB5">
        <w:rPr>
          <w:rFonts w:ascii="Arial" w:hAnsi="Arial" w:cs="Arial"/>
        </w:rPr>
        <w:t xml:space="preserve">cílovou skupinou </w:t>
      </w:r>
      <w:r w:rsidRPr="003133FA" w:rsidR="00E2230A">
        <w:rPr>
          <w:rFonts w:ascii="Arial" w:hAnsi="Arial" w:cs="Arial"/>
        </w:rPr>
        <w:t>apod.).</w:t>
      </w:r>
    </w:p>
    <w:p w:rsidRPr="009135F9" w:rsidR="0045114A" w:rsidP="007C02AF" w:rsidRDefault="0045114A">
      <w:pPr>
        <w:spacing w:before="120" w:after="12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Pr="009135F9">
        <w:rPr>
          <w:rFonts w:ascii="Arial" w:hAnsi="Arial" w:cs="Arial"/>
          <w:b/>
        </w:rPr>
        <w:t>ktivity zaměřené na rozvíjení a zkvalitňování sociálních služeb</w:t>
      </w:r>
      <w:r>
        <w:rPr>
          <w:rFonts w:ascii="Arial" w:hAnsi="Arial" w:cs="Arial"/>
          <w:b/>
        </w:rPr>
        <w:t>, které</w:t>
      </w:r>
      <w:r w:rsidRPr="009135F9">
        <w:rPr>
          <w:rFonts w:ascii="Arial" w:hAnsi="Arial" w:cs="Arial"/>
          <w:b/>
        </w:rPr>
        <w:t xml:space="preserve"> </w:t>
      </w:r>
      <w:r w:rsidRPr="009135F9">
        <w:rPr>
          <w:rFonts w:ascii="Arial" w:hAnsi="Arial" w:cs="Arial"/>
        </w:rPr>
        <w:t xml:space="preserve">jsou </w:t>
      </w:r>
      <w:r>
        <w:rPr>
          <w:rFonts w:ascii="Arial" w:hAnsi="Arial" w:cs="Arial"/>
        </w:rPr>
        <w:t>poskytovány a financovány</w:t>
      </w:r>
      <w:r w:rsidRPr="009135F9">
        <w:rPr>
          <w:rFonts w:ascii="Arial" w:hAnsi="Arial" w:cs="Arial"/>
        </w:rPr>
        <w:t xml:space="preserve"> v režimu veřejné podpory v souladu s </w:t>
      </w:r>
      <w:r w:rsidRPr="0095261E" w:rsidDel="00CF72A8">
        <w:rPr>
          <w:rFonts w:ascii="Arial" w:hAnsi="Arial" w:cs="Arial"/>
        </w:rPr>
        <w:t xml:space="preserve"> </w:t>
      </w:r>
      <w:r w:rsidRPr="009135F9">
        <w:rPr>
          <w:rFonts w:ascii="Arial" w:hAnsi="Arial" w:cs="Arial"/>
        </w:rPr>
        <w:t>Rozhodnutí</w:t>
      </w:r>
      <w:r w:rsidR="00194EB5">
        <w:rPr>
          <w:rFonts w:ascii="Arial" w:hAnsi="Arial" w:cs="Arial"/>
        </w:rPr>
        <w:t>m</w:t>
      </w:r>
      <w:r w:rsidRPr="009135F9">
        <w:rPr>
          <w:rFonts w:ascii="Arial" w:hAnsi="Arial" w:cs="Arial"/>
        </w:rPr>
        <w:t xml:space="preserve"> č. 2012/21/EU. Z pohledu věcného zaměření výzvy se rozvojem a zkvalitňováním sociální služby rozumí zejména tyto podporované aktivity:</w:t>
      </w:r>
    </w:p>
    <w:p w:rsidRPr="0040264B" w:rsidR="0045114A" w:rsidP="0045114A" w:rsidRDefault="0045114A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0264B">
        <w:rPr>
          <w:rFonts w:ascii="Arial" w:hAnsi="Arial" w:cs="Arial"/>
        </w:rPr>
        <w:t>odpora kvality a standardizace sociálních služeb,</w:t>
      </w:r>
    </w:p>
    <w:p w:rsidRPr="0040264B" w:rsidR="0045114A" w:rsidP="0045114A" w:rsidRDefault="0045114A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0264B">
        <w:rPr>
          <w:rFonts w:ascii="Arial" w:hAnsi="Arial" w:cs="Arial"/>
        </w:rPr>
        <w:t>ová řešení v oblasti sociálních služeb,</w:t>
      </w:r>
    </w:p>
    <w:p w:rsidR="0045114A" w:rsidP="0045114A" w:rsidRDefault="0045114A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40264B">
        <w:rPr>
          <w:rFonts w:ascii="Arial" w:hAnsi="Arial" w:cs="Arial"/>
        </w:rPr>
        <w:t xml:space="preserve">vzdělávání </w:t>
      </w:r>
      <w:r>
        <w:rPr>
          <w:rFonts w:ascii="Arial" w:hAnsi="Arial" w:cs="Arial"/>
        </w:rPr>
        <w:t>sociálních pracovníků a pracovníků v sociálních službách (akreditované kurzy, kvalifikační kurzy pro pracovníky v sociálních službách a</w:t>
      </w:r>
      <w:r w:rsidR="001A3DA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odborné stáže dle </w:t>
      </w:r>
      <w:r w:rsidRPr="0040264B">
        <w:rPr>
          <w:rFonts w:ascii="Arial" w:hAnsi="Arial" w:cs="Arial"/>
        </w:rPr>
        <w:t>zákona č. 108/2006 Sb., o sociálních službách, ve znění pozdějších předpisů</w:t>
      </w:r>
      <w:r>
        <w:rPr>
          <w:rFonts w:ascii="Arial" w:hAnsi="Arial" w:cs="Arial"/>
        </w:rPr>
        <w:t xml:space="preserve"> a </w:t>
      </w:r>
      <w:r w:rsidRPr="00CA287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kreditované/certifikované </w:t>
      </w:r>
      <w:r w:rsidRPr="00CA2876">
        <w:rPr>
          <w:rFonts w:ascii="Arial" w:hAnsi="Arial" w:cs="Arial"/>
        </w:rPr>
        <w:t>sebezkušenostní</w:t>
      </w:r>
      <w:r>
        <w:rPr>
          <w:rFonts w:ascii="Arial" w:hAnsi="Arial" w:cs="Arial"/>
        </w:rPr>
        <w:t xml:space="preserve"> výcviky). </w:t>
      </w:r>
    </w:p>
    <w:p w:rsidRPr="0043482D" w:rsidR="0045114A" w:rsidP="007C02AF" w:rsidRDefault="0045114A">
      <w:pPr>
        <w:spacing w:before="120" w:after="120"/>
        <w:ind w:left="708"/>
        <w:rPr>
          <w:rFonts w:ascii="Arial" w:hAnsi="Arial" w:cs="Arial"/>
        </w:rPr>
      </w:pPr>
      <w:r w:rsidRPr="0043482D">
        <w:rPr>
          <w:rFonts w:ascii="Arial" w:hAnsi="Arial" w:cs="Arial"/>
        </w:rPr>
        <w:t xml:space="preserve">Veškeré aktivity </w:t>
      </w:r>
      <w:r w:rsidRPr="007C02AF">
        <w:rPr>
          <w:rFonts w:ascii="Arial" w:hAnsi="Arial" w:cs="Arial"/>
        </w:rPr>
        <w:t xml:space="preserve">uvedené pod písmenem B), zaměřené na rozvoj a zkvalitňování sociálních služeb může žadatel realizovat buď přímo ve své organizaci, či ve spolupráci s partnery projektu a dalšími zapojenými subjekty, </w:t>
      </w:r>
      <w:r w:rsidRPr="0043482D">
        <w:rPr>
          <w:rFonts w:ascii="Arial" w:hAnsi="Arial" w:cs="Arial"/>
        </w:rPr>
        <w:t xml:space="preserve">na které </w:t>
      </w:r>
      <w:r w:rsidRPr="007C02AF">
        <w:rPr>
          <w:rFonts w:ascii="Arial" w:hAnsi="Arial" w:cs="Arial"/>
        </w:rPr>
        <w:t>podporu či její část přenáší (tomuto režimu se blíže věnuje kapitola 6).</w:t>
      </w:r>
    </w:p>
    <w:p w:rsidRPr="007C02AF" w:rsidR="0045114A" w:rsidP="007C02AF" w:rsidRDefault="0045114A">
      <w:pPr>
        <w:spacing w:before="120" w:after="120"/>
        <w:rPr>
          <w:rFonts w:ascii="Arial" w:hAnsi="Arial" w:cs="Arial"/>
        </w:rPr>
      </w:pPr>
    </w:p>
    <w:p w:rsidRPr="00E05EC1" w:rsidR="008720E9" w:rsidP="009135F9" w:rsidRDefault="00EE67DC">
      <w:pPr>
        <w:spacing w:before="120" w:after="120"/>
        <w:rPr>
          <w:rFonts w:ascii="Arial" w:hAnsi="Arial" w:cs="Arial"/>
        </w:rPr>
      </w:pPr>
      <w:r w:rsidRPr="00E05EC1">
        <w:rPr>
          <w:rFonts w:ascii="Arial" w:hAnsi="Arial" w:cs="Arial"/>
        </w:rPr>
        <w:t xml:space="preserve">V rámci výzvy je dále </w:t>
      </w:r>
      <w:r w:rsidRPr="00E05EC1">
        <w:rPr>
          <w:rFonts w:ascii="Arial" w:hAnsi="Arial" w:cs="Arial"/>
          <w:b/>
        </w:rPr>
        <w:t xml:space="preserve">možná aplikace podpory de </w:t>
      </w:r>
      <w:proofErr w:type="spellStart"/>
      <w:r w:rsidRPr="00E05EC1">
        <w:rPr>
          <w:rFonts w:ascii="Arial" w:hAnsi="Arial" w:cs="Arial"/>
          <w:b/>
        </w:rPr>
        <w:t>minimis</w:t>
      </w:r>
      <w:proofErr w:type="spellEnd"/>
      <w:r w:rsidRPr="00E05EC1">
        <w:rPr>
          <w:rFonts w:ascii="Arial" w:hAnsi="Arial" w:cs="Arial"/>
          <w:b/>
        </w:rPr>
        <w:t>,</w:t>
      </w:r>
      <w:r w:rsidRPr="00E05EC1" w:rsidR="00D92660">
        <w:rPr>
          <w:rFonts w:ascii="Arial" w:hAnsi="Arial" w:cs="Arial"/>
        </w:rPr>
        <w:t xml:space="preserve"> a to v případech </w:t>
      </w:r>
      <w:r w:rsidRPr="00E05EC1" w:rsidR="003133FA">
        <w:rPr>
          <w:rFonts w:ascii="Arial" w:hAnsi="Arial" w:cs="Arial"/>
        </w:rPr>
        <w:t>uvedených v</w:t>
      </w:r>
      <w:r w:rsidRPr="00E05EC1" w:rsidR="00154DF6">
        <w:rPr>
          <w:rFonts w:ascii="Arial" w:hAnsi="Arial" w:cs="Arial"/>
        </w:rPr>
        <w:t> </w:t>
      </w:r>
      <w:r w:rsidRPr="00E05EC1" w:rsidR="00D92660">
        <w:rPr>
          <w:rFonts w:ascii="Arial" w:hAnsi="Arial" w:cs="Arial"/>
        </w:rPr>
        <w:t xml:space="preserve">kap. 6 nebo </w:t>
      </w:r>
      <w:r w:rsidRPr="00E05EC1" w:rsidR="003133FA">
        <w:rPr>
          <w:rFonts w:ascii="Arial" w:hAnsi="Arial" w:cs="Arial"/>
        </w:rPr>
        <w:t>v případech</w:t>
      </w:r>
      <w:r w:rsidRPr="00E05EC1" w:rsidR="00D92660">
        <w:rPr>
          <w:rFonts w:ascii="Arial" w:hAnsi="Arial" w:cs="Arial"/>
        </w:rPr>
        <w:t>, kde nelze jednoznačně pře</w:t>
      </w:r>
      <w:r w:rsidRPr="00E05EC1" w:rsidR="00AA1AF6">
        <w:rPr>
          <w:rFonts w:ascii="Arial" w:hAnsi="Arial" w:cs="Arial"/>
        </w:rPr>
        <w:t>n</w:t>
      </w:r>
      <w:r w:rsidRPr="00E05EC1" w:rsidR="00D92660">
        <w:rPr>
          <w:rFonts w:ascii="Arial" w:hAnsi="Arial" w:cs="Arial"/>
        </w:rPr>
        <w:t>ést podporu v rámci projektu na</w:t>
      </w:r>
      <w:r w:rsidRPr="00E05EC1" w:rsidR="003133FA">
        <w:rPr>
          <w:rFonts w:ascii="Arial" w:hAnsi="Arial" w:cs="Arial"/>
        </w:rPr>
        <w:t> </w:t>
      </w:r>
      <w:r w:rsidRPr="00E05EC1" w:rsidR="00D92660">
        <w:rPr>
          <w:rFonts w:ascii="Arial" w:hAnsi="Arial" w:cs="Arial"/>
        </w:rPr>
        <w:t>jednotlivé sociální služby</w:t>
      </w:r>
      <w:r w:rsidRPr="00E05EC1" w:rsidR="00BA5E5E">
        <w:rPr>
          <w:rFonts w:ascii="Arial" w:hAnsi="Arial" w:cs="Arial"/>
        </w:rPr>
        <w:t xml:space="preserve"> (</w:t>
      </w:r>
      <w:r w:rsidRPr="00E05EC1" w:rsidR="003133FA">
        <w:rPr>
          <w:rFonts w:ascii="Arial" w:hAnsi="Arial" w:cs="Arial"/>
        </w:rPr>
        <w:t xml:space="preserve">resp. tuto podporu </w:t>
      </w:r>
      <w:r w:rsidRPr="00E05EC1" w:rsidR="00BA5E5E">
        <w:rPr>
          <w:rFonts w:ascii="Arial" w:hAnsi="Arial" w:cs="Arial"/>
        </w:rPr>
        <w:t xml:space="preserve">přiřadit </w:t>
      </w:r>
      <w:r w:rsidRPr="00E05EC1" w:rsidR="003133FA">
        <w:rPr>
          <w:rFonts w:ascii="Arial" w:hAnsi="Arial" w:cs="Arial"/>
        </w:rPr>
        <w:t>k</w:t>
      </w:r>
      <w:r w:rsidRPr="00E05EC1" w:rsidR="00BA5E5E">
        <w:rPr>
          <w:rFonts w:ascii="Arial" w:hAnsi="Arial" w:cs="Arial"/>
        </w:rPr>
        <w:t xml:space="preserve"> jednotlivé sociální </w:t>
      </w:r>
      <w:r w:rsidRPr="00E05EC1" w:rsidR="003133FA">
        <w:rPr>
          <w:rFonts w:ascii="Arial" w:hAnsi="Arial" w:cs="Arial"/>
        </w:rPr>
        <w:t>službě</w:t>
      </w:r>
      <w:r w:rsidRPr="00E05EC1" w:rsidR="00BA5E5E">
        <w:rPr>
          <w:rFonts w:ascii="Arial" w:hAnsi="Arial" w:cs="Arial"/>
        </w:rPr>
        <w:t xml:space="preserve">) </w:t>
      </w:r>
      <w:r w:rsidRPr="00E05EC1" w:rsidR="00D92660">
        <w:rPr>
          <w:rFonts w:ascii="Arial" w:hAnsi="Arial" w:cs="Arial"/>
        </w:rPr>
        <w:t xml:space="preserve">v režimu podpory dle </w:t>
      </w:r>
      <w:r w:rsidRPr="00E05EC1" w:rsidR="008720E9">
        <w:rPr>
          <w:rFonts w:ascii="Arial" w:hAnsi="Arial" w:cs="Arial"/>
        </w:rPr>
        <w:t>Rozhodnutí č. 2012/21/EU</w:t>
      </w:r>
      <w:r w:rsidRPr="00E05EC1" w:rsidR="00D92660">
        <w:rPr>
          <w:rFonts w:ascii="Arial" w:hAnsi="Arial" w:cs="Arial"/>
        </w:rPr>
        <w:t xml:space="preserve">. </w:t>
      </w:r>
    </w:p>
    <w:p w:rsidRPr="009135F9" w:rsidR="0045114A" w:rsidP="009135F9" w:rsidRDefault="0045114A">
      <w:pPr>
        <w:spacing w:before="120" w:after="120"/>
        <w:rPr>
          <w:rFonts w:ascii="Arial" w:hAnsi="Arial" w:cs="Arial"/>
          <w:highlight w:val="yellow"/>
        </w:rPr>
      </w:pPr>
    </w:p>
    <w:p w:rsidRPr="007C02AF" w:rsidR="00CF72A8" w:rsidP="00EE317C" w:rsidRDefault="00CF72A8">
      <w:pPr>
        <w:spacing w:before="120" w:after="120"/>
        <w:rPr>
          <w:rFonts w:ascii="Arial" w:hAnsi="Arial" w:cs="Arial"/>
          <w:i/>
        </w:rPr>
      </w:pPr>
      <w:r w:rsidRPr="007C02AF">
        <w:rPr>
          <w:rFonts w:ascii="Arial" w:hAnsi="Arial" w:cs="Arial"/>
          <w:i/>
        </w:rPr>
        <w:t xml:space="preserve">Další části této přílohy jsou zaměřeny </w:t>
      </w:r>
      <w:r w:rsidR="002E3C17">
        <w:rPr>
          <w:rFonts w:ascii="Arial" w:hAnsi="Arial" w:cs="Arial"/>
          <w:i/>
        </w:rPr>
        <w:t xml:space="preserve">na </w:t>
      </w:r>
      <w:r w:rsidRPr="007C02AF">
        <w:rPr>
          <w:rFonts w:ascii="Arial" w:hAnsi="Arial" w:cs="Arial"/>
          <w:i/>
        </w:rPr>
        <w:t>podmínky poskytnutí veřejné podpory v režimu služeb obecného hospodářského zájmu.</w:t>
      </w:r>
    </w:p>
    <w:p w:rsidR="00CF72A8" w:rsidP="00EE317C" w:rsidRDefault="00CF72A8">
      <w:pPr>
        <w:spacing w:before="120" w:after="120"/>
        <w:rPr>
          <w:rFonts w:ascii="Arial" w:hAnsi="Arial" w:cs="Arial"/>
        </w:rPr>
      </w:pPr>
    </w:p>
    <w:p w:rsidR="00AA45DC" w:rsidP="009135F9" w:rsidRDefault="00AA45DC">
      <w:pPr>
        <w:spacing w:before="120" w:after="120"/>
        <w:rPr>
          <w:rFonts w:ascii="Arial" w:hAnsi="Arial" w:cs="Arial"/>
        </w:rPr>
      </w:pPr>
    </w:p>
    <w:p w:rsidR="00D852C5" w:rsidP="007C02AF" w:rsidRDefault="00437F27">
      <w:pPr>
        <w:pStyle w:val="Nadpis3"/>
        <w:spacing w:after="240"/>
        <w:ind w:left="357" w:hanging="357"/>
      </w:pPr>
      <w:r w:rsidRPr="00267CE6">
        <w:t>Podmínky poskytnutí veřejné podpory na sociální služby v režimu služeb obecného hospodářského zájmu</w:t>
      </w:r>
    </w:p>
    <w:p w:rsidR="005A63E7" w:rsidP="0095261E" w:rsidRDefault="0033144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Rozvoj a zkvalitňování</w:t>
      </w:r>
      <w:r>
        <w:rPr>
          <w:rFonts w:ascii="Arial" w:hAnsi="Arial" w:cs="Arial"/>
        </w:rPr>
        <w:t xml:space="preserve"> </w:t>
      </w:r>
      <w:r w:rsidR="001075EA">
        <w:rPr>
          <w:rFonts w:ascii="Arial" w:hAnsi="Arial" w:cs="Arial"/>
        </w:rPr>
        <w:t xml:space="preserve">sociální </w:t>
      </w:r>
      <w:r w:rsidR="00FB73EB">
        <w:rPr>
          <w:rFonts w:ascii="Arial" w:hAnsi="Arial" w:cs="Arial"/>
        </w:rPr>
        <w:t xml:space="preserve">služby </w:t>
      </w:r>
      <w:r w:rsidR="001075EA">
        <w:rPr>
          <w:rFonts w:ascii="Arial" w:hAnsi="Arial" w:cs="Arial"/>
        </w:rPr>
        <w:t xml:space="preserve">bude v rámci </w:t>
      </w:r>
      <w:r w:rsidR="00FB73EB">
        <w:rPr>
          <w:rFonts w:ascii="Arial" w:hAnsi="Arial" w:cs="Arial"/>
        </w:rPr>
        <w:t xml:space="preserve">projektu podpořeno </w:t>
      </w:r>
      <w:r w:rsidR="001075EA">
        <w:rPr>
          <w:rFonts w:ascii="Arial" w:hAnsi="Arial" w:cs="Arial"/>
        </w:rPr>
        <w:t>pouze za</w:t>
      </w:r>
      <w:r w:rsidR="00FB73EB">
        <w:rPr>
          <w:rFonts w:ascii="Arial" w:hAnsi="Arial" w:cs="Arial"/>
        </w:rPr>
        <w:t> </w:t>
      </w:r>
      <w:r w:rsidR="001075EA">
        <w:rPr>
          <w:rFonts w:ascii="Arial" w:hAnsi="Arial" w:cs="Arial"/>
        </w:rPr>
        <w:t xml:space="preserve">předpokladu, že </w:t>
      </w:r>
      <w:r w:rsidRPr="007C02AF">
        <w:rPr>
          <w:rFonts w:ascii="Arial" w:hAnsi="Arial" w:cs="Arial"/>
          <w:b/>
        </w:rPr>
        <w:t xml:space="preserve">poskytování </w:t>
      </w:r>
      <w:r w:rsidRPr="003133FA" w:rsidR="005A63E7">
        <w:rPr>
          <w:rFonts w:ascii="Arial" w:hAnsi="Arial" w:cs="Arial"/>
          <w:b/>
        </w:rPr>
        <w:t>sociální služ</w:t>
      </w:r>
      <w:r w:rsidRPr="003133FA" w:rsidR="001075EA">
        <w:rPr>
          <w:rFonts w:ascii="Arial" w:hAnsi="Arial" w:cs="Arial"/>
          <w:b/>
        </w:rPr>
        <w:t>b</w:t>
      </w:r>
      <w:r w:rsidRPr="003133FA">
        <w:rPr>
          <w:rFonts w:ascii="Arial" w:hAnsi="Arial" w:cs="Arial"/>
          <w:b/>
        </w:rPr>
        <w:t>y</w:t>
      </w:r>
      <w:r w:rsidRPr="003133FA" w:rsidR="005A63E7">
        <w:rPr>
          <w:rFonts w:ascii="Arial" w:hAnsi="Arial" w:cs="Arial"/>
          <w:b/>
        </w:rPr>
        <w:t xml:space="preserve"> </w:t>
      </w:r>
      <w:r w:rsidRPr="003133FA" w:rsidR="00FB73EB">
        <w:rPr>
          <w:rFonts w:ascii="Arial" w:hAnsi="Arial" w:cs="Arial"/>
          <w:b/>
        </w:rPr>
        <w:t xml:space="preserve">bude </w:t>
      </w:r>
      <w:r w:rsidRPr="007C02AF" w:rsidR="005A63E7">
        <w:rPr>
          <w:rFonts w:ascii="Arial" w:hAnsi="Arial" w:cs="Arial"/>
          <w:b/>
        </w:rPr>
        <w:t xml:space="preserve">v souladu se </w:t>
      </w:r>
      <w:r w:rsidRPr="007C02AF" w:rsidR="00292542">
        <w:rPr>
          <w:rFonts w:ascii="Arial" w:hAnsi="Arial" w:cs="Arial"/>
          <w:b/>
        </w:rPr>
        <w:t>strategickým dokumentem</w:t>
      </w:r>
      <w:r w:rsidR="00292542">
        <w:rPr>
          <w:rFonts w:ascii="Arial" w:hAnsi="Arial" w:cs="Arial"/>
        </w:rPr>
        <w:t xml:space="preserve">, který zahrnuje otázku rozvoje sociální </w:t>
      </w:r>
      <w:r w:rsidR="00FB73EB">
        <w:rPr>
          <w:rFonts w:ascii="Arial" w:hAnsi="Arial" w:cs="Arial"/>
        </w:rPr>
        <w:t xml:space="preserve">služby </w:t>
      </w:r>
      <w:r w:rsidR="00292542">
        <w:rPr>
          <w:rFonts w:ascii="Arial" w:hAnsi="Arial" w:cs="Arial"/>
        </w:rPr>
        <w:t xml:space="preserve">na daném území </w:t>
      </w:r>
      <w:r w:rsidR="001B4841">
        <w:rPr>
          <w:rFonts w:ascii="Arial" w:hAnsi="Arial" w:cs="Arial"/>
        </w:rPr>
        <w:t xml:space="preserve">a </w:t>
      </w:r>
      <w:r w:rsidR="00FB73EB">
        <w:rPr>
          <w:rFonts w:ascii="Arial" w:hAnsi="Arial" w:cs="Arial"/>
        </w:rPr>
        <w:t xml:space="preserve">stanovuje </w:t>
      </w:r>
      <w:r w:rsidR="001B4841">
        <w:rPr>
          <w:rFonts w:ascii="Arial" w:hAnsi="Arial" w:cs="Arial"/>
        </w:rPr>
        <w:t xml:space="preserve">potřebnost </w:t>
      </w:r>
      <w:r w:rsidR="00FB73EB">
        <w:rPr>
          <w:rFonts w:ascii="Arial" w:hAnsi="Arial" w:cs="Arial"/>
        </w:rPr>
        <w:t xml:space="preserve">poskytování </w:t>
      </w:r>
      <w:r w:rsidR="001B4841">
        <w:rPr>
          <w:rFonts w:ascii="Arial" w:hAnsi="Arial" w:cs="Arial"/>
        </w:rPr>
        <w:t xml:space="preserve">dané sociální služby </w:t>
      </w:r>
      <w:r w:rsidR="00292542">
        <w:rPr>
          <w:rFonts w:ascii="Arial" w:hAnsi="Arial" w:cs="Arial"/>
        </w:rPr>
        <w:t>(</w:t>
      </w:r>
      <w:r w:rsidR="00FB73EB">
        <w:rPr>
          <w:rFonts w:ascii="Arial" w:hAnsi="Arial" w:cs="Arial"/>
        </w:rPr>
        <w:t xml:space="preserve">strategickým dokumentem se pro účely výzvy rozumí </w:t>
      </w:r>
      <w:r w:rsidRPr="00FC5EBB" w:rsidR="005A63E7">
        <w:rPr>
          <w:rFonts w:ascii="Arial" w:hAnsi="Arial" w:cs="Arial"/>
        </w:rPr>
        <w:t>střednědob</w:t>
      </w:r>
      <w:r w:rsidR="00FB73EB">
        <w:rPr>
          <w:rFonts w:ascii="Arial" w:hAnsi="Arial" w:cs="Arial"/>
        </w:rPr>
        <w:t>ý</w:t>
      </w:r>
      <w:r w:rsidRPr="00FC5EBB" w:rsidR="005A63E7">
        <w:rPr>
          <w:rFonts w:ascii="Arial" w:hAnsi="Arial" w:cs="Arial"/>
        </w:rPr>
        <w:t xml:space="preserve"> plán </w:t>
      </w:r>
      <w:r w:rsidR="00CC7D45">
        <w:rPr>
          <w:rFonts w:ascii="Arial" w:hAnsi="Arial" w:cs="Arial"/>
        </w:rPr>
        <w:t xml:space="preserve">rozvoje sociálních služeb kraje popř. </w:t>
      </w:r>
      <w:r w:rsidR="005A63E7">
        <w:rPr>
          <w:rFonts w:ascii="Arial" w:hAnsi="Arial" w:cs="Arial"/>
        </w:rPr>
        <w:t>obce</w:t>
      </w:r>
      <w:r w:rsidR="00FB73EB">
        <w:rPr>
          <w:rFonts w:ascii="Arial" w:hAnsi="Arial" w:cs="Arial"/>
        </w:rPr>
        <w:t>,</w:t>
      </w:r>
      <w:r w:rsidR="005A63E7">
        <w:rPr>
          <w:rFonts w:ascii="Arial" w:hAnsi="Arial" w:cs="Arial"/>
        </w:rPr>
        <w:t xml:space="preserve"> </w:t>
      </w:r>
      <w:r w:rsidR="003133FA">
        <w:rPr>
          <w:rFonts w:ascii="Arial" w:hAnsi="Arial" w:cs="Arial"/>
        </w:rPr>
        <w:t xml:space="preserve">národní </w:t>
      </w:r>
      <w:r w:rsidR="005A63E7">
        <w:rPr>
          <w:rFonts w:ascii="Arial" w:hAnsi="Arial" w:cs="Arial"/>
        </w:rPr>
        <w:t>plán rozvoje sociálních služeb</w:t>
      </w:r>
      <w:r w:rsidR="005C7350">
        <w:rPr>
          <w:rFonts w:ascii="Arial" w:hAnsi="Arial" w:cs="Arial"/>
        </w:rPr>
        <w:t xml:space="preserve"> nebo jiný významově srovnatelný dokument</w:t>
      </w:r>
      <w:r w:rsidR="00292542">
        <w:rPr>
          <w:rFonts w:ascii="Arial" w:hAnsi="Arial" w:cs="Arial"/>
        </w:rPr>
        <w:t>)</w:t>
      </w:r>
      <w:r w:rsidR="001075EA">
        <w:rPr>
          <w:rFonts w:ascii="Arial" w:hAnsi="Arial" w:cs="Arial"/>
        </w:rPr>
        <w:t>.</w:t>
      </w:r>
    </w:p>
    <w:p w:rsidR="00331446" w:rsidP="0095261E" w:rsidRDefault="00DE61FB">
      <w:pPr>
        <w:spacing w:before="120" w:after="120"/>
        <w:rPr>
          <w:rFonts w:ascii="Arial" w:hAnsi="Arial" w:cs="Arial"/>
        </w:rPr>
      </w:pPr>
      <w:r w:rsidRPr="00CD5A93">
        <w:rPr>
          <w:rFonts w:ascii="Arial" w:hAnsi="Arial" w:cs="Arial"/>
          <w:b/>
        </w:rPr>
        <w:lastRenderedPageBreak/>
        <w:t xml:space="preserve">Poskytovatel sociální služby </w:t>
      </w:r>
      <w:r w:rsidRPr="009135F9">
        <w:rPr>
          <w:rFonts w:ascii="Arial" w:hAnsi="Arial" w:cs="Arial"/>
          <w:b/>
          <w:u w:val="single"/>
        </w:rPr>
        <w:t>musí být pověřen</w:t>
      </w:r>
      <w:r w:rsidRPr="007C02AF">
        <w:rPr>
          <w:rFonts w:ascii="Arial" w:hAnsi="Arial" w:cs="Arial"/>
          <w:b/>
          <w:u w:val="single"/>
        </w:rPr>
        <w:t xml:space="preserve"> objednatelem</w:t>
      </w:r>
      <w:r w:rsidRPr="00FC5EBB">
        <w:rPr>
          <w:rFonts w:ascii="Arial" w:hAnsi="Arial" w:cs="Arial"/>
        </w:rPr>
        <w:t xml:space="preserve"> k poskytování služ</w:t>
      </w:r>
      <w:r>
        <w:rPr>
          <w:rFonts w:ascii="Arial" w:hAnsi="Arial" w:cs="Arial"/>
        </w:rPr>
        <w:t>by</w:t>
      </w:r>
      <w:r w:rsidRPr="00FC5EBB">
        <w:rPr>
          <w:rFonts w:ascii="Arial" w:hAnsi="Arial" w:cs="Arial"/>
        </w:rPr>
        <w:t xml:space="preserve"> obecného hospodářského zájmu (</w:t>
      </w:r>
      <w:r w:rsidR="00CC7D45">
        <w:rPr>
          <w:rFonts w:ascii="Arial" w:hAnsi="Arial" w:cs="Arial"/>
        </w:rPr>
        <w:t xml:space="preserve">tj. </w:t>
      </w:r>
      <w:r w:rsidRPr="00FC5EBB">
        <w:rPr>
          <w:rFonts w:ascii="Arial" w:hAnsi="Arial" w:cs="Arial"/>
        </w:rPr>
        <w:t xml:space="preserve">sociální služby) v souladu s </w:t>
      </w:r>
      <w:r w:rsidRPr="003C29A0">
        <w:rPr>
          <w:rFonts w:ascii="Arial" w:hAnsi="Arial" w:cs="Arial"/>
        </w:rPr>
        <w:t>Rozhodnutím č. 2012/21/EU</w:t>
      </w:r>
      <w:r w:rsidR="00FB73EB">
        <w:rPr>
          <w:rFonts w:ascii="Arial" w:hAnsi="Arial" w:cs="Arial"/>
        </w:rPr>
        <w:t xml:space="preserve">, a </w:t>
      </w:r>
      <w:r w:rsidRPr="009135F9" w:rsidR="00FB73EB">
        <w:rPr>
          <w:rFonts w:ascii="Arial" w:hAnsi="Arial" w:cs="Arial"/>
          <w:b/>
        </w:rPr>
        <w:t xml:space="preserve">to </w:t>
      </w:r>
      <w:r w:rsidR="00B55037">
        <w:rPr>
          <w:rFonts w:ascii="Arial" w:hAnsi="Arial" w:cs="Arial"/>
          <w:b/>
        </w:rPr>
        <w:t xml:space="preserve">nejméně </w:t>
      </w:r>
      <w:r w:rsidRPr="009135F9" w:rsidR="00FB73EB">
        <w:rPr>
          <w:rFonts w:ascii="Arial" w:hAnsi="Arial" w:cs="Arial"/>
          <w:b/>
        </w:rPr>
        <w:t>po dobu podpory aktivit projektu zaměřených na rozvoj a</w:t>
      </w:r>
      <w:r w:rsidR="00154DF6">
        <w:rPr>
          <w:rFonts w:ascii="Arial" w:hAnsi="Arial" w:cs="Arial"/>
          <w:b/>
        </w:rPr>
        <w:t> </w:t>
      </w:r>
      <w:r w:rsidRPr="009135F9" w:rsidR="00FB73EB">
        <w:rPr>
          <w:rFonts w:ascii="Arial" w:hAnsi="Arial" w:cs="Arial"/>
          <w:b/>
        </w:rPr>
        <w:t xml:space="preserve">zkvalitňování sociální služby. </w:t>
      </w:r>
      <w:r w:rsidR="00FB73EB">
        <w:rPr>
          <w:rFonts w:ascii="Arial" w:hAnsi="Arial" w:cs="Arial"/>
        </w:rPr>
        <w:t xml:space="preserve">Tato skutečnost bude ověřena před vydáním Rozhodnutí o poskytnutí dotace. V případě, kdy sociální služba bude </w:t>
      </w:r>
      <w:r w:rsidR="005C7350">
        <w:rPr>
          <w:rFonts w:ascii="Arial" w:hAnsi="Arial" w:cs="Arial"/>
        </w:rPr>
        <w:t>o</w:t>
      </w:r>
      <w:r w:rsidR="00FB73EB">
        <w:rPr>
          <w:rFonts w:ascii="Arial" w:hAnsi="Arial" w:cs="Arial"/>
        </w:rPr>
        <w:t>bjednatelem pověřena na kratší období než je doba trvání projektu, je poskytovatel služby povinen předložit návazné či změnové Pověření v průběhu realizace projektu.</w:t>
      </w:r>
    </w:p>
    <w:p w:rsidRPr="007A4646" w:rsidR="004066C5" w:rsidP="004066C5" w:rsidRDefault="004066C5">
      <w:pPr>
        <w:pStyle w:val="Default"/>
        <w:spacing w:before="120" w:after="120"/>
        <w:jc w:val="both"/>
        <w:rPr>
          <w:rFonts w:cs="Arial"/>
          <w:szCs w:val="22"/>
        </w:rPr>
      </w:pPr>
      <w:r w:rsidRPr="009F6860">
        <w:rPr>
          <w:rFonts w:ascii="Arial" w:hAnsi="Arial" w:cs="Arial"/>
          <w:b/>
          <w:sz w:val="22"/>
          <w:szCs w:val="22"/>
        </w:rPr>
        <w:t>Objednatelem, který je oprávněn vydat Pověření,</w:t>
      </w:r>
      <w:r>
        <w:rPr>
          <w:rFonts w:ascii="Arial" w:hAnsi="Arial" w:cs="Arial"/>
          <w:sz w:val="22"/>
          <w:szCs w:val="22"/>
        </w:rPr>
        <w:t xml:space="preserve"> se pro účely této výzvy rozumí kraj, obec, </w:t>
      </w:r>
      <w:r w:rsidR="000C2103">
        <w:rPr>
          <w:rFonts w:ascii="Arial" w:hAnsi="Arial" w:cs="Arial"/>
          <w:sz w:val="22"/>
          <w:szCs w:val="22"/>
        </w:rPr>
        <w:t xml:space="preserve">organizační složka státu, zejména </w:t>
      </w:r>
      <w:r>
        <w:rPr>
          <w:rFonts w:ascii="Arial" w:hAnsi="Arial" w:cs="Arial"/>
          <w:sz w:val="22"/>
          <w:szCs w:val="22"/>
        </w:rPr>
        <w:t>Ministerstvo práce a sociálních věcí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0C2103">
        <w:rPr>
          <w:rFonts w:ascii="Arial" w:hAnsi="Arial" w:cs="Arial"/>
          <w:sz w:val="22"/>
          <w:szCs w:val="22"/>
        </w:rPr>
        <w:t xml:space="preserve"> (dále jen „Objednatel“)</w:t>
      </w:r>
      <w:r>
        <w:rPr>
          <w:rFonts w:ascii="Arial" w:hAnsi="Arial" w:cs="Arial"/>
          <w:sz w:val="22"/>
          <w:szCs w:val="22"/>
        </w:rPr>
        <w:t>.</w:t>
      </w:r>
      <w:r w:rsidRPr="009F6860">
        <w:rPr>
          <w:rFonts w:ascii="Arial" w:hAnsi="Arial" w:cs="Arial"/>
          <w:sz w:val="22"/>
          <w:szCs w:val="22"/>
        </w:rPr>
        <w:t xml:space="preserve"> </w:t>
      </w:r>
    </w:p>
    <w:p w:rsidR="000C2103" w:rsidP="0095261E" w:rsidRDefault="008052A5">
      <w:pPr>
        <w:spacing w:before="120" w:after="120"/>
        <w:rPr>
          <w:rFonts w:ascii="Arial" w:hAnsi="Arial" w:cs="Arial"/>
        </w:rPr>
      </w:pPr>
      <w:r w:rsidRPr="00CD5A93">
        <w:rPr>
          <w:rFonts w:ascii="Arial" w:hAnsi="Arial" w:cs="Arial"/>
          <w:b/>
        </w:rPr>
        <w:t>Pověření</w:t>
      </w:r>
      <w:r>
        <w:rPr>
          <w:rFonts w:ascii="Arial" w:hAnsi="Arial" w:cs="Arial"/>
        </w:rPr>
        <w:t xml:space="preserve">, kterým </w:t>
      </w:r>
      <w:r w:rsidR="00F041B4">
        <w:rPr>
          <w:rFonts w:ascii="Arial" w:hAnsi="Arial" w:cs="Arial"/>
        </w:rPr>
        <w:t>O</w:t>
      </w:r>
      <w:r>
        <w:rPr>
          <w:rFonts w:ascii="Arial" w:hAnsi="Arial" w:cs="Arial"/>
        </w:rPr>
        <w:t>bjednatel pověřil poskytovatele poskytováním sociální služby,</w:t>
      </w:r>
      <w:r w:rsidR="000C2103">
        <w:rPr>
          <w:rFonts w:ascii="Arial" w:hAnsi="Arial" w:cs="Arial"/>
        </w:rPr>
        <w:t xml:space="preserve"> </w:t>
      </w:r>
      <w:r w:rsidRPr="00CD5A93">
        <w:rPr>
          <w:rFonts w:ascii="Arial" w:hAnsi="Arial" w:cs="Arial"/>
          <w:b/>
        </w:rPr>
        <w:t>musí naplňovat náležitosti stanovené v článku 4 Rozhodnutí č.</w:t>
      </w:r>
      <w:r w:rsidR="00CC756C">
        <w:rPr>
          <w:rFonts w:ascii="Arial" w:hAnsi="Arial" w:cs="Arial"/>
          <w:b/>
        </w:rPr>
        <w:t xml:space="preserve"> </w:t>
      </w:r>
      <w:r w:rsidRPr="00CD5A93">
        <w:rPr>
          <w:rFonts w:ascii="Arial" w:hAnsi="Arial" w:cs="Arial"/>
          <w:b/>
        </w:rPr>
        <w:t xml:space="preserve">2012/21/EU. </w:t>
      </w:r>
      <w:r w:rsidR="000C2103">
        <w:rPr>
          <w:rFonts w:ascii="Arial" w:hAnsi="Arial" w:cs="Arial"/>
          <w:b/>
        </w:rPr>
        <w:t xml:space="preserve">Toto Pověření </w:t>
      </w:r>
      <w:r w:rsidR="00FB73EB">
        <w:rPr>
          <w:rFonts w:ascii="Arial" w:hAnsi="Arial" w:cs="Arial"/>
        </w:rPr>
        <w:t>musí obsahovat</w:t>
      </w:r>
      <w:r w:rsidR="000C2103">
        <w:rPr>
          <w:rFonts w:ascii="Arial" w:hAnsi="Arial" w:cs="Arial"/>
        </w:rPr>
        <w:t xml:space="preserve"> vymezení </w:t>
      </w:r>
      <w:r w:rsidR="00FB73EB">
        <w:rPr>
          <w:rFonts w:ascii="Arial" w:hAnsi="Arial" w:cs="Arial"/>
        </w:rPr>
        <w:t xml:space="preserve">poskytované </w:t>
      </w:r>
      <w:r w:rsidR="000C2103">
        <w:rPr>
          <w:rFonts w:ascii="Arial" w:hAnsi="Arial" w:cs="Arial"/>
        </w:rPr>
        <w:t xml:space="preserve">sociální služby (zejména </w:t>
      </w:r>
      <w:r w:rsidR="00CC756C">
        <w:rPr>
          <w:rFonts w:ascii="Arial" w:hAnsi="Arial" w:cs="Arial"/>
        </w:rPr>
        <w:t>z</w:t>
      </w:r>
      <w:r w:rsidR="000C2103">
        <w:rPr>
          <w:rFonts w:ascii="Arial" w:hAnsi="Arial" w:cs="Arial"/>
        </w:rPr>
        <w:t> pohledu</w:t>
      </w:r>
      <w:r w:rsidRPr="000C2103" w:rsidR="000C2103">
        <w:rPr>
          <w:rFonts w:ascii="Arial" w:hAnsi="Arial" w:cs="Arial"/>
        </w:rPr>
        <w:t xml:space="preserve"> </w:t>
      </w:r>
      <w:r w:rsidR="000C2103">
        <w:rPr>
          <w:rFonts w:ascii="Arial" w:hAnsi="Arial" w:cs="Arial"/>
        </w:rPr>
        <w:t xml:space="preserve">identifikátoru služby, potřebné kapacity služby, lokality, ve které je služba poskytována, časové dostupnosti, </w:t>
      </w:r>
      <w:r w:rsidR="005C7350">
        <w:rPr>
          <w:rFonts w:ascii="Arial" w:hAnsi="Arial" w:cs="Arial"/>
        </w:rPr>
        <w:t xml:space="preserve">cílové skupiny </w:t>
      </w:r>
      <w:r w:rsidR="000C2103">
        <w:rPr>
          <w:rFonts w:ascii="Arial" w:hAnsi="Arial" w:cs="Arial"/>
        </w:rPr>
        <w:t>apod.</w:t>
      </w:r>
      <w:r w:rsidR="00FB73EB">
        <w:rPr>
          <w:rFonts w:ascii="Arial" w:hAnsi="Arial" w:cs="Arial"/>
        </w:rPr>
        <w:t xml:space="preserve"> – způsob vymezení služby je v kompetenci Objednatele</w:t>
      </w:r>
      <w:r w:rsidR="000C2103">
        <w:rPr>
          <w:rFonts w:ascii="Arial" w:hAnsi="Arial" w:cs="Arial"/>
        </w:rPr>
        <w:t xml:space="preserve">). </w:t>
      </w:r>
    </w:p>
    <w:p w:rsidRPr="00235DD0" w:rsidR="00235DD0" w:rsidP="00235DD0" w:rsidRDefault="004A197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Při podání žádosti o podporu je </w:t>
      </w:r>
      <w:r w:rsidR="001B4841">
        <w:rPr>
          <w:rFonts w:ascii="Arial" w:hAnsi="Arial" w:cs="Arial"/>
        </w:rPr>
        <w:t xml:space="preserve">žadatel </w:t>
      </w:r>
      <w:r>
        <w:rPr>
          <w:rFonts w:ascii="Arial" w:hAnsi="Arial" w:cs="Arial"/>
        </w:rPr>
        <w:t>povinen</w:t>
      </w:r>
      <w:r w:rsidRPr="009135F9">
        <w:rPr>
          <w:rFonts w:ascii="Arial" w:hAnsi="Arial" w:cs="Arial"/>
          <w:b/>
        </w:rPr>
        <w:t xml:space="preserve"> </w:t>
      </w:r>
      <w:r w:rsidRPr="009135F9" w:rsidR="001B4841">
        <w:rPr>
          <w:rFonts w:ascii="Arial" w:hAnsi="Arial" w:cs="Arial"/>
          <w:b/>
        </w:rPr>
        <w:t xml:space="preserve">doložit souhlas Objednatele s podporou </w:t>
      </w:r>
      <w:r w:rsidRPr="009135F9">
        <w:rPr>
          <w:rFonts w:ascii="Arial" w:hAnsi="Arial" w:cs="Arial"/>
          <w:b/>
        </w:rPr>
        <w:t xml:space="preserve">rozvoje a zkvalitňování </w:t>
      </w:r>
      <w:r w:rsidRPr="009135F9" w:rsidR="001B4841">
        <w:rPr>
          <w:rFonts w:ascii="Arial" w:hAnsi="Arial" w:cs="Arial"/>
          <w:b/>
        </w:rPr>
        <w:t xml:space="preserve">sociální služby </w:t>
      </w:r>
      <w:r w:rsidR="0095261E">
        <w:rPr>
          <w:rFonts w:ascii="Arial" w:hAnsi="Arial" w:cs="Arial"/>
          <w:b/>
        </w:rPr>
        <w:t>v rámci projektu </w:t>
      </w:r>
      <w:r w:rsidRPr="009135F9" w:rsidR="001B4841">
        <w:rPr>
          <w:rFonts w:ascii="Arial" w:hAnsi="Arial" w:cs="Arial"/>
          <w:b/>
        </w:rPr>
        <w:t>OPZ</w:t>
      </w:r>
      <w:r w:rsidR="0095261E">
        <w:rPr>
          <w:rFonts w:ascii="Arial" w:hAnsi="Arial" w:cs="Arial"/>
          <w:b/>
        </w:rPr>
        <w:t>.</w:t>
      </w:r>
      <w:r w:rsidR="00235DD0">
        <w:rPr>
          <w:rFonts w:ascii="Arial" w:hAnsi="Arial" w:cs="Arial"/>
          <w:b/>
        </w:rPr>
        <w:t xml:space="preserve"> </w:t>
      </w:r>
      <w:r w:rsidRPr="00E05EC1" w:rsidR="00235DD0">
        <w:rPr>
          <w:rFonts w:ascii="Arial" w:hAnsi="Arial" w:cs="Arial"/>
        </w:rPr>
        <w:t xml:space="preserve">V případě, že Objednatel nebude souhlasit s rozšířením Pověření Objednatele prostřednictvím Rozvojového pověření, </w:t>
      </w:r>
      <w:r w:rsidRPr="00235DD0" w:rsidR="00235DD0">
        <w:rPr>
          <w:rFonts w:ascii="Arial" w:hAnsi="Arial" w:cs="Arial"/>
        </w:rPr>
        <w:t>nebude projekt doporučen k podpoře.</w:t>
      </w:r>
    </w:p>
    <w:p w:rsidR="00177A01" w:rsidP="0095261E" w:rsidRDefault="00177A01">
      <w:pPr>
        <w:spacing w:before="120" w:after="120"/>
        <w:rPr>
          <w:rFonts w:ascii="Arial" w:hAnsi="Arial" w:cs="Arial"/>
          <w:b/>
        </w:rPr>
      </w:pPr>
    </w:p>
    <w:p w:rsidR="0095261E" w:rsidP="00EE317C" w:rsidRDefault="001B484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Žadatel tento souhlas dokládá na </w:t>
      </w:r>
      <w:r w:rsidRPr="009135F9">
        <w:rPr>
          <w:rFonts w:ascii="Arial" w:hAnsi="Arial" w:cs="Arial"/>
          <w:b/>
        </w:rPr>
        <w:t xml:space="preserve">formuláři „Vyjádření objednatele </w:t>
      </w:r>
      <w:r w:rsidRPr="009135F9" w:rsidR="00D16CA4">
        <w:rPr>
          <w:rFonts w:ascii="Arial" w:hAnsi="Arial" w:cs="Arial"/>
          <w:b/>
        </w:rPr>
        <w:t xml:space="preserve">sociální služby </w:t>
      </w:r>
      <w:r w:rsidRPr="009135F9">
        <w:rPr>
          <w:rFonts w:ascii="Arial" w:hAnsi="Arial" w:cs="Arial"/>
          <w:b/>
        </w:rPr>
        <w:t>k projektu“,</w:t>
      </w:r>
      <w:r>
        <w:rPr>
          <w:rFonts w:ascii="Arial" w:hAnsi="Arial" w:cs="Arial"/>
        </w:rPr>
        <w:t xml:space="preserve"> který je </w:t>
      </w:r>
      <w:r w:rsidRPr="002E3C17">
        <w:rPr>
          <w:rFonts w:ascii="Arial" w:hAnsi="Arial" w:cs="Arial"/>
        </w:rPr>
        <w:t>přílohou výzvy č.</w:t>
      </w:r>
      <w:r w:rsidRPr="002E3C17" w:rsidR="006F0A11">
        <w:rPr>
          <w:rFonts w:ascii="Arial" w:hAnsi="Arial" w:cs="Arial"/>
        </w:rPr>
        <w:t xml:space="preserve"> 1a.</w:t>
      </w:r>
      <w:r>
        <w:rPr>
          <w:rFonts w:ascii="Arial" w:hAnsi="Arial" w:cs="Arial"/>
        </w:rPr>
        <w:t xml:space="preserve"> </w:t>
      </w:r>
      <w:r w:rsidRPr="001B4841">
        <w:rPr>
          <w:rFonts w:ascii="Arial" w:hAnsi="Arial" w:cs="Arial"/>
        </w:rPr>
        <w:t xml:space="preserve">Objednatel </w:t>
      </w:r>
      <w:r>
        <w:rPr>
          <w:rFonts w:ascii="Arial" w:hAnsi="Arial" w:cs="Arial"/>
        </w:rPr>
        <w:t xml:space="preserve">na této příloze prohlašuje, že </w:t>
      </w:r>
      <w:r w:rsidRPr="001B4841">
        <w:rPr>
          <w:rFonts w:ascii="Arial" w:hAnsi="Arial" w:cs="Arial"/>
        </w:rPr>
        <w:t>souhlasí</w:t>
      </w:r>
      <w:r w:rsidR="0095261E">
        <w:rPr>
          <w:rFonts w:ascii="Arial" w:hAnsi="Arial" w:cs="Arial"/>
        </w:rPr>
        <w:t>:</w:t>
      </w:r>
    </w:p>
    <w:p w:rsidRPr="009135F9" w:rsidR="0095261E" w:rsidP="009135F9" w:rsidRDefault="001B4841">
      <w:pPr>
        <w:pStyle w:val="Odstavecseseznamem"/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9135F9">
        <w:rPr>
          <w:rFonts w:ascii="Arial" w:hAnsi="Arial" w:cs="Arial"/>
        </w:rPr>
        <w:t>s</w:t>
      </w:r>
      <w:r w:rsidRPr="009135F9" w:rsidR="0095261E">
        <w:rPr>
          <w:rFonts w:ascii="Arial" w:hAnsi="Arial" w:cs="Arial"/>
        </w:rPr>
        <w:t> podporou rozvoje a zkvalitňování sociální služby prostřednictvím projektu OPZ,</w:t>
      </w:r>
    </w:p>
    <w:p w:rsidRPr="009135F9" w:rsidR="0095261E" w:rsidP="0071587A" w:rsidRDefault="0095261E">
      <w:pPr>
        <w:pStyle w:val="Odstavecseseznamem"/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9135F9">
        <w:rPr>
          <w:rFonts w:ascii="Arial" w:hAnsi="Arial" w:cs="Arial"/>
        </w:rPr>
        <w:t xml:space="preserve">s přistoupením </w:t>
      </w:r>
      <w:r w:rsidRPr="009135F9" w:rsidR="004C7314">
        <w:rPr>
          <w:rFonts w:ascii="Arial" w:hAnsi="Arial" w:cs="Arial"/>
        </w:rPr>
        <w:t>Řídicí</w:t>
      </w:r>
      <w:r w:rsidRPr="009135F9">
        <w:rPr>
          <w:rFonts w:ascii="Arial" w:hAnsi="Arial" w:cs="Arial"/>
        </w:rPr>
        <w:t>ho</w:t>
      </w:r>
      <w:r w:rsidRPr="009135F9" w:rsidR="004C7314">
        <w:rPr>
          <w:rFonts w:ascii="Arial" w:hAnsi="Arial" w:cs="Arial"/>
        </w:rPr>
        <w:t xml:space="preserve"> orgán</w:t>
      </w:r>
      <w:r w:rsidRPr="009135F9">
        <w:rPr>
          <w:rFonts w:ascii="Arial" w:hAnsi="Arial" w:cs="Arial"/>
        </w:rPr>
        <w:t>u</w:t>
      </w:r>
      <w:r w:rsidRPr="009135F9" w:rsidR="004C7314">
        <w:rPr>
          <w:rFonts w:ascii="Arial" w:hAnsi="Arial" w:cs="Arial"/>
        </w:rPr>
        <w:t xml:space="preserve"> OPZ (</w:t>
      </w:r>
      <w:r w:rsidRPr="009135F9">
        <w:rPr>
          <w:rFonts w:ascii="Arial" w:hAnsi="Arial" w:cs="Arial"/>
        </w:rPr>
        <w:t>Ministerstva práce a sociálních věcí, odboru realizace programů ESF – sociální začleňování</w:t>
      </w:r>
      <w:r w:rsidRPr="009135F9" w:rsidR="004C731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135F9" w:rsidR="004A1979">
        <w:rPr>
          <w:rFonts w:ascii="Arial" w:hAnsi="Arial" w:cs="Arial"/>
        </w:rPr>
        <w:t xml:space="preserve">k Pověření </w:t>
      </w:r>
      <w:r w:rsidRPr="009135F9">
        <w:rPr>
          <w:rFonts w:ascii="Arial" w:hAnsi="Arial" w:cs="Arial"/>
        </w:rPr>
        <w:t>Objednatele</w:t>
      </w:r>
      <w:r>
        <w:rPr>
          <w:rFonts w:ascii="Arial" w:hAnsi="Arial" w:cs="Arial"/>
        </w:rPr>
        <w:t>,</w:t>
      </w:r>
    </w:p>
    <w:p w:rsidRPr="002E3C17" w:rsidR="001B4841" w:rsidP="002E3C17" w:rsidRDefault="0095261E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6F0A11">
        <w:rPr>
          <w:rFonts w:ascii="Arial" w:hAnsi="Arial" w:cs="Arial"/>
        </w:rPr>
        <w:t xml:space="preserve">s rozšířením Pověření Objednatele </w:t>
      </w:r>
      <w:r w:rsidRPr="006F0A11" w:rsidR="004A1979">
        <w:rPr>
          <w:rFonts w:ascii="Arial" w:hAnsi="Arial" w:cs="Arial"/>
        </w:rPr>
        <w:t>nad jeho rámec o</w:t>
      </w:r>
      <w:r w:rsidRPr="006F0A11" w:rsidR="001B4841">
        <w:rPr>
          <w:rFonts w:ascii="Arial" w:hAnsi="Arial" w:cs="Arial"/>
        </w:rPr>
        <w:t xml:space="preserve"> aktivity směřující k rozvoji </w:t>
      </w:r>
      <w:r w:rsidRPr="006F0A11" w:rsidR="004A1979">
        <w:rPr>
          <w:rFonts w:ascii="Arial" w:hAnsi="Arial" w:cs="Arial"/>
        </w:rPr>
        <w:t>a</w:t>
      </w:r>
      <w:r w:rsidRPr="006F0A11" w:rsidR="00154DF6">
        <w:rPr>
          <w:rFonts w:ascii="Arial" w:hAnsi="Arial" w:cs="Arial"/>
        </w:rPr>
        <w:t> </w:t>
      </w:r>
      <w:r w:rsidRPr="006F0A11" w:rsidR="004A1979">
        <w:rPr>
          <w:rFonts w:ascii="Arial" w:hAnsi="Arial" w:cs="Arial"/>
        </w:rPr>
        <w:t xml:space="preserve">zkvalitnění </w:t>
      </w:r>
      <w:r w:rsidRPr="006F0A11" w:rsidR="001B4841">
        <w:rPr>
          <w:rFonts w:ascii="Arial" w:hAnsi="Arial" w:cs="Arial"/>
        </w:rPr>
        <w:t>sociální služby</w:t>
      </w:r>
      <w:r w:rsidRPr="006F0A11" w:rsidR="00F041B4">
        <w:rPr>
          <w:rFonts w:ascii="Arial" w:hAnsi="Arial" w:cs="Arial"/>
        </w:rPr>
        <w:t xml:space="preserve"> uvedené</w:t>
      </w:r>
      <w:r w:rsidRPr="006F0A11" w:rsidR="001B4841">
        <w:rPr>
          <w:rFonts w:ascii="Arial" w:hAnsi="Arial" w:cs="Arial"/>
        </w:rPr>
        <w:t xml:space="preserve"> v rámci projektu</w:t>
      </w:r>
      <w:r w:rsidRPr="006F0A11">
        <w:rPr>
          <w:rFonts w:ascii="Arial" w:hAnsi="Arial" w:cs="Arial"/>
        </w:rPr>
        <w:t xml:space="preserve">, toto rozšíření bude provedeno formou samostatného dokumentu s názvem </w:t>
      </w:r>
      <w:r w:rsidRPr="006F0A11" w:rsidR="006F0A11">
        <w:rPr>
          <w:rFonts w:ascii="Arial" w:hAnsi="Arial" w:cs="Arial"/>
        </w:rPr>
        <w:t>Pověření SGEI - Rozvojové pověření vydané v rámci projektu registrační číslo…</w:t>
      </w:r>
      <w:r w:rsidR="006F0A11">
        <w:rPr>
          <w:rFonts w:ascii="Arial" w:hAnsi="Arial" w:cs="Arial"/>
        </w:rPr>
        <w:t xml:space="preserve"> (viz p</w:t>
      </w:r>
      <w:r w:rsidRPr="006F0A11" w:rsidR="006F0A11">
        <w:rPr>
          <w:rFonts w:ascii="Arial" w:hAnsi="Arial" w:cs="Arial"/>
        </w:rPr>
        <w:t>říloha č. 1b</w:t>
      </w:r>
      <w:r w:rsidRPr="002E3C17" w:rsidR="006F0A11">
        <w:rPr>
          <w:rFonts w:ascii="Arial" w:hAnsi="Arial" w:cs="Arial"/>
        </w:rPr>
        <w:t>)</w:t>
      </w:r>
      <w:r w:rsidRPr="002E3C17">
        <w:rPr>
          <w:rFonts w:ascii="Arial" w:hAnsi="Arial" w:cs="Arial"/>
        </w:rPr>
        <w:t>, kter</w:t>
      </w:r>
      <w:r w:rsidRPr="002E3C17" w:rsidR="005C7350">
        <w:rPr>
          <w:rFonts w:ascii="Arial" w:hAnsi="Arial" w:cs="Arial"/>
        </w:rPr>
        <w:t>ý</w:t>
      </w:r>
      <w:r w:rsidRPr="002E3C17">
        <w:rPr>
          <w:rFonts w:ascii="Arial" w:hAnsi="Arial" w:cs="Arial"/>
        </w:rPr>
        <w:t xml:space="preserve"> společně s Rozhodnutím o poskytnutí dotace bude naplňovat náležitosti stanovené v článku 4</w:t>
      </w:r>
      <w:r w:rsidRPr="002E3C17" w:rsidR="00154DF6">
        <w:rPr>
          <w:rFonts w:ascii="Arial" w:hAnsi="Arial" w:cs="Arial"/>
        </w:rPr>
        <w:t> </w:t>
      </w:r>
      <w:r w:rsidRPr="002E3C17">
        <w:rPr>
          <w:rFonts w:ascii="Arial" w:hAnsi="Arial" w:cs="Arial"/>
        </w:rPr>
        <w:t>Rozhodnutí č.</w:t>
      </w:r>
      <w:r w:rsidR="00CC756C">
        <w:rPr>
          <w:rFonts w:ascii="Arial" w:hAnsi="Arial" w:cs="Arial"/>
        </w:rPr>
        <w:t xml:space="preserve"> </w:t>
      </w:r>
      <w:r w:rsidRPr="002E3C17">
        <w:rPr>
          <w:rFonts w:ascii="Arial" w:hAnsi="Arial" w:cs="Arial"/>
        </w:rPr>
        <w:t>2012/21/EU.</w:t>
      </w:r>
    </w:p>
    <w:p w:rsidRPr="001B4841" w:rsidR="001B4841" w:rsidP="00EE317C" w:rsidRDefault="001B4841">
      <w:pPr>
        <w:spacing w:before="120" w:after="120"/>
        <w:rPr>
          <w:rFonts w:ascii="Arial" w:hAnsi="Arial" w:cs="Arial"/>
        </w:rPr>
      </w:pPr>
      <w:r w:rsidRPr="009135F9">
        <w:rPr>
          <w:rFonts w:ascii="Arial" w:hAnsi="Arial" w:cs="Arial"/>
          <w:b/>
        </w:rPr>
        <w:t xml:space="preserve">Pokud </w:t>
      </w:r>
      <w:r w:rsidR="00184C25">
        <w:rPr>
          <w:rFonts w:ascii="Arial" w:hAnsi="Arial" w:cs="Arial"/>
          <w:b/>
        </w:rPr>
        <w:t>O</w:t>
      </w:r>
      <w:r w:rsidRPr="009135F9" w:rsidR="00184C25">
        <w:rPr>
          <w:rFonts w:ascii="Arial" w:hAnsi="Arial" w:cs="Arial"/>
          <w:b/>
        </w:rPr>
        <w:t xml:space="preserve">bjednatel </w:t>
      </w:r>
      <w:r w:rsidRPr="009135F9">
        <w:rPr>
          <w:rFonts w:ascii="Arial" w:hAnsi="Arial" w:cs="Arial"/>
          <w:b/>
        </w:rPr>
        <w:t>souhlasí</w:t>
      </w:r>
      <w:r w:rsidRPr="00D350D7" w:rsidR="00D350D7">
        <w:rPr>
          <w:rFonts w:ascii="Arial" w:hAnsi="Arial" w:cs="Arial"/>
        </w:rPr>
        <w:t xml:space="preserve"> </w:t>
      </w:r>
      <w:r w:rsidR="00D350D7">
        <w:rPr>
          <w:rFonts w:ascii="Arial" w:hAnsi="Arial" w:cs="Arial"/>
        </w:rPr>
        <w:t>s realizací aktivit</w:t>
      </w:r>
      <w:r w:rsidRPr="0071587A" w:rsidR="0071587A">
        <w:rPr>
          <w:rFonts w:ascii="Arial" w:hAnsi="Arial" w:cs="Arial"/>
        </w:rPr>
        <w:t xml:space="preserve"> </w:t>
      </w:r>
      <w:r w:rsidR="0071587A">
        <w:rPr>
          <w:rFonts w:ascii="Arial" w:hAnsi="Arial" w:cs="Arial"/>
        </w:rPr>
        <w:t xml:space="preserve">projektu v oblasti </w:t>
      </w:r>
      <w:r w:rsidRPr="009135F9" w:rsidR="0071587A">
        <w:rPr>
          <w:rFonts w:ascii="Arial" w:hAnsi="Arial" w:cs="Arial"/>
        </w:rPr>
        <w:t>podpor</w:t>
      </w:r>
      <w:r w:rsidR="0071587A">
        <w:rPr>
          <w:rFonts w:ascii="Arial" w:hAnsi="Arial" w:cs="Arial"/>
        </w:rPr>
        <w:t>y</w:t>
      </w:r>
      <w:r w:rsidRPr="009135F9" w:rsidR="0071587A">
        <w:rPr>
          <w:rFonts w:ascii="Arial" w:hAnsi="Arial" w:cs="Arial"/>
        </w:rPr>
        <w:t xml:space="preserve"> rozvoje a</w:t>
      </w:r>
      <w:r w:rsidR="00154DF6">
        <w:rPr>
          <w:rFonts w:ascii="Arial" w:hAnsi="Arial" w:cs="Arial"/>
        </w:rPr>
        <w:t> </w:t>
      </w:r>
      <w:r w:rsidRPr="009135F9" w:rsidR="0071587A">
        <w:rPr>
          <w:rFonts w:ascii="Arial" w:hAnsi="Arial" w:cs="Arial"/>
        </w:rPr>
        <w:t>zkvalitňování sociální služby</w:t>
      </w:r>
      <w:r w:rsidR="00D350D7">
        <w:rPr>
          <w:rFonts w:ascii="Arial" w:hAnsi="Arial" w:cs="Arial"/>
        </w:rPr>
        <w:t xml:space="preserve"> a přistoupením </w:t>
      </w:r>
      <w:r w:rsidR="00B158CB">
        <w:rPr>
          <w:rFonts w:ascii="Arial" w:hAnsi="Arial" w:cs="Arial"/>
        </w:rPr>
        <w:t>Ř</w:t>
      </w:r>
      <w:r w:rsidR="00D350D7">
        <w:rPr>
          <w:rFonts w:ascii="Arial" w:hAnsi="Arial" w:cs="Arial"/>
        </w:rPr>
        <w:t>íd</w:t>
      </w:r>
      <w:r w:rsidR="00B158CB">
        <w:rPr>
          <w:rFonts w:ascii="Arial" w:hAnsi="Arial" w:cs="Arial"/>
        </w:rPr>
        <w:t>i</w:t>
      </w:r>
      <w:r w:rsidR="00D350D7">
        <w:rPr>
          <w:rFonts w:ascii="Arial" w:hAnsi="Arial" w:cs="Arial"/>
        </w:rPr>
        <w:t xml:space="preserve">cího orgánu OPZ k Pověření </w:t>
      </w:r>
      <w:r w:rsidR="0071587A">
        <w:rPr>
          <w:rFonts w:ascii="Arial" w:hAnsi="Arial" w:cs="Arial"/>
        </w:rPr>
        <w:t>Objednatele</w:t>
      </w:r>
      <w:r w:rsidRPr="001B4841">
        <w:rPr>
          <w:rFonts w:ascii="Arial" w:hAnsi="Arial" w:cs="Arial"/>
        </w:rPr>
        <w:t xml:space="preserve">, bude ze strany </w:t>
      </w:r>
      <w:r w:rsidR="004C7314">
        <w:rPr>
          <w:rFonts w:ascii="Arial" w:hAnsi="Arial" w:cs="Arial"/>
        </w:rPr>
        <w:t xml:space="preserve">Řídicího orgánu OPZ </w:t>
      </w:r>
      <w:r w:rsidRPr="001B4841" w:rsidR="0071587A">
        <w:rPr>
          <w:rFonts w:ascii="Arial" w:hAnsi="Arial" w:cs="Arial"/>
        </w:rPr>
        <w:t>vydán</w:t>
      </w:r>
      <w:r w:rsidR="0071587A">
        <w:rPr>
          <w:rFonts w:ascii="Arial" w:hAnsi="Arial" w:cs="Arial"/>
        </w:rPr>
        <w:t>o tzv. „</w:t>
      </w:r>
      <w:r w:rsidR="00D350D7">
        <w:rPr>
          <w:rFonts w:ascii="Arial" w:hAnsi="Arial" w:cs="Arial"/>
        </w:rPr>
        <w:t xml:space="preserve">Rozvojové </w:t>
      </w:r>
      <w:r w:rsidRPr="001B4841">
        <w:rPr>
          <w:rFonts w:ascii="Arial" w:hAnsi="Arial" w:cs="Arial"/>
        </w:rPr>
        <w:t>pověření“ jako příloha k</w:t>
      </w:r>
      <w:r w:rsidR="0071587A">
        <w:rPr>
          <w:rFonts w:ascii="Arial" w:hAnsi="Arial" w:cs="Arial"/>
        </w:rPr>
        <w:t> </w:t>
      </w:r>
      <w:r w:rsidRPr="001B4841">
        <w:rPr>
          <w:rFonts w:ascii="Arial" w:hAnsi="Arial" w:cs="Arial"/>
        </w:rPr>
        <w:t xml:space="preserve">Rozhodnutí o poskytnutí dotace, které </w:t>
      </w:r>
      <w:r w:rsidR="00B158CB">
        <w:rPr>
          <w:rFonts w:ascii="Arial" w:hAnsi="Arial" w:cs="Arial"/>
        </w:rPr>
        <w:t>O</w:t>
      </w:r>
      <w:r w:rsidRPr="001B4841" w:rsidR="00B158CB">
        <w:rPr>
          <w:rFonts w:ascii="Arial" w:hAnsi="Arial" w:cs="Arial"/>
        </w:rPr>
        <w:t xml:space="preserve">bjednatele </w:t>
      </w:r>
      <w:r w:rsidRPr="001B4841">
        <w:rPr>
          <w:rFonts w:ascii="Arial" w:hAnsi="Arial" w:cs="Arial"/>
        </w:rPr>
        <w:t xml:space="preserve">nezavazuje k financování </w:t>
      </w:r>
      <w:r w:rsidR="0071587A">
        <w:rPr>
          <w:rFonts w:ascii="Arial" w:hAnsi="Arial" w:cs="Arial"/>
        </w:rPr>
        <w:t>sociální služby</w:t>
      </w:r>
      <w:r w:rsidRPr="001B4841" w:rsidR="0071587A">
        <w:rPr>
          <w:rFonts w:ascii="Arial" w:hAnsi="Arial" w:cs="Arial"/>
        </w:rPr>
        <w:t xml:space="preserve"> </w:t>
      </w:r>
      <w:r w:rsidRPr="001B4841">
        <w:rPr>
          <w:rFonts w:ascii="Arial" w:hAnsi="Arial" w:cs="Arial"/>
        </w:rPr>
        <w:t xml:space="preserve">v rámci </w:t>
      </w:r>
      <w:r w:rsidR="0071587A">
        <w:rPr>
          <w:rFonts w:ascii="Arial" w:hAnsi="Arial" w:cs="Arial"/>
        </w:rPr>
        <w:t xml:space="preserve">Rozvojového </w:t>
      </w:r>
      <w:r w:rsidRPr="001B4841">
        <w:rPr>
          <w:rFonts w:ascii="Arial" w:hAnsi="Arial" w:cs="Arial"/>
        </w:rPr>
        <w:t xml:space="preserve">pověření vydaného </w:t>
      </w:r>
      <w:r w:rsidR="0071587A">
        <w:rPr>
          <w:rFonts w:ascii="Arial" w:hAnsi="Arial" w:cs="Arial"/>
        </w:rPr>
        <w:t>Řídicím orgánem OPZ</w:t>
      </w:r>
      <w:r w:rsidRPr="001B4841" w:rsidR="0071587A">
        <w:rPr>
          <w:rFonts w:ascii="Arial" w:hAnsi="Arial" w:cs="Arial"/>
        </w:rPr>
        <w:t xml:space="preserve"> </w:t>
      </w:r>
      <w:r w:rsidRPr="001B4841">
        <w:rPr>
          <w:rFonts w:ascii="Arial" w:hAnsi="Arial" w:cs="Arial"/>
        </w:rPr>
        <w:t>(poskytovatel</w:t>
      </w:r>
      <w:r w:rsidR="0071587A">
        <w:rPr>
          <w:rFonts w:ascii="Arial" w:hAnsi="Arial" w:cs="Arial"/>
        </w:rPr>
        <w:t>em</w:t>
      </w:r>
      <w:r w:rsidRPr="001B4841">
        <w:rPr>
          <w:rFonts w:ascii="Arial" w:hAnsi="Arial" w:cs="Arial"/>
        </w:rPr>
        <w:t xml:space="preserve"> dotace). </w:t>
      </w:r>
      <w:r w:rsidR="004C7314">
        <w:rPr>
          <w:rFonts w:ascii="Arial" w:hAnsi="Arial" w:cs="Arial"/>
        </w:rPr>
        <w:t>Řídicí orgán OPZ</w:t>
      </w:r>
      <w:r w:rsidRPr="001B4841">
        <w:rPr>
          <w:rFonts w:ascii="Arial" w:hAnsi="Arial" w:cs="Arial"/>
        </w:rPr>
        <w:t xml:space="preserve"> v Rozhodnutí o poskytnutí dotace</w:t>
      </w:r>
      <w:r w:rsidR="0071587A">
        <w:rPr>
          <w:rFonts w:ascii="Arial" w:hAnsi="Arial" w:cs="Arial"/>
        </w:rPr>
        <w:t xml:space="preserve"> a v Rozvojovém pověření</w:t>
      </w:r>
      <w:r w:rsidRPr="001B4841">
        <w:rPr>
          <w:rFonts w:ascii="Arial" w:hAnsi="Arial" w:cs="Arial"/>
        </w:rPr>
        <w:t xml:space="preserve"> identifikuje podmínky vyrovnávací platby připadající na aktivity rozvoje </w:t>
      </w:r>
      <w:r w:rsidR="0071587A">
        <w:rPr>
          <w:rFonts w:ascii="Arial" w:hAnsi="Arial" w:cs="Arial"/>
        </w:rPr>
        <w:t xml:space="preserve">a zkvalitňování </w:t>
      </w:r>
      <w:r w:rsidRPr="001B4841">
        <w:rPr>
          <w:rFonts w:ascii="Arial" w:hAnsi="Arial" w:cs="Arial"/>
        </w:rPr>
        <w:t>sociální služb</w:t>
      </w:r>
      <w:r w:rsidR="0071587A">
        <w:rPr>
          <w:rFonts w:ascii="Arial" w:hAnsi="Arial" w:cs="Arial"/>
        </w:rPr>
        <w:t>y</w:t>
      </w:r>
      <w:r w:rsidRPr="001B4841">
        <w:rPr>
          <w:rFonts w:ascii="Arial" w:hAnsi="Arial" w:cs="Arial"/>
        </w:rPr>
        <w:t xml:space="preserve"> v</w:t>
      </w:r>
      <w:r w:rsidR="0071587A">
        <w:rPr>
          <w:rFonts w:ascii="Arial" w:hAnsi="Arial" w:cs="Arial"/>
        </w:rPr>
        <w:t> </w:t>
      </w:r>
      <w:r w:rsidRPr="001B4841">
        <w:rPr>
          <w:rFonts w:ascii="Arial" w:hAnsi="Arial" w:cs="Arial"/>
        </w:rPr>
        <w:t xml:space="preserve">rámci projektu. Vydáním </w:t>
      </w:r>
      <w:r w:rsidR="00DA197B">
        <w:rPr>
          <w:rFonts w:ascii="Arial" w:hAnsi="Arial" w:cs="Arial"/>
        </w:rPr>
        <w:t>Rozvojového pověření</w:t>
      </w:r>
      <w:r w:rsidRPr="001B4841">
        <w:rPr>
          <w:rFonts w:ascii="Arial" w:hAnsi="Arial" w:cs="Arial"/>
        </w:rPr>
        <w:t xml:space="preserve"> dojde k rozšíření </w:t>
      </w:r>
      <w:r w:rsidR="0071587A">
        <w:rPr>
          <w:rFonts w:ascii="Arial" w:hAnsi="Arial" w:cs="Arial"/>
        </w:rPr>
        <w:t>P</w:t>
      </w:r>
      <w:r w:rsidRPr="001B4841" w:rsidR="0071587A">
        <w:rPr>
          <w:rFonts w:ascii="Arial" w:hAnsi="Arial" w:cs="Arial"/>
        </w:rPr>
        <w:t xml:space="preserve">ověření </w:t>
      </w:r>
      <w:r w:rsidRPr="001B4841">
        <w:rPr>
          <w:rFonts w:ascii="Arial" w:hAnsi="Arial" w:cs="Arial"/>
        </w:rPr>
        <w:t xml:space="preserve">vydaného </w:t>
      </w:r>
      <w:r w:rsidR="0071587A">
        <w:rPr>
          <w:rFonts w:ascii="Arial" w:hAnsi="Arial" w:cs="Arial"/>
        </w:rPr>
        <w:t>O</w:t>
      </w:r>
      <w:r w:rsidRPr="001B4841" w:rsidR="0071587A">
        <w:rPr>
          <w:rFonts w:ascii="Arial" w:hAnsi="Arial" w:cs="Arial"/>
        </w:rPr>
        <w:t>bjednatelem</w:t>
      </w:r>
      <w:r w:rsidRPr="003A649B" w:rsidR="0071587A">
        <w:rPr>
          <w:rFonts w:ascii="Arial" w:hAnsi="Arial" w:cs="Arial"/>
        </w:rPr>
        <w:t xml:space="preserve"> </w:t>
      </w:r>
      <w:r w:rsidR="003A649B">
        <w:rPr>
          <w:rFonts w:ascii="Arial" w:hAnsi="Arial" w:cs="Arial"/>
        </w:rPr>
        <w:t>v oblasti rozvoje sociální služby a zvyšování její kvality</w:t>
      </w:r>
      <w:r w:rsidRPr="001B4841">
        <w:rPr>
          <w:rFonts w:ascii="Arial" w:hAnsi="Arial" w:cs="Arial"/>
        </w:rPr>
        <w:t>.</w:t>
      </w:r>
    </w:p>
    <w:p w:rsidR="001B4841" w:rsidP="00EE317C" w:rsidRDefault="002104D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Kladné</w:t>
      </w:r>
      <w:r w:rsidRPr="001B4841">
        <w:rPr>
          <w:rFonts w:ascii="Arial" w:hAnsi="Arial" w:cs="Arial"/>
        </w:rPr>
        <w:t xml:space="preserve"> </w:t>
      </w:r>
      <w:r w:rsidRPr="001B4841" w:rsidR="002D4500">
        <w:rPr>
          <w:rFonts w:ascii="Arial" w:hAnsi="Arial" w:cs="Arial"/>
        </w:rPr>
        <w:t xml:space="preserve">Vyjádření </w:t>
      </w:r>
      <w:r w:rsidR="00CC756C">
        <w:rPr>
          <w:rFonts w:ascii="Arial" w:hAnsi="Arial" w:cs="Arial"/>
        </w:rPr>
        <w:t>O</w:t>
      </w:r>
      <w:r w:rsidRPr="001B4841" w:rsidR="002D4500">
        <w:rPr>
          <w:rFonts w:ascii="Arial" w:hAnsi="Arial" w:cs="Arial"/>
        </w:rPr>
        <w:t xml:space="preserve">bjednatele </w:t>
      </w:r>
      <w:r w:rsidR="004C7314">
        <w:rPr>
          <w:rFonts w:ascii="Arial" w:hAnsi="Arial" w:cs="Arial"/>
        </w:rPr>
        <w:t xml:space="preserve">sociální služby </w:t>
      </w:r>
      <w:r w:rsidRPr="001B4841" w:rsidR="002D4500">
        <w:rPr>
          <w:rFonts w:ascii="Arial" w:hAnsi="Arial" w:cs="Arial"/>
        </w:rPr>
        <w:t>k</w:t>
      </w:r>
      <w:r w:rsidR="002D4500">
        <w:rPr>
          <w:rFonts w:ascii="Arial" w:hAnsi="Arial" w:cs="Arial"/>
        </w:rPr>
        <w:t> </w:t>
      </w:r>
      <w:r w:rsidRPr="001B4841" w:rsidR="002D4500">
        <w:rPr>
          <w:rFonts w:ascii="Arial" w:hAnsi="Arial" w:cs="Arial"/>
        </w:rPr>
        <w:t>projektu</w:t>
      </w:r>
      <w:r w:rsidR="00CC115C">
        <w:rPr>
          <w:rFonts w:ascii="Arial" w:hAnsi="Arial" w:cs="Arial"/>
        </w:rPr>
        <w:t xml:space="preserve">, které je přílohou Rozvojového pověření vydaného </w:t>
      </w:r>
      <w:r>
        <w:rPr>
          <w:rFonts w:ascii="Arial" w:hAnsi="Arial" w:cs="Arial"/>
        </w:rPr>
        <w:t xml:space="preserve">Řídicím </w:t>
      </w:r>
      <w:r w:rsidR="00CC115C">
        <w:rPr>
          <w:rFonts w:ascii="Arial" w:hAnsi="Arial" w:cs="Arial"/>
        </w:rPr>
        <w:t>orgánem OPZ</w:t>
      </w:r>
      <w:r w:rsidR="00CC756C">
        <w:rPr>
          <w:rFonts w:ascii="Arial" w:hAnsi="Arial" w:cs="Arial"/>
        </w:rPr>
        <w:t>,</w:t>
      </w:r>
      <w:r w:rsidRPr="001B4841" w:rsidR="002D4500">
        <w:rPr>
          <w:rFonts w:ascii="Arial" w:hAnsi="Arial" w:cs="Arial"/>
        </w:rPr>
        <w:t xml:space="preserve"> </w:t>
      </w:r>
      <w:r w:rsidRPr="001B4841" w:rsidR="001B4841">
        <w:rPr>
          <w:rFonts w:ascii="Arial" w:hAnsi="Arial" w:cs="Arial"/>
        </w:rPr>
        <w:t xml:space="preserve">nezavazuje </w:t>
      </w:r>
      <w:r w:rsidR="00235DD0">
        <w:rPr>
          <w:rFonts w:ascii="Arial" w:hAnsi="Arial" w:cs="Arial"/>
        </w:rPr>
        <w:t>O</w:t>
      </w:r>
      <w:r w:rsidRPr="001B4841" w:rsidR="001B4841">
        <w:rPr>
          <w:rFonts w:ascii="Arial" w:hAnsi="Arial" w:cs="Arial"/>
        </w:rPr>
        <w:t>bjednatele k</w:t>
      </w:r>
      <w:r>
        <w:rPr>
          <w:rFonts w:ascii="Arial" w:hAnsi="Arial" w:cs="Arial"/>
        </w:rPr>
        <w:t> </w:t>
      </w:r>
      <w:r w:rsidRPr="001B4841" w:rsidR="001B4841">
        <w:rPr>
          <w:rFonts w:ascii="Arial" w:hAnsi="Arial" w:cs="Arial"/>
        </w:rPr>
        <w:t>financování</w:t>
      </w:r>
      <w:r>
        <w:rPr>
          <w:rFonts w:ascii="Arial" w:hAnsi="Arial" w:cs="Arial"/>
        </w:rPr>
        <w:t xml:space="preserve"> sociální služby</w:t>
      </w:r>
      <w:r w:rsidRPr="001B4841" w:rsidR="001B4841">
        <w:rPr>
          <w:rFonts w:ascii="Arial" w:hAnsi="Arial" w:cs="Arial"/>
        </w:rPr>
        <w:t xml:space="preserve"> na aktivity definované </w:t>
      </w:r>
      <w:r w:rsidR="00AA1AF6">
        <w:rPr>
          <w:rFonts w:ascii="Arial" w:hAnsi="Arial" w:cs="Arial"/>
        </w:rPr>
        <w:t>Rozvojovým pověřením</w:t>
      </w:r>
      <w:r w:rsidRPr="001B4841" w:rsidR="001B4841">
        <w:rPr>
          <w:rFonts w:ascii="Arial" w:hAnsi="Arial" w:cs="Arial"/>
        </w:rPr>
        <w:t xml:space="preserve">. </w:t>
      </w:r>
    </w:p>
    <w:p w:rsidR="00DB0DD8" w:rsidP="00EE317C" w:rsidRDefault="00DB0DD8">
      <w:pPr>
        <w:spacing w:before="120" w:after="120"/>
        <w:rPr>
          <w:rFonts w:ascii="Arial" w:hAnsi="Arial" w:cs="Arial"/>
        </w:rPr>
      </w:pPr>
    </w:p>
    <w:p w:rsidRPr="00E05EC1" w:rsidR="00177A01" w:rsidP="00177A01" w:rsidRDefault="00177A01">
      <w:pPr>
        <w:spacing w:before="120" w:after="120"/>
        <w:rPr>
          <w:rFonts w:ascii="Arial" w:hAnsi="Arial" w:cs="Arial"/>
        </w:rPr>
      </w:pPr>
      <w:r w:rsidRPr="008C4038">
        <w:rPr>
          <w:rFonts w:ascii="Arial" w:hAnsi="Arial" w:cs="Arial"/>
          <w:b/>
        </w:rPr>
        <w:lastRenderedPageBreak/>
        <w:t>V</w:t>
      </w:r>
      <w:r w:rsidRPr="001E01A7">
        <w:rPr>
          <w:rFonts w:ascii="Arial" w:hAnsi="Arial" w:cs="Arial"/>
          <w:b/>
        </w:rPr>
        <w:t xml:space="preserve"> případě přenosu veřejné podpory </w:t>
      </w:r>
      <w:r w:rsidRPr="001E01A7" w:rsidR="008C4038">
        <w:rPr>
          <w:rFonts w:ascii="Arial" w:hAnsi="Arial" w:cs="Arial"/>
          <w:b/>
        </w:rPr>
        <w:t>dalšímu subjektu</w:t>
      </w:r>
      <w:r w:rsidRPr="00E05EC1" w:rsidR="008C4038">
        <w:rPr>
          <w:rStyle w:val="Znakapoznpodarou"/>
          <w:rFonts w:ascii="Arial" w:hAnsi="Arial" w:cs="Arial"/>
        </w:rPr>
        <w:footnoteReference w:id="2"/>
      </w:r>
      <w:r w:rsidRPr="00E05EC1" w:rsidR="008C4038">
        <w:rPr>
          <w:rFonts w:ascii="Arial" w:hAnsi="Arial" w:cs="Arial"/>
        </w:rPr>
        <w:t xml:space="preserve"> </w:t>
      </w:r>
      <w:r w:rsidRPr="00E05EC1">
        <w:rPr>
          <w:rFonts w:ascii="Arial" w:hAnsi="Arial" w:cs="Arial"/>
        </w:rPr>
        <w:t xml:space="preserve">(viz kapitola 6) se formulář „Vyjádření objednatele sociální služby k projektu“ </w:t>
      </w:r>
      <w:r w:rsidR="00E05EC1">
        <w:rPr>
          <w:rFonts w:ascii="Arial" w:hAnsi="Arial" w:cs="Arial"/>
        </w:rPr>
        <w:t xml:space="preserve">u dalších subjektů </w:t>
      </w:r>
      <w:r w:rsidRPr="00E05EC1">
        <w:rPr>
          <w:rFonts w:ascii="Arial" w:hAnsi="Arial" w:cs="Arial"/>
        </w:rPr>
        <w:t>dokládá v průběhu realizace projektu</w:t>
      </w:r>
      <w:r w:rsidR="008C4038">
        <w:rPr>
          <w:rFonts w:ascii="Arial" w:hAnsi="Arial" w:cs="Arial"/>
        </w:rPr>
        <w:t>, tj. nikoliv při předložení žádosti o podporu v rámci výzvy.</w:t>
      </w:r>
      <w:r w:rsidR="00E05EC1">
        <w:rPr>
          <w:rFonts w:ascii="Arial" w:hAnsi="Arial" w:cs="Arial"/>
        </w:rPr>
        <w:t xml:space="preserve"> Žadatel a</w:t>
      </w:r>
      <w:r w:rsidR="001A3DAD">
        <w:rPr>
          <w:rFonts w:ascii="Arial" w:hAnsi="Arial" w:cs="Arial"/>
        </w:rPr>
        <w:t> </w:t>
      </w:r>
      <w:r w:rsidR="00E05EC1">
        <w:rPr>
          <w:rFonts w:ascii="Arial" w:hAnsi="Arial" w:cs="Arial"/>
        </w:rPr>
        <w:t>partneři s finančním příspěvkem jsou povinni předložit formulář spolu se žádostí</w:t>
      </w:r>
      <w:r w:rsidR="00E1541E">
        <w:rPr>
          <w:rFonts w:ascii="Arial" w:hAnsi="Arial" w:cs="Arial"/>
        </w:rPr>
        <w:t xml:space="preserve"> o podporu</w:t>
      </w:r>
      <w:r w:rsidR="00E05EC1">
        <w:rPr>
          <w:rFonts w:ascii="Arial" w:hAnsi="Arial" w:cs="Arial"/>
        </w:rPr>
        <w:t>, a to prostřednictvím žadatele.</w:t>
      </w:r>
    </w:p>
    <w:p w:rsidR="002104D1" w:rsidP="009135F9" w:rsidRDefault="002104D1">
      <w:pPr>
        <w:pStyle w:val="Odstavecseseznamem"/>
        <w:spacing w:before="120" w:after="120"/>
        <w:rPr>
          <w:rFonts w:ascii="Arial" w:hAnsi="Arial" w:cs="Arial"/>
          <w:b/>
        </w:rPr>
      </w:pPr>
    </w:p>
    <w:p w:rsidR="00252A23" w:rsidP="007C02AF" w:rsidRDefault="007C1831">
      <w:pPr>
        <w:pStyle w:val="Nadpis3"/>
        <w:spacing w:after="240"/>
        <w:ind w:left="357" w:hanging="357"/>
      </w:pPr>
      <w:r>
        <w:t>Podmínky poskytnutí vyrovnávací platby</w:t>
      </w:r>
    </w:p>
    <w:p w:rsidR="00456E29" w:rsidP="0095261E" w:rsidRDefault="005B66CA">
      <w:pPr>
        <w:spacing w:before="120" w:after="120"/>
        <w:rPr>
          <w:rFonts w:ascii="Arial" w:hAnsi="Arial" w:cs="Arial"/>
        </w:rPr>
      </w:pPr>
      <w:r w:rsidRPr="007B5D79">
        <w:rPr>
          <w:rFonts w:ascii="Arial" w:hAnsi="Arial" w:cs="Arial"/>
          <w:b/>
        </w:rPr>
        <w:t>Výše vyrovnávací platby</w:t>
      </w:r>
      <w:r w:rsidRPr="009F6860">
        <w:rPr>
          <w:rFonts w:ascii="Arial" w:hAnsi="Arial" w:cs="Arial"/>
        </w:rPr>
        <w:t xml:space="preserve"> na </w:t>
      </w:r>
      <w:r w:rsidR="004A1979">
        <w:rPr>
          <w:rFonts w:ascii="Arial" w:hAnsi="Arial" w:cs="Arial"/>
        </w:rPr>
        <w:t>rozvoj a zkvalitňování sociální služby (včetně vz</w:t>
      </w:r>
      <w:r>
        <w:rPr>
          <w:rFonts w:ascii="Arial" w:hAnsi="Arial" w:cs="Arial"/>
        </w:rPr>
        <w:t xml:space="preserve">dělávání pracovníků </w:t>
      </w:r>
      <w:r w:rsidRPr="007B5D79">
        <w:rPr>
          <w:rFonts w:ascii="Arial" w:hAnsi="Arial" w:cs="Arial"/>
        </w:rPr>
        <w:t>poskytovatele sociální služby</w:t>
      </w:r>
      <w:r w:rsidR="004A1979">
        <w:rPr>
          <w:rFonts w:ascii="Arial" w:hAnsi="Arial" w:cs="Arial"/>
        </w:rPr>
        <w:t>)</w:t>
      </w:r>
      <w:r w:rsidRPr="007B5D79">
        <w:rPr>
          <w:rFonts w:ascii="Arial" w:hAnsi="Arial" w:cs="Arial"/>
        </w:rPr>
        <w:t xml:space="preserve"> bude stanovena v souladu s článkem </w:t>
      </w:r>
      <w:r w:rsidRPr="009F6860">
        <w:rPr>
          <w:rFonts w:ascii="Arial" w:hAnsi="Arial" w:cs="Arial"/>
        </w:rPr>
        <w:t>5</w:t>
      </w:r>
      <w:r w:rsidR="00154DF6">
        <w:rPr>
          <w:rFonts w:ascii="Arial" w:hAnsi="Arial" w:cs="Arial"/>
        </w:rPr>
        <w:t> </w:t>
      </w:r>
      <w:r w:rsidRPr="009F6860">
        <w:rPr>
          <w:rFonts w:ascii="Arial" w:hAnsi="Arial" w:cs="Arial"/>
        </w:rPr>
        <w:t>Rozhodnutí č. 2012/21/EU</w:t>
      </w:r>
      <w:r w:rsidR="002A1CC7">
        <w:rPr>
          <w:rFonts w:ascii="Arial" w:hAnsi="Arial" w:cs="Arial"/>
        </w:rPr>
        <w:t>.</w:t>
      </w:r>
      <w:r w:rsidR="004A1979">
        <w:rPr>
          <w:rFonts w:ascii="Arial" w:hAnsi="Arial" w:cs="Arial"/>
        </w:rPr>
        <w:t xml:space="preserve"> </w:t>
      </w:r>
    </w:p>
    <w:p w:rsidRPr="009135F9" w:rsidR="00456E29" w:rsidP="00EE317C" w:rsidRDefault="00456E29">
      <w:pPr>
        <w:spacing w:before="120" w:after="120"/>
        <w:rPr>
          <w:rFonts w:ascii="Arial" w:hAnsi="Arial" w:cs="Arial"/>
          <w:b/>
        </w:rPr>
      </w:pPr>
      <w:r w:rsidRPr="00456E29">
        <w:rPr>
          <w:rFonts w:ascii="Arial" w:hAnsi="Arial" w:cs="Arial"/>
        </w:rPr>
        <w:t xml:space="preserve">Vyrovnávací platba </w:t>
      </w:r>
      <w:r>
        <w:rPr>
          <w:rFonts w:ascii="Arial" w:hAnsi="Arial" w:cs="Arial"/>
        </w:rPr>
        <w:t xml:space="preserve">pro potřeby projektu OPZ </w:t>
      </w:r>
      <w:r w:rsidRPr="00456E29">
        <w:rPr>
          <w:rFonts w:ascii="Arial" w:hAnsi="Arial" w:cs="Arial"/>
        </w:rPr>
        <w:t>je stanovena jako celková výše prostředků z</w:t>
      </w:r>
      <w:r w:rsidR="00EE317C">
        <w:rPr>
          <w:rFonts w:ascii="Arial" w:hAnsi="Arial" w:cs="Arial"/>
        </w:rPr>
        <w:t> </w:t>
      </w:r>
      <w:r w:rsidRPr="00456E29">
        <w:rPr>
          <w:rFonts w:ascii="Arial" w:hAnsi="Arial" w:cs="Arial"/>
        </w:rPr>
        <w:t xml:space="preserve">veřejných rozpočtů, určených ke krytí </w:t>
      </w:r>
      <w:r w:rsidRPr="009135F9">
        <w:rPr>
          <w:rFonts w:ascii="Arial" w:hAnsi="Arial" w:cs="Arial"/>
          <w:b/>
        </w:rPr>
        <w:t>čistých nákladů vynaložených při zajištění rozvojových aktivit</w:t>
      </w:r>
      <w:r w:rsidRPr="00456E29">
        <w:rPr>
          <w:rFonts w:ascii="Arial" w:hAnsi="Arial" w:cs="Arial"/>
        </w:rPr>
        <w:t xml:space="preserve"> (dokrytí </w:t>
      </w:r>
      <w:r>
        <w:rPr>
          <w:rFonts w:ascii="Arial" w:hAnsi="Arial" w:cs="Arial"/>
        </w:rPr>
        <w:t>vlastních</w:t>
      </w:r>
      <w:r w:rsidRPr="00456E29">
        <w:rPr>
          <w:rFonts w:ascii="Arial" w:hAnsi="Arial" w:cs="Arial"/>
        </w:rPr>
        <w:t xml:space="preserve"> provozních potřeb </w:t>
      </w:r>
      <w:r>
        <w:rPr>
          <w:rFonts w:ascii="Arial" w:hAnsi="Arial" w:cs="Arial"/>
        </w:rPr>
        <w:t>žadatele</w:t>
      </w:r>
      <w:r w:rsidR="00895372">
        <w:rPr>
          <w:rFonts w:ascii="Arial" w:hAnsi="Arial" w:cs="Arial"/>
        </w:rPr>
        <w:t>/poskytovatele sociální služby</w:t>
      </w:r>
      <w:r>
        <w:rPr>
          <w:rFonts w:ascii="Arial" w:hAnsi="Arial" w:cs="Arial"/>
        </w:rPr>
        <w:t xml:space="preserve"> </w:t>
      </w:r>
      <w:r w:rsidRPr="00456E29">
        <w:rPr>
          <w:rFonts w:ascii="Arial" w:hAnsi="Arial" w:cs="Arial"/>
        </w:rPr>
        <w:t>souvisejících s</w:t>
      </w:r>
      <w:r w:rsidR="00804D45">
        <w:rPr>
          <w:rFonts w:ascii="Arial" w:hAnsi="Arial" w:cs="Arial"/>
        </w:rPr>
        <w:t> </w:t>
      </w:r>
      <w:r w:rsidRPr="00456E29">
        <w:rPr>
          <w:rFonts w:ascii="Arial" w:hAnsi="Arial" w:cs="Arial"/>
        </w:rPr>
        <w:t xml:space="preserve">rozvojovými aktivitami). </w:t>
      </w:r>
      <w:r w:rsidRPr="009135F9">
        <w:rPr>
          <w:rFonts w:ascii="Arial" w:hAnsi="Arial" w:cs="Arial"/>
          <w:b/>
        </w:rPr>
        <w:t>Do výše vyrovnávací platby v rámci projektu OPZ není zahrnut přiměřený zisk.</w:t>
      </w:r>
    </w:p>
    <w:p w:rsidRPr="00456E29" w:rsidR="00456E29" w:rsidP="00EE317C" w:rsidRDefault="00456E29">
      <w:pPr>
        <w:spacing w:before="120" w:after="120"/>
        <w:rPr>
          <w:rFonts w:ascii="Arial" w:hAnsi="Arial" w:cs="Arial"/>
        </w:rPr>
      </w:pPr>
      <w:r w:rsidRPr="00456E29">
        <w:rPr>
          <w:rFonts w:ascii="Arial" w:hAnsi="Arial" w:cs="Arial"/>
        </w:rPr>
        <w:t xml:space="preserve">Vyrovnávací platba je kalkulována </w:t>
      </w:r>
      <w:r w:rsidRPr="007C02AF">
        <w:rPr>
          <w:rFonts w:ascii="Arial" w:hAnsi="Arial" w:cs="Arial"/>
          <w:b/>
        </w:rPr>
        <w:t xml:space="preserve">na rozsah rozvojových aktivit </w:t>
      </w:r>
      <w:r w:rsidRPr="00456E29">
        <w:rPr>
          <w:rFonts w:ascii="Arial" w:hAnsi="Arial" w:cs="Arial"/>
        </w:rPr>
        <w:t>uvedených v</w:t>
      </w:r>
      <w:r>
        <w:rPr>
          <w:rFonts w:ascii="Arial" w:hAnsi="Arial" w:cs="Arial"/>
        </w:rPr>
        <w:t> </w:t>
      </w:r>
      <w:r w:rsidR="00EE317C">
        <w:rPr>
          <w:rFonts w:ascii="Arial" w:hAnsi="Arial" w:cs="Arial"/>
        </w:rPr>
        <w:t>projektu</w:t>
      </w:r>
      <w:r w:rsidRPr="00456E29">
        <w:rPr>
          <w:rFonts w:ascii="Arial" w:hAnsi="Arial" w:cs="Arial"/>
        </w:rPr>
        <w:t>. Pro</w:t>
      </w:r>
      <w:r w:rsidR="00804D45">
        <w:rPr>
          <w:rFonts w:ascii="Arial" w:hAnsi="Arial" w:cs="Arial"/>
        </w:rPr>
        <w:t> </w:t>
      </w:r>
      <w:r w:rsidRPr="00456E29">
        <w:rPr>
          <w:rFonts w:ascii="Arial" w:hAnsi="Arial" w:cs="Arial"/>
        </w:rPr>
        <w:t xml:space="preserve">výpočet vyrovnávací platby se uplatňuje </w:t>
      </w:r>
      <w:r w:rsidRPr="009135F9">
        <w:rPr>
          <w:rFonts w:ascii="Arial" w:hAnsi="Arial" w:cs="Arial"/>
          <w:b/>
        </w:rPr>
        <w:t xml:space="preserve">výpočet rozdílem </w:t>
      </w:r>
      <w:r w:rsidR="00B55037">
        <w:rPr>
          <w:rFonts w:ascii="Arial" w:hAnsi="Arial" w:cs="Arial"/>
          <w:b/>
        </w:rPr>
        <w:t>očekáva</w:t>
      </w:r>
      <w:r w:rsidRPr="009135F9" w:rsidR="00B55037">
        <w:rPr>
          <w:rFonts w:ascii="Arial" w:hAnsi="Arial" w:cs="Arial"/>
          <w:b/>
        </w:rPr>
        <w:t xml:space="preserve">ných </w:t>
      </w:r>
      <w:r w:rsidRPr="009135F9">
        <w:rPr>
          <w:rFonts w:ascii="Arial" w:hAnsi="Arial" w:cs="Arial"/>
          <w:b/>
        </w:rPr>
        <w:t xml:space="preserve">nákladů nezbytných k zajištění rozvojových aktivit a </w:t>
      </w:r>
      <w:r w:rsidR="00B55037">
        <w:rPr>
          <w:rFonts w:ascii="Arial" w:hAnsi="Arial" w:cs="Arial"/>
          <w:b/>
        </w:rPr>
        <w:t>očekáva</w:t>
      </w:r>
      <w:r w:rsidRPr="009135F9" w:rsidR="00B55037">
        <w:rPr>
          <w:rFonts w:ascii="Arial" w:hAnsi="Arial" w:cs="Arial"/>
          <w:b/>
        </w:rPr>
        <w:t xml:space="preserve">ných </w:t>
      </w:r>
      <w:r w:rsidRPr="009135F9">
        <w:rPr>
          <w:rFonts w:ascii="Arial" w:hAnsi="Arial" w:cs="Arial"/>
          <w:b/>
        </w:rPr>
        <w:t>výnosů plynoucích z</w:t>
      </w:r>
      <w:r w:rsidR="00804D45">
        <w:rPr>
          <w:rFonts w:ascii="Arial" w:hAnsi="Arial" w:cs="Arial"/>
          <w:b/>
        </w:rPr>
        <w:t> </w:t>
      </w:r>
      <w:r w:rsidRPr="009135F9">
        <w:rPr>
          <w:rFonts w:ascii="Arial" w:hAnsi="Arial" w:cs="Arial"/>
          <w:b/>
        </w:rPr>
        <w:t>rozvojových aktivit</w:t>
      </w:r>
      <w:r w:rsidRPr="00456E29">
        <w:rPr>
          <w:rFonts w:ascii="Arial" w:hAnsi="Arial" w:cs="Arial"/>
        </w:rPr>
        <w:t>.</w:t>
      </w:r>
      <w:r w:rsidR="00EE317C">
        <w:rPr>
          <w:rFonts w:ascii="Arial" w:hAnsi="Arial" w:cs="Arial"/>
        </w:rPr>
        <w:t xml:space="preserve"> S ohledem na charakter aktivit se </w:t>
      </w:r>
      <w:r w:rsidR="00B55037">
        <w:rPr>
          <w:rFonts w:ascii="Arial" w:hAnsi="Arial" w:cs="Arial"/>
        </w:rPr>
        <w:t>očekáva</w:t>
      </w:r>
      <w:r w:rsidRPr="00456E29" w:rsidR="00B55037">
        <w:rPr>
          <w:rFonts w:ascii="Arial" w:hAnsi="Arial" w:cs="Arial"/>
        </w:rPr>
        <w:t xml:space="preserve">né </w:t>
      </w:r>
      <w:r w:rsidRPr="00456E29" w:rsidR="00EE317C">
        <w:rPr>
          <w:rFonts w:ascii="Arial" w:hAnsi="Arial" w:cs="Arial"/>
        </w:rPr>
        <w:t xml:space="preserve">výnosy </w:t>
      </w:r>
      <w:r w:rsidR="00EE317C">
        <w:rPr>
          <w:rFonts w:ascii="Arial" w:hAnsi="Arial" w:cs="Arial"/>
        </w:rPr>
        <w:t xml:space="preserve">předpokládají </w:t>
      </w:r>
      <w:r w:rsidRPr="00456E29">
        <w:rPr>
          <w:rFonts w:ascii="Arial" w:hAnsi="Arial" w:cs="Arial"/>
        </w:rPr>
        <w:t>většinou nulové.</w:t>
      </w:r>
      <w:r>
        <w:rPr>
          <w:rFonts w:ascii="Arial" w:hAnsi="Arial" w:cs="Arial"/>
        </w:rPr>
        <w:t xml:space="preserve"> V případě nenulových výnosů se tyto stávají tzv. příjmy projektu OPZ a jsou na konci období realizace projektu odečteny.</w:t>
      </w:r>
    </w:p>
    <w:p w:rsidRPr="007C02AF" w:rsidR="006A30C2" w:rsidP="00EE317C" w:rsidRDefault="00B5503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Očeká</w:t>
      </w:r>
      <w:r w:rsidRPr="007C02AF">
        <w:rPr>
          <w:rFonts w:ascii="Arial" w:hAnsi="Arial" w:cs="Arial"/>
          <w:b/>
        </w:rPr>
        <w:t xml:space="preserve">vané </w:t>
      </w:r>
      <w:r w:rsidRPr="007C02AF" w:rsidR="00456E29">
        <w:rPr>
          <w:rFonts w:ascii="Arial" w:hAnsi="Arial" w:cs="Arial"/>
          <w:b/>
        </w:rPr>
        <w:t>náklady</w:t>
      </w:r>
      <w:r w:rsidRPr="007C02AF" w:rsidR="00EE317C">
        <w:rPr>
          <w:rFonts w:ascii="Arial" w:hAnsi="Arial" w:cs="Arial"/>
        </w:rPr>
        <w:t xml:space="preserve"> v členění dle jednotlivých nákladových položek</w:t>
      </w:r>
      <w:r w:rsidRPr="007C02AF" w:rsidR="00456E29">
        <w:rPr>
          <w:rFonts w:ascii="Arial" w:hAnsi="Arial" w:cs="Arial"/>
        </w:rPr>
        <w:t xml:space="preserve"> jsou </w:t>
      </w:r>
      <w:r w:rsidRPr="007C02AF" w:rsidR="00EE317C">
        <w:rPr>
          <w:rFonts w:ascii="Arial" w:hAnsi="Arial" w:cs="Arial"/>
        </w:rPr>
        <w:t>uvedeny v žádosti o</w:t>
      </w:r>
      <w:r w:rsidR="00154DF6">
        <w:rPr>
          <w:rFonts w:ascii="Arial" w:hAnsi="Arial" w:cs="Arial"/>
        </w:rPr>
        <w:t> </w:t>
      </w:r>
      <w:r w:rsidRPr="007C02AF" w:rsidR="00EE317C">
        <w:rPr>
          <w:rFonts w:ascii="Arial" w:hAnsi="Arial" w:cs="Arial"/>
        </w:rPr>
        <w:t xml:space="preserve">podporu </w:t>
      </w:r>
      <w:r w:rsidRPr="007C02AF" w:rsidR="008720E9">
        <w:rPr>
          <w:rFonts w:ascii="Arial" w:hAnsi="Arial" w:cs="Arial"/>
        </w:rPr>
        <w:t xml:space="preserve">a </w:t>
      </w:r>
      <w:r w:rsidRPr="007C02AF" w:rsidR="00EE317C">
        <w:rPr>
          <w:rFonts w:ascii="Arial" w:hAnsi="Arial" w:cs="Arial"/>
        </w:rPr>
        <w:t xml:space="preserve">jsou předmětem věcného </w:t>
      </w:r>
      <w:r w:rsidR="00804D45">
        <w:rPr>
          <w:rFonts w:ascii="Arial" w:hAnsi="Arial" w:cs="Arial"/>
        </w:rPr>
        <w:t>hodnocení</w:t>
      </w:r>
      <w:r w:rsidRPr="007C02AF" w:rsidR="00804D45">
        <w:rPr>
          <w:rFonts w:ascii="Arial" w:hAnsi="Arial" w:cs="Arial"/>
        </w:rPr>
        <w:t xml:space="preserve"> </w:t>
      </w:r>
      <w:r w:rsidRPr="007C02AF" w:rsidR="00EE317C">
        <w:rPr>
          <w:rFonts w:ascii="Arial" w:hAnsi="Arial" w:cs="Arial"/>
        </w:rPr>
        <w:t xml:space="preserve">v rámci </w:t>
      </w:r>
      <w:r w:rsidR="00804D45">
        <w:rPr>
          <w:rFonts w:ascii="Arial" w:hAnsi="Arial" w:cs="Arial"/>
        </w:rPr>
        <w:t xml:space="preserve">stanovených </w:t>
      </w:r>
      <w:r w:rsidRPr="007C02AF" w:rsidR="00EE317C">
        <w:rPr>
          <w:rFonts w:ascii="Arial" w:hAnsi="Arial" w:cs="Arial"/>
        </w:rPr>
        <w:t>kritérií věcného hodnocení projektů OPZ</w:t>
      </w:r>
      <w:r w:rsidRPr="007C02AF" w:rsidR="00456E29">
        <w:rPr>
          <w:rFonts w:ascii="Arial" w:hAnsi="Arial" w:cs="Arial"/>
        </w:rPr>
        <w:t xml:space="preserve">. </w:t>
      </w:r>
    </w:p>
    <w:p w:rsidRPr="007C02AF" w:rsidR="00E62B8B" w:rsidP="00EE317C" w:rsidRDefault="004A1979">
      <w:pPr>
        <w:spacing w:before="120" w:after="120"/>
        <w:rPr>
          <w:rFonts w:ascii="Arial" w:hAnsi="Arial" w:cs="Arial"/>
          <w:u w:val="single"/>
        </w:rPr>
      </w:pPr>
      <w:r w:rsidRPr="007C02AF">
        <w:rPr>
          <w:rFonts w:ascii="Arial" w:hAnsi="Arial" w:cs="Arial"/>
          <w:b/>
        </w:rPr>
        <w:t xml:space="preserve">Výpočet vyrovnávací platby </w:t>
      </w:r>
      <w:r w:rsidRPr="007C02AF" w:rsidR="00EE317C">
        <w:rPr>
          <w:rFonts w:ascii="Arial" w:hAnsi="Arial" w:cs="Arial"/>
          <w:b/>
        </w:rPr>
        <w:t>na příslušnou sociální službu</w:t>
      </w:r>
      <w:r w:rsidRPr="007C02AF" w:rsidR="00EE317C">
        <w:rPr>
          <w:rFonts w:ascii="Arial" w:hAnsi="Arial" w:cs="Arial"/>
        </w:rPr>
        <w:t xml:space="preserve"> </w:t>
      </w:r>
      <w:r w:rsidRPr="007C02AF">
        <w:rPr>
          <w:rFonts w:ascii="Arial" w:hAnsi="Arial" w:cs="Arial"/>
        </w:rPr>
        <w:t xml:space="preserve">je </w:t>
      </w:r>
      <w:r w:rsidRPr="007C02AF" w:rsidR="004B5ECC">
        <w:rPr>
          <w:rFonts w:ascii="Arial" w:hAnsi="Arial" w:cs="Arial"/>
        </w:rPr>
        <w:t xml:space="preserve">proveden na základě </w:t>
      </w:r>
      <w:r w:rsidRPr="00CE06BB" w:rsidR="00456E29">
        <w:rPr>
          <w:rFonts w:ascii="Arial" w:hAnsi="Arial" w:cs="Arial"/>
        </w:rPr>
        <w:t>tabulky „</w:t>
      </w:r>
      <w:r w:rsidRPr="00CE06BB" w:rsidR="008720E9">
        <w:rPr>
          <w:rFonts w:ascii="Arial" w:hAnsi="Arial" w:cs="Arial"/>
        </w:rPr>
        <w:t>Finanční rámec veřejné podpory</w:t>
      </w:r>
      <w:r w:rsidRPr="00CE06BB" w:rsidR="00154DF6">
        <w:rPr>
          <w:rFonts w:ascii="Arial" w:hAnsi="Arial" w:cs="Arial"/>
        </w:rPr>
        <w:t>“</w:t>
      </w:r>
      <w:r w:rsidRPr="00CE06BB" w:rsidR="00E1541E">
        <w:rPr>
          <w:rFonts w:ascii="Arial" w:hAnsi="Arial" w:cs="Arial"/>
        </w:rPr>
        <w:t xml:space="preserve"> (viz přílohy 1c – 1f)</w:t>
      </w:r>
      <w:r w:rsidRPr="00CE06BB" w:rsidR="006A30C2">
        <w:rPr>
          <w:rFonts w:ascii="Arial" w:hAnsi="Arial" w:cs="Arial"/>
        </w:rPr>
        <w:t>.</w:t>
      </w:r>
      <w:r w:rsidRPr="007C02AF" w:rsidDel="006A30C2" w:rsidR="006A30C2">
        <w:rPr>
          <w:rFonts w:ascii="Arial" w:hAnsi="Arial" w:cs="Arial"/>
          <w:u w:val="single"/>
        </w:rPr>
        <w:t xml:space="preserve"> </w:t>
      </w:r>
    </w:p>
    <w:p w:rsidR="00AC4991" w:rsidP="009135F9" w:rsidRDefault="00AC499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V rámci těchto aktivit musí být ošetřeno, že takto podpořený rozvoj sociální služby nezakládá u poskytovatele sociálních služeb rozvoj </w:t>
      </w:r>
      <w:r w:rsidR="00CC6A38">
        <w:rPr>
          <w:rFonts w:ascii="Arial" w:hAnsi="Arial" w:cs="Arial"/>
        </w:rPr>
        <w:t>jiných</w:t>
      </w:r>
      <w:r>
        <w:rPr>
          <w:rFonts w:ascii="Arial" w:hAnsi="Arial" w:cs="Arial"/>
        </w:rPr>
        <w:t xml:space="preserve"> aktivit, které realizuje, a které svým charakterem neodpovídají základním činnostem sociálních služeb a</w:t>
      </w:r>
      <w:r w:rsidR="00CC6A38">
        <w:rPr>
          <w:rFonts w:ascii="Arial" w:hAnsi="Arial" w:cs="Arial"/>
        </w:rPr>
        <w:t xml:space="preserve"> jejichž financování spadá pod pravidla veřejné podpory.</w:t>
      </w:r>
      <w:r>
        <w:rPr>
          <w:rFonts w:ascii="Arial" w:hAnsi="Arial" w:cs="Arial"/>
        </w:rPr>
        <w:t xml:space="preserve"> </w:t>
      </w:r>
    </w:p>
    <w:p w:rsidR="00EE317C" w:rsidP="009135F9" w:rsidRDefault="00EE317C">
      <w:pPr>
        <w:spacing w:before="120" w:after="120"/>
        <w:rPr>
          <w:rFonts w:ascii="Arial" w:hAnsi="Arial" w:cs="Arial"/>
        </w:rPr>
      </w:pPr>
    </w:p>
    <w:p w:rsidR="00EE317C" w:rsidP="009135F9" w:rsidRDefault="00EE317C">
      <w:pPr>
        <w:spacing w:before="120" w:after="120"/>
        <w:rPr>
          <w:rFonts w:ascii="Arial" w:hAnsi="Arial" w:cs="Arial"/>
        </w:rPr>
      </w:pPr>
    </w:p>
    <w:p w:rsidR="00AC4991" w:rsidP="007C02AF" w:rsidRDefault="00E96EAD">
      <w:pPr>
        <w:pStyle w:val="Nadpis3"/>
        <w:spacing w:after="240"/>
        <w:ind w:left="357" w:hanging="357"/>
      </w:pPr>
      <w:r>
        <w:t xml:space="preserve">Povinnosti příjemce před vydáním </w:t>
      </w:r>
      <w:r w:rsidR="00CC756C">
        <w:t>R</w:t>
      </w:r>
      <w:r>
        <w:t>ozhodnutí</w:t>
      </w:r>
      <w:r w:rsidR="006A30C2">
        <w:t xml:space="preserve"> o poskytnutí dotace</w:t>
      </w:r>
      <w:r w:rsidR="00383FE8">
        <w:t xml:space="preserve"> a po dobu realizace projektu</w:t>
      </w:r>
    </w:p>
    <w:p w:rsidR="006A30C2" w:rsidP="0095261E" w:rsidRDefault="001D5D1D">
      <w:pPr>
        <w:spacing w:before="120" w:after="120"/>
        <w:rPr>
          <w:rFonts w:ascii="Arial" w:hAnsi="Arial" w:cs="Arial"/>
        </w:rPr>
      </w:pPr>
      <w:r w:rsidRPr="009135F9">
        <w:rPr>
          <w:rFonts w:ascii="Arial" w:hAnsi="Arial" w:cs="Arial"/>
          <w:b/>
          <w:u w:val="single"/>
        </w:rPr>
        <w:t>Před vydáním Rozhodnutí o poskytnutí dotace</w:t>
      </w:r>
      <w:r w:rsidRPr="009135F9">
        <w:rPr>
          <w:rFonts w:ascii="Arial" w:hAnsi="Arial" w:cs="Arial"/>
        </w:rPr>
        <w:t xml:space="preserve"> je žadatel povinen </w:t>
      </w:r>
      <w:r w:rsidR="006A30C2">
        <w:rPr>
          <w:rFonts w:ascii="Arial" w:hAnsi="Arial" w:cs="Arial"/>
        </w:rPr>
        <w:t>zpracovat a předložit následující:</w:t>
      </w:r>
    </w:p>
    <w:p w:rsidRPr="007C02AF" w:rsidR="00EC0C51" w:rsidP="007C02AF" w:rsidRDefault="00EC0C51">
      <w:pPr>
        <w:pStyle w:val="Odstavecseseznamem"/>
        <w:widowControl w:val="false"/>
        <w:numPr>
          <w:ilvl w:val="0"/>
          <w:numId w:val="47"/>
        </w:numPr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</w:rPr>
      </w:pPr>
      <w:r w:rsidRPr="007C02AF">
        <w:rPr>
          <w:rFonts w:ascii="Arial" w:hAnsi="Arial" w:cs="Arial"/>
          <w:b/>
        </w:rPr>
        <w:t xml:space="preserve">Kopii Pověření </w:t>
      </w:r>
      <w:r w:rsidRPr="007C02AF">
        <w:rPr>
          <w:rFonts w:ascii="Arial" w:hAnsi="Arial" w:cs="Arial"/>
        </w:rPr>
        <w:t>k zajišťování služ</w:t>
      </w:r>
      <w:r w:rsidRPr="007C02AF" w:rsidR="00780C59">
        <w:rPr>
          <w:rFonts w:ascii="Arial" w:hAnsi="Arial" w:cs="Arial"/>
        </w:rPr>
        <w:t>by obecného hospodářského zájmu, které vydal veřejný Objednatel</w:t>
      </w:r>
      <w:r w:rsidRPr="007C02AF" w:rsidR="00780C59">
        <w:rPr>
          <w:rStyle w:val="Znakapoznpodarou"/>
          <w:rFonts w:ascii="Arial" w:hAnsi="Arial" w:cs="Arial"/>
        </w:rPr>
        <w:footnoteReference w:id="3"/>
      </w:r>
    </w:p>
    <w:p w:rsidR="00EC0C51" w:rsidP="007C02AF" w:rsidRDefault="00EC0C51">
      <w:pPr>
        <w:spacing w:before="120" w:after="120"/>
        <w:rPr>
          <w:rFonts w:ascii="Arial" w:hAnsi="Arial" w:cs="Arial"/>
          <w:b/>
        </w:rPr>
      </w:pPr>
    </w:p>
    <w:p w:rsidRPr="007C02AF" w:rsidR="00CE06BB" w:rsidP="007C02AF" w:rsidRDefault="00CE06BB">
      <w:pPr>
        <w:spacing w:before="120" w:after="120"/>
        <w:rPr>
          <w:rFonts w:ascii="Arial" w:hAnsi="Arial" w:cs="Arial"/>
          <w:b/>
        </w:rPr>
      </w:pPr>
    </w:p>
    <w:p w:rsidRPr="007C02AF" w:rsidR="00526206" w:rsidP="007C02AF" w:rsidRDefault="00EC314B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b/>
        </w:rPr>
      </w:pPr>
      <w:r w:rsidRPr="007C02AF">
        <w:rPr>
          <w:rFonts w:ascii="Arial" w:hAnsi="Arial" w:cs="Arial"/>
          <w:b/>
        </w:rPr>
        <w:lastRenderedPageBreak/>
        <w:t>Finanční rámec veřejné podpory</w:t>
      </w:r>
      <w:r w:rsidRPr="00A850EF" w:rsidR="0043482D">
        <w:rPr>
          <w:rFonts w:ascii="Arial" w:hAnsi="Arial" w:cs="Arial"/>
          <w:b/>
        </w:rPr>
        <w:t xml:space="preserve">, </w:t>
      </w:r>
      <w:r w:rsidRPr="00DD49CA" w:rsidR="0043482D">
        <w:rPr>
          <w:rFonts w:ascii="Arial" w:hAnsi="Arial" w:cs="Arial"/>
          <w:b/>
        </w:rPr>
        <w:t>příloh</w:t>
      </w:r>
      <w:r w:rsidRPr="00DD49CA" w:rsidR="00814277">
        <w:rPr>
          <w:rFonts w:ascii="Arial" w:hAnsi="Arial" w:cs="Arial"/>
          <w:b/>
        </w:rPr>
        <w:t>y</w:t>
      </w:r>
      <w:r w:rsidRPr="00DD49CA" w:rsidR="0043482D">
        <w:rPr>
          <w:rFonts w:ascii="Arial" w:hAnsi="Arial" w:cs="Arial"/>
          <w:b/>
        </w:rPr>
        <w:t xml:space="preserve"> č. </w:t>
      </w:r>
      <w:r w:rsidRPr="00A850EF" w:rsidR="00814277">
        <w:rPr>
          <w:rFonts w:ascii="Arial" w:hAnsi="Arial" w:cs="Arial"/>
          <w:b/>
        </w:rPr>
        <w:t>1c -</w:t>
      </w:r>
      <w:r w:rsidRPr="00A850EF" w:rsidR="00A850EF">
        <w:rPr>
          <w:rFonts w:ascii="Arial" w:hAnsi="Arial" w:cs="Arial"/>
          <w:b/>
        </w:rPr>
        <w:t xml:space="preserve"> </w:t>
      </w:r>
      <w:r w:rsidRPr="00A850EF" w:rsidR="00814277">
        <w:rPr>
          <w:rFonts w:ascii="Arial" w:hAnsi="Arial" w:cs="Arial"/>
          <w:b/>
        </w:rPr>
        <w:t>1f</w:t>
      </w:r>
      <w:r w:rsidRPr="007C02AF" w:rsidR="00814277">
        <w:rPr>
          <w:rFonts w:ascii="Arial" w:hAnsi="Arial" w:cs="Arial"/>
          <w:b/>
        </w:rPr>
        <w:t xml:space="preserve"> </w:t>
      </w:r>
    </w:p>
    <w:p w:rsidRPr="00DD49CA" w:rsidR="00EC314B" w:rsidP="007C02AF" w:rsidRDefault="00154DF6">
      <w:pPr>
        <w:spacing w:before="120" w:after="120"/>
        <w:ind w:firstLine="708"/>
        <w:rPr>
          <w:rFonts w:ascii="Arial" w:hAnsi="Arial" w:cs="Arial"/>
          <w:b/>
        </w:rPr>
      </w:pPr>
      <w:r w:rsidRPr="00DD49CA">
        <w:rPr>
          <w:rFonts w:ascii="Arial" w:hAnsi="Arial" w:cs="Arial"/>
          <w:b/>
        </w:rPr>
        <w:t>P</w:t>
      </w:r>
      <w:r w:rsidRPr="00DD49CA" w:rsidR="00526206">
        <w:rPr>
          <w:rFonts w:ascii="Arial" w:hAnsi="Arial" w:cs="Arial"/>
          <w:b/>
        </w:rPr>
        <w:t xml:space="preserve">říloha </w:t>
      </w:r>
      <w:r w:rsidRPr="00DD49CA" w:rsidR="00EC314B">
        <w:rPr>
          <w:rFonts w:ascii="Arial" w:hAnsi="Arial" w:cs="Arial"/>
          <w:b/>
        </w:rPr>
        <w:t xml:space="preserve">obsahuje </w:t>
      </w:r>
      <w:r w:rsidRPr="00DD49CA" w:rsidR="00526206">
        <w:rPr>
          <w:rFonts w:ascii="Arial" w:hAnsi="Arial" w:cs="Arial"/>
          <w:b/>
        </w:rPr>
        <w:t>3</w:t>
      </w:r>
      <w:r w:rsidRPr="00DD49CA" w:rsidR="00EC314B">
        <w:rPr>
          <w:rFonts w:ascii="Arial" w:hAnsi="Arial" w:cs="Arial"/>
          <w:b/>
        </w:rPr>
        <w:t xml:space="preserve"> </w:t>
      </w:r>
      <w:r w:rsidRPr="00DD49CA" w:rsidR="0043482D">
        <w:rPr>
          <w:rFonts w:ascii="Arial" w:hAnsi="Arial" w:cs="Arial"/>
          <w:b/>
        </w:rPr>
        <w:t>části:</w:t>
      </w:r>
    </w:p>
    <w:p w:rsidRPr="007C02AF" w:rsidR="00526206" w:rsidP="007C02AF" w:rsidRDefault="00526206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</w:rPr>
      </w:pPr>
      <w:r w:rsidRPr="007C02AF">
        <w:rPr>
          <w:rFonts w:ascii="Arial" w:hAnsi="Arial" w:cs="Arial"/>
        </w:rPr>
        <w:t>Úvodní list</w:t>
      </w:r>
      <w:r w:rsidRPr="007C02AF" w:rsidR="00154DF6">
        <w:rPr>
          <w:rFonts w:ascii="Arial" w:hAnsi="Arial" w:cs="Arial"/>
        </w:rPr>
        <w:t>,</w:t>
      </w:r>
    </w:p>
    <w:p w:rsidRPr="007C02AF" w:rsidR="00526206" w:rsidP="007C02AF" w:rsidRDefault="00526206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</w:rPr>
      </w:pPr>
      <w:r w:rsidRPr="007C02AF">
        <w:rPr>
          <w:rFonts w:ascii="Arial" w:hAnsi="Arial" w:cs="Arial"/>
        </w:rPr>
        <w:t>Identifikace veřejné podpory</w:t>
      </w:r>
      <w:r w:rsidRPr="007C02AF" w:rsidR="00154DF6">
        <w:rPr>
          <w:rFonts w:ascii="Arial" w:hAnsi="Arial" w:cs="Arial"/>
        </w:rPr>
        <w:t>,</w:t>
      </w:r>
      <w:r w:rsidRPr="007C02AF">
        <w:rPr>
          <w:rFonts w:ascii="Arial" w:hAnsi="Arial" w:cs="Arial"/>
        </w:rPr>
        <w:t xml:space="preserve"> </w:t>
      </w:r>
    </w:p>
    <w:p w:rsidRPr="007C02AF" w:rsidR="00526206" w:rsidP="007C02AF" w:rsidRDefault="00526206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</w:rPr>
      </w:pPr>
      <w:r w:rsidRPr="007C02AF">
        <w:rPr>
          <w:rFonts w:ascii="Arial" w:hAnsi="Arial" w:cs="Arial"/>
        </w:rPr>
        <w:t xml:space="preserve">Dělení rozpočtu dle typu </w:t>
      </w:r>
      <w:r w:rsidR="0043482D">
        <w:rPr>
          <w:rFonts w:ascii="Arial" w:hAnsi="Arial" w:cs="Arial"/>
        </w:rPr>
        <w:t>veřejné podpory</w:t>
      </w:r>
      <w:r w:rsidR="00EC0C51">
        <w:rPr>
          <w:rFonts w:ascii="Arial" w:hAnsi="Arial" w:cs="Arial"/>
        </w:rPr>
        <w:t xml:space="preserve"> (VP)</w:t>
      </w:r>
      <w:r w:rsidRPr="007C02AF" w:rsidR="00154DF6">
        <w:rPr>
          <w:rFonts w:ascii="Arial" w:hAnsi="Arial" w:cs="Arial"/>
        </w:rPr>
        <w:t>.</w:t>
      </w:r>
    </w:p>
    <w:p w:rsidR="00526206" w:rsidP="007C02AF" w:rsidRDefault="00526206">
      <w:pPr>
        <w:pStyle w:val="Odstavecseseznamem"/>
        <w:spacing w:before="120" w:after="120"/>
        <w:rPr>
          <w:rFonts w:ascii="Arial" w:hAnsi="Arial" w:cs="Arial"/>
          <w:b/>
        </w:rPr>
      </w:pPr>
    </w:p>
    <w:p w:rsidRPr="007C02AF" w:rsidR="0043482D" w:rsidP="007C02AF" w:rsidRDefault="0043482D">
      <w:pPr>
        <w:pStyle w:val="Odstavecseseznamem"/>
        <w:spacing w:before="120" w:after="120"/>
        <w:rPr>
          <w:rFonts w:ascii="Arial" w:hAnsi="Arial" w:cs="Arial"/>
        </w:rPr>
      </w:pPr>
    </w:p>
    <w:p w:rsidRPr="007C02AF" w:rsidR="00526206" w:rsidP="007C02AF" w:rsidRDefault="00526206">
      <w:pPr>
        <w:pStyle w:val="Odstavecseseznamem"/>
        <w:spacing w:before="120" w:after="120"/>
        <w:rPr>
          <w:rFonts w:ascii="Arial" w:hAnsi="Arial" w:cs="Arial"/>
        </w:rPr>
      </w:pPr>
      <w:r w:rsidRPr="00526206">
        <w:rPr>
          <w:rFonts w:ascii="Arial" w:hAnsi="Arial" w:cs="Arial"/>
          <w:b/>
        </w:rPr>
        <w:t>Úvodní list</w:t>
      </w:r>
      <w:r>
        <w:rPr>
          <w:rFonts w:ascii="Arial" w:hAnsi="Arial" w:cs="Arial"/>
          <w:b/>
        </w:rPr>
        <w:t xml:space="preserve"> </w:t>
      </w:r>
      <w:r w:rsidRPr="007C02AF">
        <w:rPr>
          <w:rFonts w:ascii="Arial" w:hAnsi="Arial" w:cs="Arial"/>
        </w:rPr>
        <w:t xml:space="preserve">- </w:t>
      </w:r>
      <w:r w:rsidR="003E3F5F">
        <w:rPr>
          <w:rFonts w:ascii="Arial" w:hAnsi="Arial" w:cs="Arial"/>
        </w:rPr>
        <w:t>o</w:t>
      </w:r>
      <w:r w:rsidRPr="007C02AF">
        <w:rPr>
          <w:rFonts w:ascii="Arial" w:hAnsi="Arial" w:cs="Arial"/>
        </w:rPr>
        <w:t>bsahuje pokyny pro vyplnění celého souboru</w:t>
      </w:r>
      <w:r>
        <w:rPr>
          <w:rFonts w:ascii="Arial" w:hAnsi="Arial" w:cs="Arial"/>
        </w:rPr>
        <w:t>.</w:t>
      </w:r>
      <w:r w:rsidRPr="007C02AF">
        <w:rPr>
          <w:rFonts w:ascii="Arial" w:hAnsi="Arial" w:cs="Arial"/>
        </w:rPr>
        <w:t xml:space="preserve"> </w:t>
      </w:r>
    </w:p>
    <w:p w:rsidR="00526206" w:rsidP="007C02AF" w:rsidRDefault="00526206">
      <w:pPr>
        <w:pStyle w:val="Odstavecseseznamem"/>
        <w:spacing w:before="120" w:after="120"/>
        <w:rPr>
          <w:rFonts w:ascii="Arial" w:hAnsi="Arial" w:cs="Arial"/>
          <w:b/>
        </w:rPr>
      </w:pPr>
    </w:p>
    <w:p w:rsidR="00497906" w:rsidP="007C02AF" w:rsidRDefault="000606C3">
      <w:pPr>
        <w:pStyle w:val="Odstavecseseznamem"/>
        <w:spacing w:before="120" w:after="120"/>
        <w:rPr>
          <w:rFonts w:ascii="Arial" w:hAnsi="Arial" w:cs="Arial"/>
        </w:rPr>
      </w:pPr>
      <w:r w:rsidRPr="009135F9">
        <w:rPr>
          <w:rFonts w:ascii="Arial" w:hAnsi="Arial" w:cs="Arial"/>
          <w:b/>
        </w:rPr>
        <w:t>Identifikace veřejné podpory</w:t>
      </w:r>
      <w:r w:rsidR="0043482D">
        <w:rPr>
          <w:rFonts w:ascii="Arial" w:hAnsi="Arial" w:cs="Arial"/>
          <w:b/>
        </w:rPr>
        <w:t xml:space="preserve"> </w:t>
      </w:r>
      <w:r w:rsidRPr="00D5251A" w:rsidR="0043482D">
        <w:rPr>
          <w:rFonts w:ascii="Arial" w:hAnsi="Arial" w:cs="Arial"/>
        </w:rPr>
        <w:t>–</w:t>
      </w:r>
      <w:r w:rsidR="0043482D">
        <w:rPr>
          <w:rFonts w:ascii="Arial" w:hAnsi="Arial" w:cs="Arial"/>
          <w:b/>
        </w:rPr>
        <w:t xml:space="preserve"> </w:t>
      </w:r>
      <w:r w:rsidR="0043482D">
        <w:rPr>
          <w:rFonts w:ascii="Arial" w:hAnsi="Arial" w:cs="Arial"/>
        </w:rPr>
        <w:t>tato část</w:t>
      </w:r>
      <w:r w:rsidRPr="009135F9" w:rsidR="001D5D1D">
        <w:rPr>
          <w:rFonts w:ascii="Arial" w:hAnsi="Arial" w:cs="Arial"/>
        </w:rPr>
        <w:t xml:space="preserve"> slouží jako přehled o typu veřejné podpory a subjektu, kterému </w:t>
      </w:r>
      <w:r>
        <w:rPr>
          <w:rFonts w:ascii="Arial" w:hAnsi="Arial" w:cs="Arial"/>
        </w:rPr>
        <w:t xml:space="preserve">veřejná podpora </w:t>
      </w:r>
      <w:r w:rsidRPr="009135F9" w:rsidR="001D5D1D">
        <w:rPr>
          <w:rFonts w:ascii="Arial" w:hAnsi="Arial" w:cs="Arial"/>
        </w:rPr>
        <w:t>náleží</w:t>
      </w:r>
      <w:r w:rsidR="001D5D1D">
        <w:rPr>
          <w:rFonts w:ascii="Arial" w:hAnsi="Arial" w:cs="Arial"/>
        </w:rPr>
        <w:t>.</w:t>
      </w:r>
      <w:r w:rsidR="00E14D2B">
        <w:rPr>
          <w:rFonts w:ascii="Arial" w:hAnsi="Arial" w:cs="Arial"/>
        </w:rPr>
        <w:t xml:space="preserve"> </w:t>
      </w:r>
      <w:r w:rsidR="004F79A5">
        <w:rPr>
          <w:rFonts w:ascii="Arial" w:hAnsi="Arial" w:cs="Arial"/>
        </w:rPr>
        <w:t xml:space="preserve">Zároveň v případě podpory sociálních služeb v rámci projektu v režimu </w:t>
      </w:r>
      <w:r w:rsidR="00EC0C51">
        <w:rPr>
          <w:rFonts w:ascii="Arial" w:hAnsi="Arial" w:cs="Arial"/>
        </w:rPr>
        <w:t>služeb obecného hospodářského zájmu (</w:t>
      </w:r>
      <w:r w:rsidR="004F79A5">
        <w:rPr>
          <w:rFonts w:ascii="Arial" w:hAnsi="Arial" w:cs="Arial"/>
        </w:rPr>
        <w:t>SGEI</w:t>
      </w:r>
      <w:r w:rsidR="00EC0C51">
        <w:rPr>
          <w:rFonts w:ascii="Arial" w:hAnsi="Arial" w:cs="Arial"/>
        </w:rPr>
        <w:t>)</w:t>
      </w:r>
      <w:r w:rsidR="004F79A5">
        <w:rPr>
          <w:rFonts w:ascii="Arial" w:hAnsi="Arial" w:cs="Arial"/>
        </w:rPr>
        <w:t xml:space="preserve"> </w:t>
      </w:r>
      <w:r w:rsidR="00D5251A">
        <w:rPr>
          <w:rFonts w:ascii="Arial" w:hAnsi="Arial" w:cs="Arial"/>
        </w:rPr>
        <w:t xml:space="preserve">příjemce </w:t>
      </w:r>
      <w:r w:rsidR="004F79A5">
        <w:rPr>
          <w:rFonts w:ascii="Arial" w:hAnsi="Arial" w:cs="Arial"/>
        </w:rPr>
        <w:t>identifikuje</w:t>
      </w:r>
      <w:r w:rsidR="00EC314B">
        <w:rPr>
          <w:rFonts w:ascii="Arial" w:hAnsi="Arial" w:cs="Arial"/>
        </w:rPr>
        <w:t xml:space="preserve"> sociální služby a </w:t>
      </w:r>
      <w:r w:rsidR="004F79A5">
        <w:rPr>
          <w:rFonts w:ascii="Arial" w:hAnsi="Arial" w:cs="Arial"/>
        </w:rPr>
        <w:t>způsob rozdělení nákladů projektu vyrovnávací platby</w:t>
      </w:r>
      <w:r w:rsidR="00EC314B">
        <w:rPr>
          <w:rFonts w:ascii="Arial" w:hAnsi="Arial" w:cs="Arial"/>
        </w:rPr>
        <w:t xml:space="preserve"> pro </w:t>
      </w:r>
      <w:r w:rsidR="004F79A5">
        <w:rPr>
          <w:rFonts w:ascii="Arial" w:hAnsi="Arial" w:cs="Arial"/>
        </w:rPr>
        <w:t>jednotlivé sociální služby.</w:t>
      </w:r>
    </w:p>
    <w:p w:rsidR="004F79A5" w:rsidP="009135F9" w:rsidRDefault="00E14D2B">
      <w:pPr>
        <w:spacing w:before="120" w:after="120"/>
        <w:ind w:left="708"/>
        <w:rPr>
          <w:rFonts w:ascii="Arial" w:hAnsi="Arial" w:cs="Arial"/>
        </w:rPr>
      </w:pPr>
      <w:r w:rsidRPr="009135F9">
        <w:rPr>
          <w:rFonts w:ascii="Arial" w:hAnsi="Arial" w:cs="Arial"/>
          <w:u w:val="single"/>
        </w:rPr>
        <w:t xml:space="preserve">Pro výpočet </w:t>
      </w:r>
      <w:r w:rsidRPr="009135F9" w:rsidR="004F79A5">
        <w:rPr>
          <w:rFonts w:ascii="Arial" w:hAnsi="Arial" w:cs="Arial"/>
          <w:u w:val="single"/>
        </w:rPr>
        <w:t>rozdělení nákladů lze využít tyto možnosti</w:t>
      </w:r>
      <w:r w:rsidR="004F79A5">
        <w:rPr>
          <w:rFonts w:ascii="Arial" w:hAnsi="Arial" w:cs="Arial"/>
        </w:rPr>
        <w:t>:</w:t>
      </w:r>
    </w:p>
    <w:p w:rsidR="00E14D2B" w:rsidP="009135F9" w:rsidRDefault="00AD17EE">
      <w:pPr>
        <w:spacing w:before="120" w:after="120"/>
        <w:ind w:left="708"/>
        <w:rPr>
          <w:rFonts w:ascii="Arial" w:hAnsi="Arial" w:cs="Arial"/>
        </w:rPr>
      </w:pPr>
      <w:r w:rsidRPr="007C02AF">
        <w:rPr>
          <w:rFonts w:ascii="Arial" w:hAnsi="Arial" w:cs="Arial"/>
          <w:u w:val="single"/>
        </w:rPr>
        <w:t>Varianta A</w:t>
      </w:r>
      <w:r>
        <w:rPr>
          <w:rFonts w:ascii="Arial" w:hAnsi="Arial" w:cs="Arial"/>
        </w:rPr>
        <w:t xml:space="preserve"> -</w:t>
      </w:r>
      <w:r w:rsidR="004F79A5">
        <w:rPr>
          <w:rFonts w:ascii="Arial" w:hAnsi="Arial" w:cs="Arial"/>
        </w:rPr>
        <w:t xml:space="preserve"> </w:t>
      </w:r>
      <w:r w:rsidRPr="007C02AF" w:rsidR="00E14D2B">
        <w:rPr>
          <w:rFonts w:ascii="Arial" w:hAnsi="Arial" w:cs="Arial"/>
          <w:i/>
        </w:rPr>
        <w:t>tzv. výnosov</w:t>
      </w:r>
      <w:r w:rsidRPr="007C02AF" w:rsidR="00EC314B">
        <w:rPr>
          <w:rFonts w:ascii="Arial" w:hAnsi="Arial" w:cs="Arial"/>
          <w:i/>
        </w:rPr>
        <w:t>ou</w:t>
      </w:r>
      <w:r w:rsidRPr="007C02AF" w:rsidR="00E14D2B">
        <w:rPr>
          <w:rFonts w:ascii="Arial" w:hAnsi="Arial" w:cs="Arial"/>
          <w:i/>
        </w:rPr>
        <w:t xml:space="preserve"> metod</w:t>
      </w:r>
      <w:r w:rsidRPr="007C02AF" w:rsidR="00EC314B">
        <w:rPr>
          <w:rFonts w:ascii="Arial" w:hAnsi="Arial" w:cs="Arial"/>
          <w:i/>
        </w:rPr>
        <w:t>u</w:t>
      </w:r>
      <w:r w:rsidR="00E14D2B">
        <w:rPr>
          <w:rFonts w:ascii="Arial" w:hAnsi="Arial" w:cs="Arial"/>
        </w:rPr>
        <w:t>, kter</w:t>
      </w:r>
      <w:r w:rsidR="00CC756C">
        <w:rPr>
          <w:rFonts w:ascii="Arial" w:hAnsi="Arial" w:cs="Arial"/>
        </w:rPr>
        <w:t>á</w:t>
      </w:r>
      <w:r w:rsidR="00E14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pro </w:t>
      </w:r>
      <w:r w:rsidR="00E14D2B">
        <w:rPr>
          <w:rFonts w:ascii="Arial" w:hAnsi="Arial" w:cs="Arial"/>
        </w:rPr>
        <w:t>potřeby této výzvy defin</w:t>
      </w:r>
      <w:r>
        <w:rPr>
          <w:rFonts w:ascii="Arial" w:hAnsi="Arial" w:cs="Arial"/>
        </w:rPr>
        <w:t>ována</w:t>
      </w:r>
      <w:r w:rsidR="00E14D2B">
        <w:rPr>
          <w:rFonts w:ascii="Arial" w:hAnsi="Arial" w:cs="Arial"/>
        </w:rPr>
        <w:t xml:space="preserve"> takto:</w:t>
      </w:r>
      <w:r w:rsidR="00EC0C51">
        <w:rPr>
          <w:rFonts w:ascii="Arial" w:hAnsi="Arial" w:cs="Arial"/>
        </w:rPr>
        <w:t xml:space="preserve"> </w:t>
      </w:r>
      <w:r w:rsidRPr="00E14D2B" w:rsidR="00E14D2B">
        <w:rPr>
          <w:rFonts w:ascii="Arial" w:hAnsi="Arial" w:cs="Arial"/>
        </w:rPr>
        <w:t>Podíl hospodářských činností na roční kapacitě je v rámci výnosové metody možno stanovit prostřednictvím podílu výnosů z hospodářské činnosti na celkových provozních výnosech.</w:t>
      </w:r>
      <w:r w:rsidR="00E14D2B">
        <w:rPr>
          <w:rFonts w:ascii="Arial" w:hAnsi="Arial" w:cs="Arial"/>
        </w:rPr>
        <w:t xml:space="preserve"> </w:t>
      </w:r>
      <w:r w:rsidRPr="00E14D2B" w:rsidR="00E14D2B">
        <w:rPr>
          <w:rFonts w:ascii="Arial" w:hAnsi="Arial" w:cs="Arial"/>
        </w:rPr>
        <w:t>Příjemce stanoví výnosy z hospodářské činnosti a celkové provozní výnosy pro daný subjekt v souladu s relevantními předpisy o účetnictví, s</w:t>
      </w:r>
      <w:r w:rsidR="00154DF6">
        <w:rPr>
          <w:rFonts w:ascii="Arial" w:hAnsi="Arial" w:cs="Arial"/>
        </w:rPr>
        <w:t> </w:t>
      </w:r>
      <w:r w:rsidRPr="00E14D2B" w:rsidR="00E14D2B">
        <w:rPr>
          <w:rFonts w:ascii="Arial" w:hAnsi="Arial" w:cs="Arial"/>
        </w:rPr>
        <w:t>využitím údajů z výkazu zisku a ztráty daného subjektu, příp. příslušné analytické evidence.</w:t>
      </w:r>
      <w:r w:rsidR="00E14D2B">
        <w:rPr>
          <w:rFonts w:ascii="Arial" w:hAnsi="Arial" w:cs="Arial"/>
        </w:rPr>
        <w:t xml:space="preserve"> </w:t>
      </w:r>
      <w:r w:rsidRPr="00E14D2B" w:rsidR="00E14D2B">
        <w:rPr>
          <w:rFonts w:ascii="Arial" w:hAnsi="Arial" w:cs="Arial"/>
        </w:rPr>
        <w:t>V případě, že daný subjekt tvoří hospodářské středisko či více hospodářských středisek, lze využít výnosy za toto hospodářské středisko či více dotčených středisek.</w:t>
      </w:r>
    </w:p>
    <w:p w:rsidR="004F79A5" w:rsidP="009135F9" w:rsidRDefault="004F79A5">
      <w:pPr>
        <w:spacing w:before="120" w:after="120"/>
        <w:ind w:left="708"/>
        <w:rPr>
          <w:rFonts w:ascii="Arial" w:hAnsi="Arial" w:cs="Arial"/>
        </w:rPr>
      </w:pPr>
      <w:r w:rsidRPr="007C02AF">
        <w:rPr>
          <w:rFonts w:ascii="Arial" w:hAnsi="Arial" w:cs="Arial"/>
          <w:u w:val="single"/>
        </w:rPr>
        <w:t>Varianta B</w:t>
      </w:r>
      <w:r w:rsidR="00EC314B">
        <w:rPr>
          <w:rFonts w:ascii="Arial" w:hAnsi="Arial" w:cs="Arial"/>
        </w:rPr>
        <w:t xml:space="preserve"> </w:t>
      </w:r>
      <w:r w:rsidR="00AD17EE">
        <w:rPr>
          <w:rFonts w:ascii="Arial" w:hAnsi="Arial" w:cs="Arial"/>
        </w:rPr>
        <w:t xml:space="preserve">- </w:t>
      </w:r>
      <w:r w:rsidRPr="007C02AF" w:rsidR="00EC314B">
        <w:rPr>
          <w:rFonts w:ascii="Arial" w:hAnsi="Arial" w:cs="Arial"/>
          <w:i/>
        </w:rPr>
        <w:t>rozdělení rozpočtu dle povahy aktivit v členění každé položky</w:t>
      </w:r>
      <w:r w:rsidR="00EC0C51">
        <w:rPr>
          <w:rFonts w:ascii="Arial" w:hAnsi="Arial" w:cs="Arial"/>
          <w:i/>
        </w:rPr>
        <w:t xml:space="preserve"> rozpočtu</w:t>
      </w:r>
      <w:r w:rsidR="00EC314B">
        <w:rPr>
          <w:rFonts w:ascii="Arial" w:hAnsi="Arial" w:cs="Arial"/>
        </w:rPr>
        <w:t>. J</w:t>
      </w:r>
      <w:r w:rsidRPr="00EC314B" w:rsidR="00EC314B">
        <w:rPr>
          <w:rFonts w:ascii="Arial" w:hAnsi="Arial" w:cs="Arial"/>
        </w:rPr>
        <w:t>ednotlivé položky rozpočtu</w:t>
      </w:r>
      <w:r w:rsidR="00EC314B">
        <w:rPr>
          <w:rFonts w:ascii="Arial" w:hAnsi="Arial" w:cs="Arial"/>
        </w:rPr>
        <w:t xml:space="preserve"> budou</w:t>
      </w:r>
      <w:r w:rsidRPr="00EC314B" w:rsidR="00EC314B">
        <w:rPr>
          <w:rFonts w:ascii="Arial" w:hAnsi="Arial" w:cs="Arial"/>
        </w:rPr>
        <w:t xml:space="preserve"> rozpočítány podle toho, </w:t>
      </w:r>
      <w:r w:rsidR="00EC314B">
        <w:rPr>
          <w:rFonts w:ascii="Arial" w:hAnsi="Arial" w:cs="Arial"/>
        </w:rPr>
        <w:t xml:space="preserve">jakým podílem </w:t>
      </w:r>
      <w:r w:rsidR="00766385">
        <w:rPr>
          <w:rFonts w:ascii="Arial" w:hAnsi="Arial" w:cs="Arial"/>
        </w:rPr>
        <w:t xml:space="preserve">se </w:t>
      </w:r>
      <w:r w:rsidRPr="00EC314B" w:rsidR="00766385">
        <w:rPr>
          <w:rFonts w:ascii="Arial" w:hAnsi="Arial" w:cs="Arial"/>
        </w:rPr>
        <w:t>daná</w:t>
      </w:r>
      <w:r w:rsidRPr="00EC314B" w:rsidR="00EC314B">
        <w:rPr>
          <w:rFonts w:ascii="Arial" w:hAnsi="Arial" w:cs="Arial"/>
        </w:rPr>
        <w:t xml:space="preserve"> položka </w:t>
      </w:r>
      <w:r w:rsidR="00EC314B">
        <w:rPr>
          <w:rFonts w:ascii="Arial" w:hAnsi="Arial" w:cs="Arial"/>
        </w:rPr>
        <w:t xml:space="preserve">podílí na zabezpečení </w:t>
      </w:r>
      <w:r w:rsidR="00766385">
        <w:rPr>
          <w:rFonts w:ascii="Arial" w:hAnsi="Arial" w:cs="Arial"/>
        </w:rPr>
        <w:t>aktivity</w:t>
      </w:r>
      <w:r w:rsidRPr="00EC314B" w:rsidR="00766385">
        <w:rPr>
          <w:rFonts w:ascii="Arial" w:hAnsi="Arial" w:cs="Arial"/>
        </w:rPr>
        <w:t>, jejichž</w:t>
      </w:r>
      <w:r w:rsidRPr="00EC314B" w:rsidR="00EC314B">
        <w:rPr>
          <w:rFonts w:ascii="Arial" w:hAnsi="Arial" w:cs="Arial"/>
        </w:rPr>
        <w:t xml:space="preserve"> náklady patří do vyrovnávací platby</w:t>
      </w:r>
      <w:r w:rsidR="00AD17EE">
        <w:rPr>
          <w:rFonts w:ascii="Arial" w:hAnsi="Arial" w:cs="Arial"/>
        </w:rPr>
        <w:t xml:space="preserve"> nebo podpory </w:t>
      </w:r>
      <w:r w:rsidR="002869EC">
        <w:rPr>
          <w:rFonts w:ascii="Arial" w:hAnsi="Arial" w:cs="Arial"/>
        </w:rPr>
        <w:t xml:space="preserve">de </w:t>
      </w:r>
      <w:proofErr w:type="spellStart"/>
      <w:r w:rsidR="002869EC">
        <w:rPr>
          <w:rFonts w:ascii="Arial" w:hAnsi="Arial" w:cs="Arial"/>
        </w:rPr>
        <w:t>minimis</w:t>
      </w:r>
      <w:proofErr w:type="spellEnd"/>
      <w:r w:rsidR="00AD17EE">
        <w:rPr>
          <w:rFonts w:ascii="Arial" w:hAnsi="Arial" w:cs="Arial"/>
        </w:rPr>
        <w:t xml:space="preserve"> nebo jsou činností </w:t>
      </w:r>
      <w:proofErr w:type="spellStart"/>
      <w:r w:rsidR="00AD17EE">
        <w:rPr>
          <w:rFonts w:ascii="Arial" w:hAnsi="Arial" w:cs="Arial"/>
        </w:rPr>
        <w:t>nehospodářské</w:t>
      </w:r>
      <w:proofErr w:type="spellEnd"/>
      <w:r w:rsidR="00AD17EE">
        <w:rPr>
          <w:rFonts w:ascii="Arial" w:hAnsi="Arial" w:cs="Arial"/>
        </w:rPr>
        <w:t xml:space="preserve"> povahy </w:t>
      </w:r>
      <w:r w:rsidR="002869EC">
        <w:rPr>
          <w:rFonts w:ascii="Arial" w:hAnsi="Arial" w:cs="Arial"/>
        </w:rPr>
        <w:t>(např. d</w:t>
      </w:r>
      <w:r w:rsidRPr="009135F9" w:rsidR="002869EC">
        <w:rPr>
          <w:rFonts w:ascii="Arial" w:hAnsi="Arial" w:cs="Arial"/>
        </w:rPr>
        <w:t>le nákladů připadajících na aktivitu)</w:t>
      </w:r>
      <w:r w:rsidRPr="00EC314B" w:rsidR="00EC314B">
        <w:rPr>
          <w:rFonts w:ascii="Arial" w:hAnsi="Arial" w:cs="Arial"/>
        </w:rPr>
        <w:t>.</w:t>
      </w:r>
      <w:r w:rsidR="00766385">
        <w:rPr>
          <w:rFonts w:ascii="Arial" w:hAnsi="Arial" w:cs="Arial"/>
        </w:rPr>
        <w:t xml:space="preserve"> Příjemce popíše, jakým způsobem položky rozčlenil. </w:t>
      </w:r>
    </w:p>
    <w:p w:rsidR="004F79A5" w:rsidP="009135F9" w:rsidRDefault="004F79A5">
      <w:pPr>
        <w:spacing w:before="120" w:after="120"/>
        <w:ind w:left="708"/>
        <w:rPr>
          <w:rFonts w:ascii="Arial" w:hAnsi="Arial" w:cs="Arial"/>
        </w:rPr>
      </w:pPr>
      <w:r w:rsidRPr="007C02AF">
        <w:rPr>
          <w:rFonts w:ascii="Arial" w:hAnsi="Arial" w:cs="Arial"/>
          <w:u w:val="single"/>
        </w:rPr>
        <w:t>Varianta C</w:t>
      </w:r>
      <w:r w:rsidR="00766385">
        <w:rPr>
          <w:rFonts w:ascii="Arial" w:hAnsi="Arial" w:cs="Arial"/>
        </w:rPr>
        <w:t xml:space="preserve"> </w:t>
      </w:r>
      <w:r w:rsidR="00AD17EE">
        <w:rPr>
          <w:rFonts w:ascii="Arial" w:hAnsi="Arial" w:cs="Arial"/>
        </w:rPr>
        <w:t xml:space="preserve">- </w:t>
      </w:r>
      <w:r w:rsidRPr="007C02AF" w:rsidR="002869EC">
        <w:rPr>
          <w:rFonts w:ascii="Arial" w:hAnsi="Arial" w:cs="Arial"/>
          <w:i/>
        </w:rPr>
        <w:t>kombinace obou předchozích variant</w:t>
      </w:r>
      <w:r w:rsidR="002869EC">
        <w:rPr>
          <w:rFonts w:ascii="Arial" w:hAnsi="Arial" w:cs="Arial"/>
        </w:rPr>
        <w:t xml:space="preserve">.  Je možné zvolit u každé položky jiný způsob rozdělení položky (např. osobní náklady související s rozvojovými aktivity budou rozděleny výnosovou metodu – aktivity zasahují do všech služeb a nelze jednoznačně rozdělit jednotlivé náklady </w:t>
      </w:r>
      <w:r w:rsidR="00EC0C51">
        <w:rPr>
          <w:rFonts w:ascii="Arial" w:hAnsi="Arial" w:cs="Arial"/>
        </w:rPr>
        <w:t xml:space="preserve">ve vztahu ke konkrétní sociální službě - </w:t>
      </w:r>
      <w:r w:rsidR="002869EC">
        <w:rPr>
          <w:rFonts w:ascii="Arial" w:hAnsi="Arial" w:cs="Arial"/>
        </w:rPr>
        <w:t>varianta A. Položky v nákupu služeb např. akreditované kurzy lze jednoznačně přiřadit k jedné sociální službě a celá položka tak bude náležet k jedné sociální službě – varianta B)</w:t>
      </w:r>
      <w:r w:rsidR="00EC0C51">
        <w:rPr>
          <w:rFonts w:ascii="Arial" w:hAnsi="Arial" w:cs="Arial"/>
        </w:rPr>
        <w:t>.</w:t>
      </w:r>
    </w:p>
    <w:p w:rsidR="00E14D2B" w:rsidP="009135F9" w:rsidRDefault="00E14D2B">
      <w:pPr>
        <w:spacing w:before="120" w:after="120"/>
        <w:ind w:left="708"/>
        <w:rPr>
          <w:rFonts w:ascii="Arial" w:hAnsi="Arial" w:cs="Arial"/>
        </w:rPr>
      </w:pPr>
      <w:r w:rsidRPr="00E14D2B">
        <w:rPr>
          <w:rFonts w:ascii="Arial" w:hAnsi="Arial" w:cs="Arial"/>
        </w:rPr>
        <w:t>Za řádn</w:t>
      </w:r>
      <w:r>
        <w:rPr>
          <w:rFonts w:ascii="Arial" w:hAnsi="Arial" w:cs="Arial"/>
        </w:rPr>
        <w:t xml:space="preserve">ou </w:t>
      </w:r>
      <w:r w:rsidRPr="00E14D2B">
        <w:rPr>
          <w:rFonts w:ascii="Arial" w:hAnsi="Arial" w:cs="Arial"/>
        </w:rPr>
        <w:t>a vhodnou aplikaci metody výpočtu odpovídá příjemce.</w:t>
      </w:r>
    </w:p>
    <w:p w:rsidR="000606C3" w:rsidP="009135F9" w:rsidRDefault="000606C3">
      <w:pPr>
        <w:spacing w:before="120" w:after="120"/>
        <w:ind w:left="708"/>
        <w:rPr>
          <w:rFonts w:ascii="Arial" w:hAnsi="Arial" w:cs="Arial"/>
        </w:rPr>
      </w:pPr>
    </w:p>
    <w:p w:rsidRPr="009135F9" w:rsidR="002869EC" w:rsidP="007C02AF" w:rsidRDefault="000606C3">
      <w:pPr>
        <w:pStyle w:val="Odstavecseseznamem"/>
        <w:spacing w:before="120" w:after="120"/>
        <w:rPr>
          <w:rFonts w:ascii="Arial" w:hAnsi="Arial" w:cs="Arial"/>
          <w:b/>
        </w:rPr>
      </w:pPr>
      <w:r w:rsidRPr="009135F9">
        <w:rPr>
          <w:rFonts w:ascii="Arial" w:hAnsi="Arial" w:cs="Arial"/>
          <w:b/>
        </w:rPr>
        <w:t xml:space="preserve">Dělení rozpočtu projektu dle typu </w:t>
      </w:r>
      <w:r w:rsidR="00EC0C51">
        <w:rPr>
          <w:rFonts w:ascii="Arial" w:hAnsi="Arial" w:cs="Arial"/>
          <w:b/>
        </w:rPr>
        <w:t>veřejné podpory (VP)</w:t>
      </w:r>
    </w:p>
    <w:p w:rsidRPr="009135F9" w:rsidR="00F84BEF" w:rsidP="009135F9" w:rsidRDefault="00F84BEF">
      <w:pPr>
        <w:spacing w:before="120" w:after="120"/>
        <w:ind w:left="708"/>
        <w:rPr>
          <w:rFonts w:ascii="Arial" w:hAnsi="Arial" w:cs="Arial"/>
        </w:rPr>
      </w:pPr>
      <w:r w:rsidRPr="00570A79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Pr="009135F9">
        <w:rPr>
          <w:rFonts w:ascii="Arial" w:hAnsi="Arial" w:cs="Arial"/>
        </w:rPr>
        <w:t xml:space="preserve"> základě údajů v</w:t>
      </w:r>
      <w:r w:rsidR="00EC0C51">
        <w:rPr>
          <w:rFonts w:ascii="Arial" w:hAnsi="Arial" w:cs="Arial"/>
        </w:rPr>
        <w:t> této části</w:t>
      </w:r>
      <w:r w:rsidRPr="009135F9">
        <w:rPr>
          <w:rFonts w:ascii="Arial" w:hAnsi="Arial" w:cs="Arial"/>
        </w:rPr>
        <w:t xml:space="preserve"> bude určena částka z rozpočtu projektu připadající na</w:t>
      </w:r>
      <w:r w:rsidR="00EC0C51">
        <w:rPr>
          <w:rFonts w:ascii="Arial" w:hAnsi="Arial" w:cs="Arial"/>
        </w:rPr>
        <w:t> </w:t>
      </w:r>
      <w:r w:rsidRPr="009135F9">
        <w:rPr>
          <w:rFonts w:ascii="Arial" w:hAnsi="Arial" w:cs="Arial"/>
        </w:rPr>
        <w:t>vyrovnávací platbu</w:t>
      </w:r>
      <w:r w:rsidR="00CC6A38">
        <w:rPr>
          <w:rFonts w:ascii="Arial" w:hAnsi="Arial" w:cs="Arial"/>
        </w:rPr>
        <w:t>,</w:t>
      </w:r>
      <w:r w:rsidRPr="009135F9">
        <w:rPr>
          <w:rFonts w:ascii="Arial" w:hAnsi="Arial" w:cs="Arial"/>
        </w:rPr>
        <w:t xml:space="preserve"> případně podporu de </w:t>
      </w:r>
      <w:proofErr w:type="spellStart"/>
      <w:r w:rsidRPr="009135F9">
        <w:rPr>
          <w:rFonts w:ascii="Arial" w:hAnsi="Arial" w:cs="Arial"/>
        </w:rPr>
        <w:t>minimis</w:t>
      </w:r>
      <w:proofErr w:type="spellEnd"/>
      <w:r w:rsidRPr="009135F9">
        <w:rPr>
          <w:rFonts w:ascii="Arial" w:hAnsi="Arial" w:cs="Arial"/>
        </w:rPr>
        <w:t xml:space="preserve"> a </w:t>
      </w:r>
      <w:r w:rsidR="00CC6A38">
        <w:rPr>
          <w:rFonts w:ascii="Arial" w:hAnsi="Arial" w:cs="Arial"/>
        </w:rPr>
        <w:t xml:space="preserve">podporu činností, které nemají hospodářskou povahu. </w:t>
      </w:r>
      <w:r w:rsidRPr="00913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Částka definovaná jako vyrovnávací platba bude přenesena do Rozhodnutí o poskytnutí dotace a bude dále podléhat pravidlům určených Rozhodnutím o po</w:t>
      </w:r>
      <w:r w:rsidR="00137A6B">
        <w:rPr>
          <w:rFonts w:ascii="Arial" w:hAnsi="Arial" w:cs="Arial"/>
        </w:rPr>
        <w:t xml:space="preserve">skytnutí dotace případně jeho </w:t>
      </w:r>
      <w:r w:rsidR="005355B2">
        <w:rPr>
          <w:rFonts w:ascii="Arial" w:hAnsi="Arial" w:cs="Arial"/>
        </w:rPr>
        <w:t>přílohou tzv. R</w:t>
      </w:r>
      <w:r>
        <w:rPr>
          <w:rFonts w:ascii="Arial" w:hAnsi="Arial" w:cs="Arial"/>
        </w:rPr>
        <w:t>ozvojového pověření.</w:t>
      </w:r>
    </w:p>
    <w:p w:rsidR="002869EC" w:rsidP="009135F9" w:rsidRDefault="00F84BEF">
      <w:pPr>
        <w:spacing w:before="120" w:after="120"/>
        <w:ind w:left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9135F9" w:rsidR="002869EC">
        <w:rPr>
          <w:rFonts w:ascii="Arial" w:hAnsi="Arial" w:cs="Arial"/>
        </w:rPr>
        <w:t>říjemce</w:t>
      </w:r>
      <w:r>
        <w:rPr>
          <w:rFonts w:ascii="Arial" w:hAnsi="Arial" w:cs="Arial"/>
        </w:rPr>
        <w:t xml:space="preserve"> </w:t>
      </w:r>
      <w:r w:rsidRPr="009135F9" w:rsidR="002869EC">
        <w:rPr>
          <w:rFonts w:ascii="Arial" w:hAnsi="Arial" w:cs="Arial"/>
        </w:rPr>
        <w:t>rozdělí jednotlivé položky rozpočtu dle povahy aktivit,</w:t>
      </w:r>
      <w:r w:rsidRPr="009135F9">
        <w:rPr>
          <w:rFonts w:ascii="Arial" w:hAnsi="Arial" w:cs="Arial"/>
        </w:rPr>
        <w:t xml:space="preserve"> které zakládají nebo nezakládají </w:t>
      </w:r>
      <w:r w:rsidRPr="009135F9" w:rsidR="002869EC">
        <w:rPr>
          <w:rFonts w:ascii="Arial" w:hAnsi="Arial" w:cs="Arial"/>
        </w:rPr>
        <w:t>veřejnou podporu</w:t>
      </w:r>
      <w:r w:rsidRPr="009135F9" w:rsidR="00137A6B">
        <w:rPr>
          <w:rFonts w:ascii="Arial" w:hAnsi="Arial" w:cs="Arial"/>
        </w:rPr>
        <w:t>, přičemž určí typ veřejné podpory a</w:t>
      </w:r>
      <w:r w:rsidR="00154DF6">
        <w:rPr>
          <w:rFonts w:ascii="Arial" w:hAnsi="Arial" w:cs="Arial"/>
        </w:rPr>
        <w:t> </w:t>
      </w:r>
      <w:r w:rsidRPr="009135F9" w:rsidR="00137A6B">
        <w:rPr>
          <w:rFonts w:ascii="Arial" w:hAnsi="Arial" w:cs="Arial"/>
        </w:rPr>
        <w:t xml:space="preserve">subjekt, kterému </w:t>
      </w:r>
      <w:r w:rsidR="00EC0C51">
        <w:rPr>
          <w:rFonts w:ascii="Arial" w:hAnsi="Arial" w:cs="Arial"/>
        </w:rPr>
        <w:t xml:space="preserve">podpora </w:t>
      </w:r>
      <w:r w:rsidRPr="009135F9" w:rsidR="00137A6B">
        <w:rPr>
          <w:rFonts w:ascii="Arial" w:hAnsi="Arial" w:cs="Arial"/>
        </w:rPr>
        <w:t>náleží</w:t>
      </w:r>
      <w:r w:rsidRPr="009135F9" w:rsidR="002869EC">
        <w:rPr>
          <w:rFonts w:ascii="Arial" w:hAnsi="Arial" w:cs="Arial"/>
        </w:rPr>
        <w:t>.</w:t>
      </w:r>
      <w:r w:rsidRPr="009135F9">
        <w:rPr>
          <w:rFonts w:ascii="Arial" w:hAnsi="Arial" w:cs="Arial"/>
        </w:rPr>
        <w:t xml:space="preserve"> Je-li některá položka/její část financována v režimu SGEI – je nutné položku dále rozčlenit na jednotlivé sociální služby</w:t>
      </w:r>
      <w:r w:rsidR="00EC0C51">
        <w:rPr>
          <w:rFonts w:ascii="Arial" w:hAnsi="Arial" w:cs="Arial"/>
        </w:rPr>
        <w:t xml:space="preserve"> podpořené </w:t>
      </w:r>
      <w:r w:rsidRPr="009135F9">
        <w:rPr>
          <w:rFonts w:ascii="Arial" w:hAnsi="Arial" w:cs="Arial"/>
        </w:rPr>
        <w:t>v projektu. Příjemce rozpočet rozdělí dle zvolené metody v úvodním listu.</w:t>
      </w:r>
    </w:p>
    <w:p w:rsidRPr="009135F9" w:rsidR="002869EC" w:rsidP="009135F9" w:rsidRDefault="00137A6B">
      <w:pPr>
        <w:spacing w:before="120" w:after="120"/>
        <w:ind w:left="708"/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</w:rPr>
        <w:t xml:space="preserve">Jsou-li pro projekt relevantní příjmy </w:t>
      </w:r>
      <w:r w:rsidRPr="007C02AF">
        <w:rPr>
          <w:rFonts w:ascii="Arial" w:hAnsi="Arial" w:cs="Arial"/>
          <w:highlight w:val="lightGray"/>
        </w:rPr>
        <w:t xml:space="preserve">(více viz </w:t>
      </w:r>
      <w:r w:rsidRPr="007C02AF" w:rsidR="0051113E">
        <w:rPr>
          <w:rFonts w:ascii="Arial" w:hAnsi="Arial" w:cs="Arial"/>
          <w:highlight w:val="lightGray"/>
        </w:rPr>
        <w:t>kap. 4</w:t>
      </w:r>
      <w:r w:rsidRPr="007C02AF">
        <w:rPr>
          <w:rFonts w:ascii="Arial" w:hAnsi="Arial" w:cs="Arial"/>
          <w:highlight w:val="lightGray"/>
        </w:rPr>
        <w:t xml:space="preserve"> tohoto dokumentu)</w:t>
      </w:r>
      <w:r>
        <w:rPr>
          <w:rFonts w:ascii="Arial" w:hAnsi="Arial" w:cs="Arial"/>
        </w:rPr>
        <w:t xml:space="preserve"> či spolufinancování je povinností příjemce tyto údaje vyplnit. </w:t>
      </w:r>
    </w:p>
    <w:p w:rsidR="006A30C2" w:rsidP="0095261E" w:rsidRDefault="006A30C2">
      <w:pPr>
        <w:spacing w:before="120" w:after="120"/>
        <w:rPr>
          <w:rFonts w:ascii="Arial" w:hAnsi="Arial" w:cs="Arial"/>
        </w:rPr>
      </w:pPr>
    </w:p>
    <w:p w:rsidRPr="00FC010F" w:rsidR="00841290" w:rsidP="009135F9" w:rsidRDefault="00383FE8">
      <w:pPr>
        <w:spacing w:before="120" w:after="120"/>
        <w:rPr>
          <w:rFonts w:cs="Arial"/>
        </w:rPr>
      </w:pPr>
      <w:r w:rsidRPr="009135F9">
        <w:rPr>
          <w:rFonts w:ascii="Arial" w:hAnsi="Arial" w:cs="Arial"/>
          <w:b/>
          <w:u w:val="single"/>
        </w:rPr>
        <w:t xml:space="preserve">V době </w:t>
      </w:r>
      <w:r w:rsidRPr="00B41CAD" w:rsidR="00B41CAD">
        <w:rPr>
          <w:rFonts w:ascii="Arial" w:hAnsi="Arial" w:cs="Arial"/>
          <w:b/>
          <w:u w:val="single"/>
        </w:rPr>
        <w:t>realizace projektu</w:t>
      </w:r>
      <w:r w:rsidRPr="00C36DAD" w:rsidR="00B41CAD">
        <w:rPr>
          <w:rFonts w:ascii="Arial" w:hAnsi="Arial" w:cs="Arial"/>
          <w:b/>
        </w:rPr>
        <w:t xml:space="preserve"> </w:t>
      </w:r>
      <w:r w:rsidRPr="00C36DAD" w:rsidR="00B41CAD">
        <w:rPr>
          <w:rFonts w:ascii="Arial" w:hAnsi="Arial" w:cs="Arial"/>
        </w:rPr>
        <w:t>je</w:t>
      </w:r>
      <w:r w:rsidRPr="00C36DAD" w:rsidR="00B41CAD">
        <w:rPr>
          <w:rFonts w:ascii="Arial" w:hAnsi="Arial" w:cs="Arial"/>
          <w:b/>
        </w:rPr>
        <w:t xml:space="preserve"> </w:t>
      </w:r>
      <w:r w:rsidRPr="00C36DAD" w:rsidR="00841290">
        <w:rPr>
          <w:rFonts w:ascii="Arial" w:hAnsi="Arial" w:cs="Arial"/>
        </w:rPr>
        <w:t>p</w:t>
      </w:r>
      <w:r w:rsidRPr="009135F9" w:rsidR="00841290">
        <w:rPr>
          <w:rFonts w:ascii="Arial" w:hAnsi="Arial" w:cs="Arial"/>
        </w:rPr>
        <w:t xml:space="preserve">říjemce </w:t>
      </w:r>
      <w:r w:rsidR="00B41CAD">
        <w:rPr>
          <w:rFonts w:ascii="Arial" w:hAnsi="Arial" w:cs="Arial"/>
        </w:rPr>
        <w:t>povinen předložit</w:t>
      </w:r>
      <w:r w:rsidRPr="009135F9" w:rsidR="00841290">
        <w:rPr>
          <w:rFonts w:ascii="Arial" w:hAnsi="Arial" w:cs="Arial"/>
        </w:rPr>
        <w:t xml:space="preserve">: </w:t>
      </w:r>
    </w:p>
    <w:p w:rsidRPr="007C02AF" w:rsidR="00B41CAD" w:rsidP="007C02AF" w:rsidRDefault="00B41CAD">
      <w:pPr>
        <w:pStyle w:val="Odstavecseseznamem"/>
        <w:numPr>
          <w:ilvl w:val="0"/>
          <w:numId w:val="35"/>
        </w:numPr>
        <w:spacing w:before="120" w:after="120"/>
        <w:rPr>
          <w:rFonts w:cs="Arial"/>
          <w:b/>
        </w:rPr>
      </w:pPr>
      <w:r w:rsidRPr="007C02AF">
        <w:rPr>
          <w:rFonts w:ascii="Arial" w:hAnsi="Arial" w:cs="Arial"/>
          <w:b/>
        </w:rPr>
        <w:t>Přehled čerpání vyrovnávací platby na sociální službu (skutečnost)</w:t>
      </w:r>
      <w:r w:rsidRPr="007C02AF" w:rsidR="00137A6B">
        <w:rPr>
          <w:rStyle w:val="Znakapoznpodarou"/>
          <w:rFonts w:ascii="Arial" w:hAnsi="Arial" w:cs="Arial"/>
          <w:b/>
        </w:rPr>
        <w:footnoteReference w:id="4"/>
      </w:r>
    </w:p>
    <w:p w:rsidRPr="00FC010F" w:rsidR="00B41CAD" w:rsidP="009135F9" w:rsidRDefault="00B41CAD">
      <w:pPr>
        <w:spacing w:before="120" w:after="120"/>
        <w:ind w:left="708"/>
        <w:rPr>
          <w:rFonts w:cs="Arial"/>
        </w:rPr>
      </w:pPr>
      <w:r w:rsidRPr="009135F9">
        <w:rPr>
          <w:rFonts w:ascii="Arial" w:hAnsi="Arial" w:cs="Arial"/>
        </w:rPr>
        <w:t xml:space="preserve">Přehled bude zpracován vždy samostatně ke každé jednotlivé sociální službě (identifikátoru služby) podpořené v projektu. </w:t>
      </w:r>
    </w:p>
    <w:p w:rsidRPr="00FC010F" w:rsidR="00B41CAD" w:rsidP="009135F9" w:rsidRDefault="00B41CAD">
      <w:pPr>
        <w:spacing w:before="120" w:after="120"/>
        <w:ind w:left="708"/>
        <w:rPr>
          <w:rFonts w:cs="Arial"/>
        </w:rPr>
      </w:pPr>
      <w:r w:rsidRPr="009135F9">
        <w:rPr>
          <w:rFonts w:ascii="Arial" w:hAnsi="Arial" w:cs="Arial"/>
        </w:rPr>
        <w:t xml:space="preserve">Přehled bude zpracován za příslušný kalendářní rok, ve kterém byla sociální služba formou vyrovnávací platby v rámci projektu podpořena. </w:t>
      </w:r>
    </w:p>
    <w:p w:rsidR="00B41CAD" w:rsidP="009135F9" w:rsidRDefault="00B41CAD">
      <w:pPr>
        <w:spacing w:before="120" w:after="120"/>
        <w:ind w:left="708"/>
        <w:rPr>
          <w:rFonts w:cs="Arial"/>
        </w:rPr>
      </w:pPr>
      <w:r w:rsidRPr="009135F9">
        <w:rPr>
          <w:rFonts w:ascii="Arial" w:hAnsi="Arial" w:cs="Arial"/>
        </w:rPr>
        <w:t xml:space="preserve">Přehled bude zpracován dle vzoru </w:t>
      </w:r>
      <w:r w:rsidRPr="00A850EF">
        <w:rPr>
          <w:rFonts w:ascii="Arial" w:hAnsi="Arial" w:cs="Arial"/>
        </w:rPr>
        <w:t xml:space="preserve">uvedeného </w:t>
      </w:r>
      <w:r w:rsidRPr="00DD49CA">
        <w:rPr>
          <w:rFonts w:ascii="Arial" w:hAnsi="Arial" w:cs="Arial"/>
        </w:rPr>
        <w:t xml:space="preserve">v příloze </w:t>
      </w:r>
      <w:r w:rsidRPr="00A850EF" w:rsidR="00A850EF">
        <w:rPr>
          <w:rFonts w:ascii="Arial" w:hAnsi="Arial" w:cs="Arial"/>
        </w:rPr>
        <w:t xml:space="preserve">č. 1g  </w:t>
      </w:r>
      <w:r w:rsidR="00C36DAD">
        <w:rPr>
          <w:rFonts w:ascii="Arial" w:hAnsi="Arial" w:cs="Arial"/>
        </w:rPr>
        <w:t>výzvy</w:t>
      </w:r>
      <w:r w:rsidRPr="009135F9">
        <w:rPr>
          <w:rFonts w:ascii="Arial" w:hAnsi="Arial" w:cs="Arial"/>
        </w:rPr>
        <w:t xml:space="preserve">, příloha je označena jako </w:t>
      </w:r>
      <w:r w:rsidR="00722A64">
        <w:rPr>
          <w:rFonts w:ascii="Arial" w:hAnsi="Arial" w:cs="Arial"/>
        </w:rPr>
        <w:t>Přehled čerpání vyrovnávací platby</w:t>
      </w:r>
      <w:r w:rsidRPr="009135F9">
        <w:rPr>
          <w:rFonts w:ascii="Arial" w:hAnsi="Arial" w:cs="Arial"/>
        </w:rPr>
        <w:t>, a předložen</w:t>
      </w:r>
      <w:r w:rsidR="00137A6B">
        <w:rPr>
          <w:rFonts w:ascii="Arial" w:hAnsi="Arial" w:cs="Arial"/>
        </w:rPr>
        <w:t>a</w:t>
      </w:r>
      <w:r w:rsidRPr="009135F9">
        <w:rPr>
          <w:rFonts w:ascii="Arial" w:hAnsi="Arial" w:cs="Arial"/>
        </w:rPr>
        <w:t xml:space="preserve"> do 31. 3. následujícího roku.</w:t>
      </w:r>
    </w:p>
    <w:p w:rsidR="005355B2" w:rsidP="009135F9" w:rsidRDefault="005355B2">
      <w:pPr>
        <w:spacing w:before="120" w:after="120"/>
        <w:ind w:left="708"/>
        <w:rPr>
          <w:rFonts w:cs="Arial"/>
        </w:rPr>
      </w:pPr>
    </w:p>
    <w:p w:rsidRPr="007C02AF" w:rsidR="003133FA" w:rsidP="007C02AF" w:rsidRDefault="003133FA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b/>
        </w:rPr>
      </w:pPr>
      <w:r w:rsidRPr="007C02AF">
        <w:rPr>
          <w:rFonts w:ascii="Arial" w:hAnsi="Arial" w:cs="Arial"/>
          <w:b/>
        </w:rPr>
        <w:t xml:space="preserve">Změnová či návazná Pověření sociální služby vydaná Objednatelem </w:t>
      </w:r>
    </w:p>
    <w:p w:rsidRPr="007C02AF" w:rsidR="00137A6B" w:rsidP="003133FA" w:rsidRDefault="005355B2">
      <w:pPr>
        <w:spacing w:before="120" w:after="120"/>
        <w:ind w:left="708"/>
        <w:rPr>
          <w:rFonts w:ascii="Arial" w:hAnsi="Arial" w:cs="Arial"/>
        </w:rPr>
      </w:pPr>
      <w:r w:rsidRPr="00722A64">
        <w:rPr>
          <w:rFonts w:ascii="Arial" w:hAnsi="Arial" w:cs="Arial"/>
        </w:rPr>
        <w:t>Pokud</w:t>
      </w:r>
      <w:r w:rsidRPr="009135F9">
        <w:rPr>
          <w:rFonts w:ascii="Arial" w:hAnsi="Arial" w:cs="Arial"/>
        </w:rPr>
        <w:t xml:space="preserve"> dojde ke změně či ukončení platnosti Pověření předloženého před vydáním Rozhodnutí o poskytnutí dotace, je příjemce povinen předložit </w:t>
      </w:r>
      <w:r w:rsidRPr="007C02AF">
        <w:rPr>
          <w:rFonts w:ascii="Arial" w:hAnsi="Arial" w:cs="Arial"/>
        </w:rPr>
        <w:t xml:space="preserve">aktuálně platné Pověření </w:t>
      </w:r>
      <w:r w:rsidRPr="009135F9">
        <w:rPr>
          <w:rFonts w:ascii="Arial" w:hAnsi="Arial" w:cs="Arial"/>
        </w:rPr>
        <w:t xml:space="preserve">a informovat o veškerých změnách platného Pověření. </w:t>
      </w:r>
    </w:p>
    <w:p w:rsidRPr="00FC010F" w:rsidR="00137A6B" w:rsidP="009135F9" w:rsidRDefault="00137A6B">
      <w:pPr>
        <w:spacing w:before="120" w:after="120"/>
        <w:ind w:left="708"/>
        <w:rPr>
          <w:rFonts w:cs="Arial"/>
        </w:rPr>
      </w:pPr>
    </w:p>
    <w:p w:rsidR="006A30C2" w:rsidP="007C02AF" w:rsidRDefault="006A30C2">
      <w:pPr>
        <w:pStyle w:val="Nadpis3"/>
        <w:spacing w:after="240"/>
        <w:ind w:left="357" w:hanging="357"/>
      </w:pPr>
      <w:r>
        <w:t>Přenos veřejné podpory</w:t>
      </w:r>
      <w:r w:rsidR="008C4038">
        <w:t xml:space="preserve">/podpory de </w:t>
      </w:r>
      <w:proofErr w:type="spellStart"/>
      <w:r w:rsidR="008C4038">
        <w:t>minimis</w:t>
      </w:r>
      <w:proofErr w:type="spellEnd"/>
      <w:r w:rsidR="008C4038">
        <w:t xml:space="preserve"> partnerovi či</w:t>
      </w:r>
      <w:r>
        <w:t xml:space="preserve"> </w:t>
      </w:r>
      <w:r w:rsidR="007A4067">
        <w:t>další</w:t>
      </w:r>
      <w:r w:rsidR="008C4038">
        <w:t>mu</w:t>
      </w:r>
      <w:r w:rsidR="007A4067">
        <w:t xml:space="preserve"> subjekt</w:t>
      </w:r>
      <w:r w:rsidR="008C4038">
        <w:t>u</w:t>
      </w:r>
    </w:p>
    <w:p w:rsidR="000103B9" w:rsidP="006A30C2" w:rsidRDefault="00AA1AF6">
      <w:pPr>
        <w:spacing w:before="120" w:after="120"/>
        <w:rPr>
          <w:rFonts w:ascii="Arial" w:hAnsi="Arial" w:cs="Arial"/>
        </w:rPr>
      </w:pPr>
      <w:r w:rsidRPr="00AA1AF6">
        <w:rPr>
          <w:rFonts w:ascii="Arial" w:hAnsi="Arial" w:cs="Arial"/>
        </w:rPr>
        <w:t xml:space="preserve">Veškeré aktivity uvedené </w:t>
      </w:r>
      <w:r>
        <w:rPr>
          <w:rFonts w:ascii="Arial" w:hAnsi="Arial" w:cs="Arial"/>
        </w:rPr>
        <w:t xml:space="preserve">v kapitole 2 </w:t>
      </w:r>
      <w:r w:rsidRPr="00AA1AF6">
        <w:rPr>
          <w:rFonts w:ascii="Arial" w:hAnsi="Arial" w:cs="Arial"/>
        </w:rPr>
        <w:t xml:space="preserve">pod písmenem B), zaměřené na rozvoj a zkvalitňování sociálních služeb může žadatel realizovat </w:t>
      </w:r>
      <w:r>
        <w:rPr>
          <w:rFonts w:ascii="Arial" w:hAnsi="Arial" w:cs="Arial"/>
        </w:rPr>
        <w:t>také</w:t>
      </w:r>
      <w:r w:rsidRPr="00AA1AF6">
        <w:rPr>
          <w:rFonts w:ascii="Arial" w:hAnsi="Arial" w:cs="Arial"/>
        </w:rPr>
        <w:t xml:space="preserve"> ve spolupráci s partnery projektu a dalšími zapojenými subjekty, na které podporu či její část přenáší</w:t>
      </w:r>
      <w:r>
        <w:rPr>
          <w:rFonts w:ascii="Arial" w:hAnsi="Arial" w:cs="Arial"/>
        </w:rPr>
        <w:t>.</w:t>
      </w:r>
    </w:p>
    <w:p w:rsidR="00DB0DD8" w:rsidP="006A30C2" w:rsidRDefault="00AA1AF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Přenosem podpory se pro potřeby této výzvy rozumí realizace části projektových aktivit mimo žadatele</w:t>
      </w:r>
      <w:r w:rsidR="00FC0B8B">
        <w:rPr>
          <w:rFonts w:ascii="Arial" w:hAnsi="Arial" w:cs="Arial"/>
        </w:rPr>
        <w:t xml:space="preserve"> (příjemce)</w:t>
      </w:r>
      <w:r>
        <w:rPr>
          <w:rFonts w:ascii="Arial" w:hAnsi="Arial" w:cs="Arial"/>
        </w:rPr>
        <w:t xml:space="preserve"> projektu, tedy u partnerů projektu (</w:t>
      </w:r>
      <w:r w:rsidR="008C4038">
        <w:rPr>
          <w:rFonts w:ascii="Arial" w:hAnsi="Arial" w:cs="Arial"/>
        </w:rPr>
        <w:t xml:space="preserve">partneři </w:t>
      </w:r>
      <w:r w:rsidR="00E05EC1">
        <w:rPr>
          <w:rFonts w:ascii="Arial" w:hAnsi="Arial" w:cs="Arial"/>
        </w:rPr>
        <w:t>s finančním příspěvkem</w:t>
      </w:r>
      <w:r>
        <w:rPr>
          <w:rFonts w:ascii="Arial" w:hAnsi="Arial" w:cs="Arial"/>
        </w:rPr>
        <w:t>)</w:t>
      </w:r>
      <w:r w:rsidR="00FC0B8B">
        <w:rPr>
          <w:rFonts w:ascii="Arial" w:hAnsi="Arial" w:cs="Arial"/>
        </w:rPr>
        <w:t xml:space="preserve"> a dalších</w:t>
      </w:r>
      <w:r>
        <w:rPr>
          <w:rFonts w:ascii="Arial" w:hAnsi="Arial" w:cs="Arial"/>
        </w:rPr>
        <w:t xml:space="preserve"> subjektů </w:t>
      </w:r>
      <w:r w:rsidR="003D4052">
        <w:rPr>
          <w:rFonts w:ascii="Arial" w:hAnsi="Arial" w:cs="Arial"/>
        </w:rPr>
        <w:t>(</w:t>
      </w:r>
      <w:r w:rsidR="006E0F90">
        <w:rPr>
          <w:rFonts w:ascii="Arial" w:hAnsi="Arial" w:cs="Arial"/>
        </w:rPr>
        <w:t xml:space="preserve">partner bez finančního příspěvku </w:t>
      </w:r>
      <w:r w:rsidR="008C4038">
        <w:rPr>
          <w:rFonts w:ascii="Arial" w:hAnsi="Arial" w:cs="Arial"/>
        </w:rPr>
        <w:t xml:space="preserve">či </w:t>
      </w:r>
      <w:r w:rsidR="006E0F90">
        <w:rPr>
          <w:rFonts w:ascii="Arial" w:hAnsi="Arial" w:cs="Arial"/>
        </w:rPr>
        <w:t xml:space="preserve">jiný </w:t>
      </w:r>
      <w:r w:rsidR="008C4038">
        <w:rPr>
          <w:rFonts w:ascii="Arial" w:hAnsi="Arial" w:cs="Arial"/>
        </w:rPr>
        <w:t xml:space="preserve">konečný příjemce </w:t>
      </w:r>
      <w:r w:rsidR="003D4052">
        <w:rPr>
          <w:rFonts w:ascii="Arial" w:hAnsi="Arial" w:cs="Arial"/>
        </w:rPr>
        <w:t>podpory)</w:t>
      </w:r>
      <w:r>
        <w:rPr>
          <w:rFonts w:ascii="Arial" w:hAnsi="Arial" w:cs="Arial"/>
        </w:rPr>
        <w:t xml:space="preserve">. </w:t>
      </w:r>
    </w:p>
    <w:p w:rsidR="00AA1AF6" w:rsidP="006A30C2" w:rsidRDefault="00AA1AF6">
      <w:pPr>
        <w:spacing w:before="120" w:after="12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Podrobnější podmínky přenosu</w:t>
      </w:r>
      <w:r w:rsidR="008C4038">
        <w:rPr>
          <w:rFonts w:ascii="Arial" w:hAnsi="Arial" w:cs="Arial"/>
        </w:rPr>
        <w:t xml:space="preserve"> - poskytnutí</w:t>
      </w:r>
      <w:r>
        <w:rPr>
          <w:rFonts w:ascii="Arial" w:hAnsi="Arial" w:cs="Arial"/>
        </w:rPr>
        <w:t xml:space="preserve"> </w:t>
      </w:r>
      <w:r w:rsidR="008C4038">
        <w:rPr>
          <w:rFonts w:ascii="Arial" w:hAnsi="Arial" w:cs="Arial"/>
        </w:rPr>
        <w:t xml:space="preserve">veřejné </w:t>
      </w:r>
      <w:r>
        <w:rPr>
          <w:rFonts w:ascii="Arial" w:hAnsi="Arial" w:cs="Arial"/>
        </w:rPr>
        <w:t>podpory</w:t>
      </w:r>
      <w:r w:rsidR="008C4038">
        <w:rPr>
          <w:rFonts w:ascii="Arial" w:hAnsi="Arial" w:cs="Arial"/>
        </w:rPr>
        <w:t xml:space="preserve"> či podpory de </w:t>
      </w:r>
      <w:proofErr w:type="spellStart"/>
      <w:r w:rsidR="008C4038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stanoví Obecná pravidla pro žadatele a příjemce. V případě </w:t>
      </w:r>
      <w:r w:rsidRPr="00AB7235">
        <w:rPr>
          <w:rFonts w:ascii="Arial" w:hAnsi="Arial" w:cs="Arial"/>
        </w:rPr>
        <w:t>nejasnost</w:t>
      </w:r>
      <w:r>
        <w:rPr>
          <w:rFonts w:ascii="Arial" w:hAnsi="Arial" w:cs="Arial"/>
        </w:rPr>
        <w:t>i u aktivit konkrétního projektu</w:t>
      </w:r>
      <w:r w:rsidRPr="00AB72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které budou zakládat veřejnou podporu, </w:t>
      </w:r>
      <w:r w:rsidRPr="00AB7235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 xml:space="preserve">aplikace režimu veřejné podpory (včetně podpory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) </w:t>
      </w:r>
      <w:r w:rsidRPr="00AB7235">
        <w:rPr>
          <w:rFonts w:ascii="Arial" w:hAnsi="Arial" w:cs="Arial"/>
        </w:rPr>
        <w:t>posuzován</w:t>
      </w:r>
      <w:r>
        <w:rPr>
          <w:rFonts w:ascii="Arial" w:hAnsi="Arial" w:cs="Arial"/>
        </w:rPr>
        <w:t>a</w:t>
      </w:r>
      <w:r w:rsidRPr="00AB72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E19C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upřesněna s příjemcem </w:t>
      </w:r>
      <w:r w:rsidRPr="00AB7235">
        <w:rPr>
          <w:rFonts w:ascii="Arial" w:hAnsi="Arial" w:cs="Arial"/>
        </w:rPr>
        <w:t xml:space="preserve">před vydáním Rozhodnutí </w:t>
      </w:r>
      <w:r>
        <w:rPr>
          <w:rFonts w:ascii="Arial" w:hAnsi="Arial" w:cs="Arial"/>
        </w:rPr>
        <w:t>o</w:t>
      </w:r>
      <w:r w:rsidR="001A3DA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poskytnutí dotace </w:t>
      </w:r>
      <w:r w:rsidRPr="00AB7235">
        <w:rPr>
          <w:rFonts w:ascii="Arial" w:hAnsi="Arial" w:cs="Arial"/>
        </w:rPr>
        <w:t>u každého jednotlivého projektu</w:t>
      </w:r>
      <w:r>
        <w:rPr>
          <w:rFonts w:ascii="Arial" w:hAnsi="Arial" w:cs="Arial"/>
        </w:rPr>
        <w:t>.</w:t>
      </w:r>
    </w:p>
    <w:p w:rsidR="006A30C2" w:rsidP="006A30C2" w:rsidRDefault="00084B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V rámci výzvy mohou nastat nejrůznější situace. Pro příklad uvádíme typové aktivity</w:t>
      </w:r>
      <w:r w:rsidR="006A30C2">
        <w:rPr>
          <w:rFonts w:ascii="Arial" w:hAnsi="Arial" w:cs="Arial"/>
          <w:b/>
        </w:rPr>
        <w:t xml:space="preserve"> v těchto projektech realizované</w:t>
      </w:r>
      <w:r w:rsidRPr="0070519C" w:rsidR="006A30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které </w:t>
      </w:r>
      <w:r w:rsidRPr="00F9397F" w:rsidR="006A30C2">
        <w:rPr>
          <w:rFonts w:ascii="Arial" w:hAnsi="Arial" w:cs="Arial"/>
        </w:rPr>
        <w:t xml:space="preserve">budou v rámci této výzvy podpořeny v režimu veřejné podpory </w:t>
      </w:r>
      <w:r w:rsidR="006A30C2">
        <w:rPr>
          <w:rFonts w:ascii="Arial" w:hAnsi="Arial" w:cs="Arial"/>
        </w:rPr>
        <w:t>následovně:</w:t>
      </w:r>
    </w:p>
    <w:p w:rsidR="005C4129" w:rsidP="006A30C2" w:rsidRDefault="005C4129">
      <w:pPr>
        <w:spacing w:before="120" w:after="120"/>
        <w:rPr>
          <w:rFonts w:ascii="Arial" w:hAnsi="Arial" w:cs="Arial"/>
        </w:rPr>
      </w:pPr>
    </w:p>
    <w:p w:rsidR="006A30C2" w:rsidP="006A30C2" w:rsidRDefault="006A30C2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BD14B8">
        <w:rPr>
          <w:rFonts w:ascii="Arial" w:hAnsi="Arial" w:cs="Arial"/>
          <w:b/>
        </w:rPr>
        <w:lastRenderedPageBreak/>
        <w:t>Pokud bude přiznaná podpora kompletně přenesena na další subjekty</w:t>
      </w:r>
      <w:r w:rsidR="00FC010F">
        <w:rPr>
          <w:rFonts w:ascii="Arial" w:hAnsi="Arial" w:cs="Arial"/>
          <w:b/>
        </w:rPr>
        <w:t xml:space="preserve"> (s </w:t>
      </w:r>
      <w:r>
        <w:rPr>
          <w:rFonts w:ascii="Arial" w:hAnsi="Arial" w:cs="Arial"/>
          <w:b/>
        </w:rPr>
        <w:t>výjimkou nepřímých nákladů projektu)</w:t>
      </w:r>
      <w:r w:rsidRPr="00252A23">
        <w:rPr>
          <w:rFonts w:ascii="Arial" w:hAnsi="Arial" w:cs="Arial"/>
        </w:rPr>
        <w:t xml:space="preserve">, tedy </w:t>
      </w:r>
      <w:r w:rsidR="00084BE4">
        <w:rPr>
          <w:rFonts w:ascii="Arial" w:hAnsi="Arial" w:cs="Arial"/>
        </w:rPr>
        <w:t xml:space="preserve">například </w:t>
      </w:r>
      <w:r w:rsidR="0039214A">
        <w:rPr>
          <w:rFonts w:ascii="Arial" w:hAnsi="Arial" w:cs="Arial"/>
        </w:rPr>
        <w:t xml:space="preserve">na </w:t>
      </w:r>
      <w:r w:rsidRPr="00252A23">
        <w:rPr>
          <w:rFonts w:ascii="Arial" w:hAnsi="Arial" w:cs="Arial"/>
        </w:rPr>
        <w:t>poskytovatele sociálních služeb, bude tato podpora realizována v režimu veřejné podpory až u</w:t>
      </w:r>
      <w:r w:rsidR="001A3DAD">
        <w:rPr>
          <w:rFonts w:ascii="Arial" w:hAnsi="Arial" w:cs="Arial"/>
        </w:rPr>
        <w:t> </w:t>
      </w:r>
      <w:r w:rsidRPr="00252A23">
        <w:rPr>
          <w:rFonts w:ascii="Arial" w:hAnsi="Arial" w:cs="Arial"/>
        </w:rPr>
        <w:t xml:space="preserve">konečného příjemce </w:t>
      </w:r>
      <w:r>
        <w:rPr>
          <w:rFonts w:ascii="Arial" w:hAnsi="Arial" w:cs="Arial"/>
        </w:rPr>
        <w:t>projektových</w:t>
      </w:r>
      <w:r w:rsidRPr="00252A23">
        <w:rPr>
          <w:rFonts w:ascii="Arial" w:hAnsi="Arial" w:cs="Arial"/>
        </w:rPr>
        <w:t xml:space="preserve"> aktivit, tj. u jednotlivých poskytovatelů sociálních služeb. </w:t>
      </w:r>
      <w:r>
        <w:rPr>
          <w:rFonts w:ascii="Arial" w:hAnsi="Arial" w:cs="Arial"/>
        </w:rPr>
        <w:t xml:space="preserve">Na žadatele se v tomto případě pohlíží jako na tzv. neziskového zprostředkovatele. </w:t>
      </w:r>
      <w:r w:rsidRPr="00252A23">
        <w:rPr>
          <w:rFonts w:ascii="Arial" w:hAnsi="Arial" w:cs="Arial"/>
        </w:rPr>
        <w:t xml:space="preserve">Tato podpora bude </w:t>
      </w:r>
      <w:r w:rsidR="003D4052">
        <w:rPr>
          <w:rFonts w:ascii="Arial" w:hAnsi="Arial" w:cs="Arial"/>
        </w:rPr>
        <w:t xml:space="preserve">u konečného příjemce </w:t>
      </w:r>
      <w:r w:rsidRPr="00252A23">
        <w:rPr>
          <w:rFonts w:ascii="Arial" w:hAnsi="Arial" w:cs="Arial"/>
        </w:rPr>
        <w:t xml:space="preserve">realizována v souladu s Rozhodnutím č. 2012/21/EU a bude se postupovat obdobně, jako u aktivity zaměřené na </w:t>
      </w:r>
      <w:r>
        <w:rPr>
          <w:rFonts w:ascii="Arial" w:hAnsi="Arial" w:cs="Arial"/>
        </w:rPr>
        <w:t>rozvoj a zkvalitňování služeb konkrétního</w:t>
      </w:r>
      <w:r w:rsidRPr="00252A23">
        <w:rPr>
          <w:rFonts w:ascii="Arial" w:hAnsi="Arial" w:cs="Arial"/>
        </w:rPr>
        <w:t xml:space="preserve"> poskytovatele sociálních služeb, uvedeného výše. Potřebná vyjádření jednotlivých </w:t>
      </w:r>
      <w:r w:rsidR="00FC010F">
        <w:rPr>
          <w:rFonts w:ascii="Arial" w:hAnsi="Arial" w:cs="Arial"/>
        </w:rPr>
        <w:t>O</w:t>
      </w:r>
      <w:r w:rsidRPr="00252A23">
        <w:rPr>
          <w:rFonts w:ascii="Arial" w:hAnsi="Arial" w:cs="Arial"/>
        </w:rPr>
        <w:t>bjednatelů je povinen shromáždit a předložit žadatel</w:t>
      </w:r>
      <w:r w:rsidR="00DB0DD8">
        <w:rPr>
          <w:rFonts w:ascii="Arial" w:hAnsi="Arial" w:cs="Arial"/>
        </w:rPr>
        <w:t>/příjemce</w:t>
      </w:r>
      <w:r w:rsidRPr="00252A23">
        <w:rPr>
          <w:rFonts w:ascii="Arial" w:hAnsi="Arial" w:cs="Arial"/>
        </w:rPr>
        <w:t>, tedy organizace, která přenáší podporu na jednotlivé poskytovatele sociálních služeb</w:t>
      </w:r>
      <w:r w:rsidR="001E01A7">
        <w:rPr>
          <w:rStyle w:val="Znakapoznpodarou"/>
          <w:rFonts w:ascii="Arial" w:hAnsi="Arial" w:cs="Arial"/>
        </w:rPr>
        <w:footnoteReference w:id="5"/>
      </w:r>
      <w:r w:rsidRPr="00252A23">
        <w:rPr>
          <w:rFonts w:ascii="Arial" w:hAnsi="Arial" w:cs="Arial"/>
        </w:rPr>
        <w:t>.</w:t>
      </w:r>
    </w:p>
    <w:p w:rsidR="00FC010F" w:rsidP="009135F9" w:rsidRDefault="00FC010F">
      <w:pPr>
        <w:pStyle w:val="Odstavecseseznamem"/>
        <w:spacing w:before="120" w:after="120"/>
        <w:rPr>
          <w:rFonts w:ascii="Arial" w:hAnsi="Arial" w:cs="Arial"/>
        </w:rPr>
      </w:pPr>
    </w:p>
    <w:p w:rsidR="00FC010F" w:rsidP="009135F9" w:rsidRDefault="00FC010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/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Pr="009135F9">
        <w:rPr>
          <w:rFonts w:ascii="Arial" w:hAnsi="Arial" w:cs="Arial"/>
          <w:i/>
        </w:rPr>
        <w:t>říklad: Poskytovatel sociálních služeb A</w:t>
      </w:r>
      <w:r w:rsidR="00084BE4">
        <w:rPr>
          <w:rFonts w:ascii="Arial" w:hAnsi="Arial" w:cs="Arial"/>
          <w:i/>
        </w:rPr>
        <w:t xml:space="preserve"> (zvoleno pro příklad, postup bude stejný i</w:t>
      </w:r>
      <w:r w:rsidR="001A3DAD">
        <w:rPr>
          <w:rFonts w:ascii="Arial" w:hAnsi="Arial" w:cs="Arial"/>
          <w:i/>
        </w:rPr>
        <w:t> </w:t>
      </w:r>
      <w:r w:rsidR="00084BE4">
        <w:rPr>
          <w:rFonts w:ascii="Arial" w:hAnsi="Arial" w:cs="Arial"/>
          <w:i/>
        </w:rPr>
        <w:t>v případě, že žadatel není registrovaným poskytovatelem sociální služby)</w:t>
      </w:r>
      <w:r>
        <w:rPr>
          <w:rFonts w:ascii="Arial" w:hAnsi="Arial" w:cs="Arial"/>
          <w:i/>
        </w:rPr>
        <w:t>, který v postavení žadatel/příjemce projektu,</w:t>
      </w:r>
      <w:r w:rsidRPr="009135F9">
        <w:rPr>
          <w:rFonts w:ascii="Arial" w:hAnsi="Arial" w:cs="Arial"/>
          <w:i/>
        </w:rPr>
        <w:t xml:space="preserve"> se rozhodl </w:t>
      </w:r>
      <w:r>
        <w:rPr>
          <w:rFonts w:ascii="Arial" w:hAnsi="Arial" w:cs="Arial"/>
          <w:i/>
        </w:rPr>
        <w:t xml:space="preserve">v rámci projektu </w:t>
      </w:r>
      <w:r w:rsidRPr="009135F9">
        <w:rPr>
          <w:rFonts w:ascii="Arial" w:hAnsi="Arial" w:cs="Arial"/>
          <w:i/>
        </w:rPr>
        <w:t xml:space="preserve">poskytnout vzdělávání </w:t>
      </w:r>
      <w:r>
        <w:rPr>
          <w:rFonts w:ascii="Arial" w:hAnsi="Arial" w:cs="Arial"/>
          <w:i/>
        </w:rPr>
        <w:t xml:space="preserve">dalším </w:t>
      </w:r>
      <w:r w:rsidRPr="009135F9">
        <w:rPr>
          <w:rFonts w:ascii="Arial" w:hAnsi="Arial" w:cs="Arial"/>
          <w:i/>
        </w:rPr>
        <w:t>poskytovatelům sociálních služeb B a C. Poskytovatel A nebude</w:t>
      </w:r>
      <w:r>
        <w:rPr>
          <w:rFonts w:ascii="Arial" w:hAnsi="Arial" w:cs="Arial"/>
          <w:i/>
        </w:rPr>
        <w:t xml:space="preserve"> v rámci projektu</w:t>
      </w:r>
      <w:r w:rsidRPr="009135F9">
        <w:rPr>
          <w:rFonts w:ascii="Arial" w:hAnsi="Arial" w:cs="Arial"/>
          <w:i/>
        </w:rPr>
        <w:t xml:space="preserve"> vzdělávat své zaměstnance, ale pouze zaměstnance poskytovatelů B a C. Veškeré věcné aktivity projektu (v tomto příkladu vzdělávání zaměstnanců sociální služeb) přenese na poskytovatele B a C, ze vzdělávání nebude mít žádný užitek </w:t>
      </w:r>
      <w:r w:rsidR="009A2958">
        <w:rPr>
          <w:rFonts w:ascii="Arial" w:hAnsi="Arial" w:cs="Arial"/>
          <w:i/>
        </w:rPr>
        <w:t xml:space="preserve">(tj. nezíská žádnou výhodu) </w:t>
      </w:r>
      <w:r w:rsidRPr="009135F9">
        <w:rPr>
          <w:rFonts w:ascii="Arial" w:hAnsi="Arial" w:cs="Arial"/>
          <w:i/>
        </w:rPr>
        <w:t>pro svou organizaci. Pro zajištění hladké realizace projektu bude nakládat s nepřímými náklady projektu. Náklady přímé budou souviset s realizací aktivit u poskytovatelů B a C a budou obsahem Rozvojového pověření</w:t>
      </w:r>
      <w:r w:rsidR="00D94621">
        <w:rPr>
          <w:rFonts w:ascii="Arial" w:hAnsi="Arial" w:cs="Arial"/>
          <w:i/>
        </w:rPr>
        <w:t>.</w:t>
      </w:r>
      <w:r w:rsidRPr="009135F9">
        <w:rPr>
          <w:rFonts w:ascii="Arial" w:hAnsi="Arial" w:cs="Arial"/>
          <w:i/>
        </w:rPr>
        <w:t xml:space="preserve"> </w:t>
      </w:r>
    </w:p>
    <w:p w:rsidRPr="009135F9" w:rsidR="00FC010F" w:rsidP="009135F9" w:rsidRDefault="00FC010F">
      <w:pPr>
        <w:spacing w:before="120" w:after="120"/>
        <w:rPr>
          <w:rFonts w:ascii="Arial" w:hAnsi="Arial" w:cs="Arial"/>
        </w:rPr>
      </w:pPr>
    </w:p>
    <w:p w:rsidRPr="0093289A" w:rsidR="006A30C2" w:rsidP="0093289A" w:rsidRDefault="006A30C2">
      <w:pPr>
        <w:rPr>
          <w:rFonts w:ascii="Arial" w:hAnsi="Arial" w:cs="Arial"/>
          <w:highlight w:val="lightGray"/>
        </w:rPr>
      </w:pPr>
      <w:r w:rsidRPr="00BD14B8">
        <w:rPr>
          <w:rFonts w:ascii="Arial" w:hAnsi="Arial" w:cs="Arial"/>
          <w:b/>
        </w:rPr>
        <w:t>Pokud nebude přiznaná podpora kompletně přenesena na další subjekty</w:t>
      </w:r>
      <w:r w:rsidR="00184C25">
        <w:rPr>
          <w:rFonts w:ascii="Arial" w:hAnsi="Arial" w:cs="Arial"/>
          <w:b/>
        </w:rPr>
        <w:t>,</w:t>
      </w:r>
      <w:r w:rsidR="00FC01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bude ta část podpory, která zůstává u organizace, která předává projektové aktivity dalším subjektům, poskytnuta </w:t>
      </w:r>
      <w:r w:rsidR="009A2958">
        <w:rPr>
          <w:rFonts w:ascii="Arial" w:hAnsi="Arial" w:cs="Arial"/>
        </w:rPr>
        <w:t>jako podpora malého rozsahu (</w:t>
      </w:r>
      <w:r>
        <w:rPr>
          <w:rFonts w:ascii="Arial" w:hAnsi="Arial" w:cs="Arial"/>
        </w:rPr>
        <w:t xml:space="preserve">v režimu de </w:t>
      </w:r>
      <w:proofErr w:type="spellStart"/>
      <w:r>
        <w:rPr>
          <w:rFonts w:ascii="Arial" w:hAnsi="Arial" w:cs="Arial"/>
        </w:rPr>
        <w:t>minimis</w:t>
      </w:r>
      <w:proofErr w:type="spellEnd"/>
      <w:r w:rsidR="009A295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A850EF">
        <w:rPr>
          <w:rFonts w:ascii="Arial" w:hAnsi="Arial" w:cs="Arial"/>
        </w:rPr>
        <w:t>Příjemce</w:t>
      </w:r>
      <w:r w:rsidRPr="00FC0B8B" w:rsidR="00A850EF">
        <w:rPr>
          <w:rFonts w:ascii="Arial" w:hAnsi="Arial" w:cs="Arial"/>
        </w:rPr>
        <w:t xml:space="preserve"> </w:t>
      </w:r>
      <w:r w:rsidRPr="00FC0B8B">
        <w:rPr>
          <w:rFonts w:ascii="Arial" w:hAnsi="Arial" w:cs="Arial"/>
        </w:rPr>
        <w:t xml:space="preserve">je povinen v rámci </w:t>
      </w:r>
      <w:r w:rsidRPr="0093289A" w:rsidR="00FC0B8B">
        <w:rPr>
          <w:rFonts w:ascii="Arial" w:hAnsi="Arial" w:cs="Arial"/>
        </w:rPr>
        <w:t xml:space="preserve">přílohy „Finanční rámec veřejné podpory“ </w:t>
      </w:r>
      <w:r w:rsidR="00A850EF">
        <w:rPr>
          <w:rFonts w:ascii="Arial" w:hAnsi="Arial" w:cs="Arial"/>
        </w:rPr>
        <w:t>před vydáním Rozhodnutí</w:t>
      </w:r>
      <w:r w:rsidRPr="00FC0B8B">
        <w:rPr>
          <w:rFonts w:ascii="Arial" w:hAnsi="Arial" w:cs="Arial"/>
        </w:rPr>
        <w:t xml:space="preserve"> jasně oddělit náklady, které souvisí s přenosem vzdělávání </w:t>
      </w:r>
      <w:r w:rsidRPr="00FC0B8B" w:rsidR="00084BE4">
        <w:rPr>
          <w:rFonts w:ascii="Arial" w:hAnsi="Arial" w:cs="Arial"/>
        </w:rPr>
        <w:t xml:space="preserve">či dalších rozvojových aktivit </w:t>
      </w:r>
      <w:r w:rsidRPr="0093289A">
        <w:rPr>
          <w:rFonts w:ascii="Arial" w:hAnsi="Arial" w:cs="Arial"/>
        </w:rPr>
        <w:t>na poskytovatele sociálních služeb</w:t>
      </w:r>
      <w:r w:rsidR="007E5E63">
        <w:rPr>
          <w:rFonts w:ascii="Arial" w:hAnsi="Arial" w:cs="Arial"/>
        </w:rPr>
        <w:t>,</w:t>
      </w:r>
      <w:r w:rsidRPr="0093289A">
        <w:rPr>
          <w:rFonts w:ascii="Arial" w:hAnsi="Arial" w:cs="Arial"/>
        </w:rPr>
        <w:t xml:space="preserve"> a náklady, které souvisí s vlastní realizací/administrací těchto aktivit či s realizací projektu a jedná se o náklady žadatele (průzkum trhu, zajištění a objednávka kurzů, administrativní podpora, účetnictví, kancelář apod.). U nákladů přenesených na jednotlivé poskytovatele sociálních služeb se postupuje shodně jako u první varianty realizace tohoto typu opatření.</w:t>
      </w:r>
    </w:p>
    <w:p w:rsidR="00FC010F" w:rsidP="009135F9" w:rsidRDefault="00FC010F">
      <w:pPr>
        <w:pStyle w:val="Odstavecseseznamem"/>
        <w:spacing w:before="120" w:after="120"/>
        <w:rPr>
          <w:rFonts w:ascii="Arial" w:hAnsi="Arial" w:cs="Arial"/>
        </w:rPr>
      </w:pPr>
    </w:p>
    <w:p w:rsidRPr="009135F9" w:rsidR="006A30C2" w:rsidP="009135F9" w:rsidRDefault="00FC010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/>
        <w:ind w:left="708"/>
        <w:rPr>
          <w:rFonts w:ascii="Arial" w:hAnsi="Arial" w:cs="Arial"/>
          <w:i/>
        </w:rPr>
      </w:pPr>
      <w:r w:rsidRPr="009135F9">
        <w:rPr>
          <w:rFonts w:ascii="Arial" w:hAnsi="Arial" w:cs="Arial"/>
          <w:i/>
        </w:rPr>
        <w:t>Příklad: Organizace A se rozhodla poskytnout vzdělávání poskytovatelům sociálních služeb B a C. Organizace A bude zároveň vzdělávat své zaměstnance a</w:t>
      </w:r>
      <w:r w:rsidR="001A3DAD">
        <w:rPr>
          <w:rFonts w:ascii="Arial" w:hAnsi="Arial" w:cs="Arial"/>
          <w:i/>
        </w:rPr>
        <w:t> </w:t>
      </w:r>
      <w:r w:rsidRPr="009135F9">
        <w:rPr>
          <w:rFonts w:ascii="Arial" w:hAnsi="Arial" w:cs="Arial"/>
          <w:i/>
        </w:rPr>
        <w:t>zaměstnance poskytovatelů B a C. Věcné aktivity projektu tak budou rozděleny mezi organizaci A (žadatele) a poskytovatele B a C. Pro zajištění hladké realizace projektu bude žadatel nakládat s nepřímými náklady projektu. Náklady přímé u</w:t>
      </w:r>
      <w:r w:rsidR="001A3DAD">
        <w:rPr>
          <w:rFonts w:ascii="Arial" w:hAnsi="Arial" w:cs="Arial"/>
          <w:i/>
        </w:rPr>
        <w:t> </w:t>
      </w:r>
      <w:r w:rsidRPr="009135F9">
        <w:rPr>
          <w:rFonts w:ascii="Arial" w:hAnsi="Arial" w:cs="Arial"/>
          <w:i/>
        </w:rPr>
        <w:t xml:space="preserve">žadatele budou dle typu aktivit buď předmětem Rozvojového pověření (pokud se bude jednat o poskytovatele sociálních služeb a Objednatel dá souhlas s Rozvojovým pověřením), případně budou realizovány v režimu de </w:t>
      </w:r>
      <w:proofErr w:type="spellStart"/>
      <w:r w:rsidRPr="009135F9">
        <w:rPr>
          <w:rFonts w:ascii="Arial" w:hAnsi="Arial" w:cs="Arial"/>
          <w:i/>
        </w:rPr>
        <w:t>minimis</w:t>
      </w:r>
      <w:proofErr w:type="spellEnd"/>
      <w:r w:rsidRPr="009135F9">
        <w:rPr>
          <w:rFonts w:ascii="Arial" w:hAnsi="Arial" w:cs="Arial"/>
          <w:i/>
        </w:rPr>
        <w:t xml:space="preserve"> (pokud půjde o aktivity nad rámec základních činností sociálních služeb). Přímé náklady související s realizací aktivit u poskytovatelů B a C a budou obsahem Rozvojového pověření poskytovatelů B a C </w:t>
      </w:r>
    </w:p>
    <w:p w:rsidR="008A16AF" w:rsidP="0095261E" w:rsidRDefault="008A16AF">
      <w:pPr>
        <w:spacing w:before="120" w:after="120"/>
        <w:rPr>
          <w:rFonts w:ascii="Arial" w:hAnsi="Arial" w:cs="Arial"/>
        </w:rPr>
      </w:pPr>
    </w:p>
    <w:p w:rsidR="006A30C2" w:rsidP="007C02AF" w:rsidRDefault="006A30C2">
      <w:pPr>
        <w:pStyle w:val="Nadpis3"/>
        <w:spacing w:after="240"/>
        <w:ind w:left="357" w:hanging="357"/>
      </w:pPr>
      <w:r>
        <w:t>Kumulace podpor</w:t>
      </w:r>
    </w:p>
    <w:p w:rsidR="006A30C2" w:rsidP="006A30C2" w:rsidRDefault="006A30C2">
      <w:pPr>
        <w:spacing w:before="120" w:after="120"/>
        <w:rPr>
          <w:rFonts w:ascii="Arial" w:hAnsi="Arial" w:cs="Arial"/>
        </w:rPr>
      </w:pPr>
      <w:r w:rsidRPr="00004A5A">
        <w:rPr>
          <w:rFonts w:ascii="Arial" w:hAnsi="Arial" w:cs="Arial"/>
        </w:rPr>
        <w:t>Obecně je nutné z hlediska problematiky kumulace podpory rozlišovat možnost</w:t>
      </w:r>
      <w:r>
        <w:rPr>
          <w:rFonts w:ascii="Arial" w:hAnsi="Arial" w:cs="Arial"/>
        </w:rPr>
        <w:t xml:space="preserve"> </w:t>
      </w:r>
      <w:r w:rsidRPr="00004A5A">
        <w:rPr>
          <w:rFonts w:ascii="Arial" w:hAnsi="Arial" w:cs="Arial"/>
        </w:rPr>
        <w:t>kumulace na stejný typ nákladů (v rámci jednoho projektu) a možnost kumulace podpory</w:t>
      </w:r>
      <w:r>
        <w:rPr>
          <w:rFonts w:ascii="Arial" w:hAnsi="Arial" w:cs="Arial"/>
        </w:rPr>
        <w:t xml:space="preserve"> </w:t>
      </w:r>
      <w:r w:rsidRPr="00004A5A">
        <w:rPr>
          <w:rFonts w:ascii="Arial" w:hAnsi="Arial" w:cs="Arial"/>
        </w:rPr>
        <w:t>na stejný projekt, v rámci kterého mohou být realizovány náklady na různé činnosti</w:t>
      </w:r>
      <w:r>
        <w:rPr>
          <w:rFonts w:ascii="Arial" w:hAnsi="Arial" w:cs="Arial"/>
        </w:rPr>
        <w:t xml:space="preserve"> </w:t>
      </w:r>
      <w:r w:rsidRPr="00004A5A">
        <w:rPr>
          <w:rFonts w:ascii="Arial" w:hAnsi="Arial" w:cs="Arial"/>
        </w:rPr>
        <w:t>spadající pod různá pravidla</w:t>
      </w:r>
      <w:r>
        <w:rPr>
          <w:rFonts w:ascii="Arial" w:hAnsi="Arial" w:cs="Arial"/>
        </w:rPr>
        <w:t>. Kumulace podpory na stejný typ nákladů obecně není možná. Konkrétní případy budou předmětem konzultace před vydáním Rozhodnutí o poskytnutí dotace.</w:t>
      </w:r>
    </w:p>
    <w:p w:rsidR="006A30C2" w:rsidP="006A30C2" w:rsidRDefault="006A30C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Kumulace podpory na různé činnosti je možná, při dodržení následujících podmínek:</w:t>
      </w:r>
    </w:p>
    <w:p w:rsidR="006A30C2" w:rsidP="006A30C2" w:rsidRDefault="00A750B8">
      <w:pPr>
        <w:pStyle w:val="Odstavecseseznamem"/>
        <w:numPr>
          <w:ilvl w:val="0"/>
          <w:numId w:val="1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A30C2">
        <w:rPr>
          <w:rFonts w:ascii="Arial" w:hAnsi="Arial" w:cs="Arial"/>
        </w:rPr>
        <w:t>odpora musí směřovat na různé činnosti</w:t>
      </w:r>
      <w:r>
        <w:rPr>
          <w:rFonts w:ascii="Arial" w:hAnsi="Arial" w:cs="Arial"/>
        </w:rPr>
        <w:t>,</w:t>
      </w:r>
    </w:p>
    <w:p w:rsidR="006A30C2" w:rsidP="006A30C2" w:rsidRDefault="00A750B8">
      <w:pPr>
        <w:pStyle w:val="Odstavecseseznamem"/>
        <w:numPr>
          <w:ilvl w:val="0"/>
          <w:numId w:val="1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A30C2">
        <w:rPr>
          <w:rFonts w:ascii="Arial" w:hAnsi="Arial" w:cs="Arial"/>
        </w:rPr>
        <w:t>odpora nesmí být realizována v rámci sho</w:t>
      </w:r>
      <w:bookmarkStart w:name="_GoBack" w:id="1"/>
      <w:bookmarkEnd w:id="1"/>
      <w:r w:rsidR="006A30C2">
        <w:rPr>
          <w:rFonts w:ascii="Arial" w:hAnsi="Arial" w:cs="Arial"/>
        </w:rPr>
        <w:t xml:space="preserve">dného opatření (zde např. není možné kombinovat podporu </w:t>
      </w:r>
      <w:r w:rsidR="003D4052">
        <w:rPr>
          <w:rFonts w:ascii="Arial" w:hAnsi="Arial" w:cs="Arial"/>
        </w:rPr>
        <w:t xml:space="preserve">de </w:t>
      </w:r>
      <w:proofErr w:type="spellStart"/>
      <w:r w:rsidR="003D4052">
        <w:rPr>
          <w:rFonts w:ascii="Arial" w:hAnsi="Arial" w:cs="Arial"/>
        </w:rPr>
        <w:t>minimis</w:t>
      </w:r>
      <w:proofErr w:type="spellEnd"/>
      <w:r w:rsidR="003D4052">
        <w:rPr>
          <w:rFonts w:ascii="Arial" w:hAnsi="Arial" w:cs="Arial"/>
        </w:rPr>
        <w:t xml:space="preserve"> poskytnutou podle </w:t>
      </w:r>
      <w:r w:rsidRPr="003D4052" w:rsidR="003D4052">
        <w:rPr>
          <w:rFonts w:ascii="Arial" w:hAnsi="Arial" w:cs="Arial"/>
        </w:rPr>
        <w:t>Nařízení Komise (EU) č.</w:t>
      </w:r>
      <w:r w:rsidR="001A3DAD">
        <w:rPr>
          <w:rFonts w:ascii="Arial" w:hAnsi="Arial" w:cs="Arial"/>
        </w:rPr>
        <w:t> </w:t>
      </w:r>
      <w:r w:rsidRPr="003D4052" w:rsidR="003D4052">
        <w:rPr>
          <w:rFonts w:ascii="Arial" w:hAnsi="Arial" w:cs="Arial"/>
        </w:rPr>
        <w:t xml:space="preserve">360/2012 ze dne 25. 4. 2012 o použití článků 107 a 108 Smlouvy o fungování Evropské unie na podporu de </w:t>
      </w:r>
      <w:proofErr w:type="spellStart"/>
      <w:r w:rsidRPr="003D4052" w:rsidR="003D4052">
        <w:rPr>
          <w:rFonts w:ascii="Arial" w:hAnsi="Arial" w:cs="Arial"/>
        </w:rPr>
        <w:t>minimis</w:t>
      </w:r>
      <w:proofErr w:type="spellEnd"/>
      <w:r w:rsidRPr="003D4052" w:rsidR="003D4052">
        <w:rPr>
          <w:rFonts w:ascii="Arial" w:hAnsi="Arial" w:cs="Arial"/>
        </w:rPr>
        <w:t xml:space="preserve"> udílenou podnikům poskytujícím služby obecného hospodářského zájmu, </w:t>
      </w:r>
      <w:proofErr w:type="spellStart"/>
      <w:r w:rsidRPr="003D4052" w:rsidR="003D4052">
        <w:rPr>
          <w:rFonts w:ascii="Arial" w:hAnsi="Arial" w:cs="Arial"/>
        </w:rPr>
        <w:t>Úř</w:t>
      </w:r>
      <w:proofErr w:type="spellEnd"/>
      <w:r w:rsidRPr="003D4052" w:rsidR="003D4052">
        <w:rPr>
          <w:rFonts w:ascii="Arial" w:hAnsi="Arial" w:cs="Arial"/>
        </w:rPr>
        <w:t xml:space="preserve">. </w:t>
      </w:r>
      <w:proofErr w:type="spellStart"/>
      <w:proofErr w:type="gramStart"/>
      <w:r w:rsidRPr="003D4052" w:rsidR="003D4052">
        <w:rPr>
          <w:rFonts w:ascii="Arial" w:hAnsi="Arial" w:cs="Arial"/>
        </w:rPr>
        <w:t>věst</w:t>
      </w:r>
      <w:proofErr w:type="spellEnd"/>
      <w:proofErr w:type="gramEnd"/>
      <w:r w:rsidRPr="003D4052" w:rsidR="003D4052">
        <w:rPr>
          <w:rFonts w:ascii="Arial" w:hAnsi="Arial" w:cs="Arial"/>
        </w:rPr>
        <w:t xml:space="preserve">. L 114, 26. 4. 2012 </w:t>
      </w:r>
      <w:r w:rsidR="006A30C2">
        <w:rPr>
          <w:rFonts w:ascii="Arial" w:hAnsi="Arial" w:cs="Arial"/>
        </w:rPr>
        <w:t>a vyrovnávací platb</w:t>
      </w:r>
      <w:r w:rsidR="003D4052">
        <w:rPr>
          <w:rFonts w:ascii="Arial" w:hAnsi="Arial" w:cs="Arial"/>
        </w:rPr>
        <w:t>o</w:t>
      </w:r>
      <w:r w:rsidR="006A30C2">
        <w:rPr>
          <w:rFonts w:ascii="Arial" w:hAnsi="Arial" w:cs="Arial"/>
        </w:rPr>
        <w:t>u dle Rozhodnutí č. 2012/21/EU</w:t>
      </w:r>
      <w:r w:rsidR="00AF42FD">
        <w:rPr>
          <w:rFonts w:ascii="Arial" w:hAnsi="Arial" w:cs="Arial"/>
        </w:rPr>
        <w:t xml:space="preserve"> na tutéž službu</w:t>
      </w:r>
      <w:r>
        <w:rPr>
          <w:rFonts w:ascii="Arial" w:hAnsi="Arial" w:cs="Arial"/>
        </w:rPr>
        <w:t>.</w:t>
      </w:r>
    </w:p>
    <w:p w:rsidRPr="00004A5A" w:rsidR="009135F9" w:rsidP="004D133D" w:rsidRDefault="009135F9">
      <w:pPr>
        <w:pStyle w:val="Odstavecseseznamem"/>
        <w:spacing w:before="120" w:after="120"/>
        <w:rPr>
          <w:rFonts w:ascii="Arial" w:hAnsi="Arial" w:cs="Arial"/>
        </w:rPr>
      </w:pPr>
    </w:p>
    <w:p w:rsidR="006A30C2" w:rsidP="007C02AF" w:rsidRDefault="009135F9">
      <w:pPr>
        <w:pStyle w:val="Nadpis3"/>
        <w:spacing w:after="240"/>
        <w:ind w:left="357" w:hanging="357"/>
      </w:pPr>
      <w:r>
        <w:t>Seznam příloh:</w:t>
      </w:r>
    </w:p>
    <w:p w:rsidR="00A850EF" w:rsidP="004D133D" w:rsidRDefault="00A850EF">
      <w:pPr>
        <w:rPr>
          <w:rFonts w:ascii="Arial" w:hAnsi="Arial" w:cs="Arial"/>
        </w:rPr>
      </w:pPr>
    </w:p>
    <w:p w:rsidRPr="00DD49CA" w:rsidR="00A850EF" w:rsidP="00DD49CA" w:rsidRDefault="00A850EF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DD49CA">
        <w:rPr>
          <w:rFonts w:ascii="Arial" w:hAnsi="Arial" w:cs="Arial"/>
        </w:rPr>
        <w:t>Příloha č. 1a – Vzor - Vyjádření objednatele sociální služby k projektu</w:t>
      </w:r>
    </w:p>
    <w:p w:rsidRPr="00DD49CA" w:rsidR="00A850EF" w:rsidP="00DD49CA" w:rsidRDefault="00A850EF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DD49CA">
        <w:rPr>
          <w:rFonts w:ascii="Arial" w:hAnsi="Arial" w:cs="Arial"/>
        </w:rPr>
        <w:t>Příloha č. 1b – Vzor Pověření SGEI - Rozvojové pověření vydané v rámci projektu registrační číslo…</w:t>
      </w:r>
    </w:p>
    <w:p w:rsidRPr="00DD49CA" w:rsidR="00A850EF" w:rsidP="00DD49CA" w:rsidRDefault="00A850EF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DD49CA">
        <w:rPr>
          <w:rFonts w:ascii="Arial" w:hAnsi="Arial" w:cs="Arial"/>
        </w:rPr>
        <w:t xml:space="preserve">Příloha č. 1c – Vzor – Finanční rámec veřejné podpory - </w:t>
      </w:r>
      <w:r w:rsidR="00427FDF">
        <w:rPr>
          <w:rFonts w:ascii="Arial" w:hAnsi="Arial" w:cs="Arial"/>
        </w:rPr>
        <w:t>příjemce</w:t>
      </w:r>
    </w:p>
    <w:p w:rsidRPr="00DD49CA" w:rsidR="00A850EF" w:rsidP="00DD49CA" w:rsidRDefault="00A850EF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DD49CA">
        <w:rPr>
          <w:rFonts w:ascii="Arial" w:hAnsi="Arial" w:cs="Arial"/>
        </w:rPr>
        <w:t xml:space="preserve">Příloha č. 1d – Vzor - Finanční rámec veřejné podpory – </w:t>
      </w:r>
      <w:r w:rsidR="00427FDF">
        <w:rPr>
          <w:rFonts w:ascii="Arial" w:hAnsi="Arial" w:cs="Arial"/>
        </w:rPr>
        <w:t>příjemce</w:t>
      </w:r>
      <w:r w:rsidRPr="00DD49CA" w:rsidR="00427FDF">
        <w:rPr>
          <w:rFonts w:ascii="Arial" w:hAnsi="Arial" w:cs="Arial"/>
        </w:rPr>
        <w:t xml:space="preserve"> </w:t>
      </w:r>
      <w:r w:rsidRPr="00DD49CA">
        <w:rPr>
          <w:rFonts w:ascii="Arial" w:hAnsi="Arial" w:cs="Arial"/>
        </w:rPr>
        <w:t>a partner s finančním příspěvkem</w:t>
      </w:r>
    </w:p>
    <w:p w:rsidRPr="00DD49CA" w:rsidR="00A850EF" w:rsidP="00DD49CA" w:rsidRDefault="00A850EF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DD49CA">
        <w:rPr>
          <w:rFonts w:ascii="Arial" w:hAnsi="Arial" w:cs="Arial"/>
        </w:rPr>
        <w:t xml:space="preserve">Příloha č. 1e – Vzor - Finanční rámec veřejné podpory – </w:t>
      </w:r>
      <w:r w:rsidR="00427FDF">
        <w:rPr>
          <w:rFonts w:ascii="Arial" w:hAnsi="Arial" w:cs="Arial"/>
        </w:rPr>
        <w:t>příjemce</w:t>
      </w:r>
      <w:r w:rsidRPr="00DD49CA" w:rsidR="00427FDF">
        <w:rPr>
          <w:rFonts w:ascii="Arial" w:hAnsi="Arial" w:cs="Arial"/>
        </w:rPr>
        <w:t xml:space="preserve"> </w:t>
      </w:r>
      <w:r w:rsidRPr="00DD49CA">
        <w:rPr>
          <w:rFonts w:ascii="Arial" w:hAnsi="Arial" w:cs="Arial"/>
        </w:rPr>
        <w:t>a další subjekt</w:t>
      </w:r>
    </w:p>
    <w:p w:rsidRPr="00DD49CA" w:rsidR="00A850EF" w:rsidP="00DD49CA" w:rsidRDefault="00A850EF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DD49CA">
        <w:rPr>
          <w:rFonts w:ascii="Arial" w:hAnsi="Arial" w:cs="Arial"/>
        </w:rPr>
        <w:t xml:space="preserve">Příloha č. 1f – Vzor - Finanční rámec veřejné podpory – </w:t>
      </w:r>
      <w:r w:rsidR="00061FC6">
        <w:rPr>
          <w:rFonts w:ascii="Arial" w:hAnsi="Arial" w:cs="Arial"/>
        </w:rPr>
        <w:t>příjemce</w:t>
      </w:r>
      <w:r w:rsidRPr="00DD49CA">
        <w:rPr>
          <w:rFonts w:ascii="Arial" w:hAnsi="Arial" w:cs="Arial"/>
        </w:rPr>
        <w:t>, partner s finančním příspěvkem a další subjekt</w:t>
      </w:r>
    </w:p>
    <w:p w:rsidRPr="00DD49CA" w:rsidR="00A850EF" w:rsidP="00DD49CA" w:rsidRDefault="00A850EF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</w:rPr>
      </w:pPr>
      <w:r w:rsidRPr="00DD49CA">
        <w:rPr>
          <w:rFonts w:ascii="Arial" w:hAnsi="Arial" w:cs="Arial"/>
        </w:rPr>
        <w:t xml:space="preserve">Příloha č. 1g  – Vzor - Přehled čerpání vyrovnávací platby </w:t>
      </w:r>
    </w:p>
    <w:p w:rsidRPr="007C02AF" w:rsidR="00A850EF" w:rsidP="004D133D" w:rsidRDefault="00A850EF"/>
    <w:sectPr w:rsidRPr="007C02AF" w:rsidR="00A850EF" w:rsidSect="007C02AF">
      <w:headerReference w:type="default" r:id="rId9"/>
      <w:footerReference w:type="default" r:id="rId10"/>
      <w:pgSz w:w="11906" w:h="16838"/>
      <w:pgMar w:top="212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D36A6" w:rsidP="00DE61FB" w:rsidRDefault="00CD36A6">
      <w:r>
        <w:separator/>
      </w:r>
    </w:p>
  </w:endnote>
  <w:endnote w:type="continuationSeparator" w:id="0">
    <w:p w:rsidR="00CD36A6" w:rsidP="00DE61FB" w:rsidRDefault="00CD36A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73974479"/>
      <w:docPartObj>
        <w:docPartGallery w:val="Page Numbers (Bottom of Page)"/>
        <w:docPartUnique/>
      </w:docPartObj>
    </w:sdtPr>
    <w:sdtEndPr/>
    <w:sdtContent>
      <w:p w:rsidR="00CC6A38" w:rsidRDefault="00CA149A">
        <w:pPr>
          <w:pStyle w:val="Zpat"/>
          <w:jc w:val="right"/>
        </w:pPr>
        <w:r>
          <w:fldChar w:fldCharType="begin"/>
        </w:r>
        <w:r w:rsidR="001942D2">
          <w:instrText>PAGE   \* MERGEFORMAT</w:instrText>
        </w:r>
        <w:r>
          <w:fldChar w:fldCharType="separate"/>
        </w:r>
        <w:r w:rsidR="001A3D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C6A38" w:rsidRDefault="00CC6A3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D36A6" w:rsidP="00DE61FB" w:rsidRDefault="00CD36A6">
      <w:r>
        <w:separator/>
      </w:r>
    </w:p>
  </w:footnote>
  <w:footnote w:type="continuationSeparator" w:id="0">
    <w:p w:rsidR="00CD36A6" w:rsidP="00DE61FB" w:rsidRDefault="00CD36A6">
      <w:r>
        <w:continuationSeparator/>
      </w:r>
    </w:p>
  </w:footnote>
  <w:footnote w:id="1">
    <w:p w:rsidRPr="00B07CB6" w:rsidR="00CC6A38" w:rsidP="009135F9" w:rsidRDefault="00CC6A38">
      <w:pPr>
        <w:pStyle w:val="Textpoznpodarou"/>
        <w:jc w:val="both"/>
        <w:rPr>
          <w:sz w:val="18"/>
          <w:szCs w:val="18"/>
        </w:rPr>
      </w:pPr>
      <w:r w:rsidRPr="00B07CB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B07CB6">
        <w:rPr>
          <w:rFonts w:ascii="Arial" w:hAnsi="Arial" w:cs="Arial"/>
          <w:i/>
          <w:sz w:val="18"/>
          <w:szCs w:val="18"/>
        </w:rPr>
        <w:t xml:space="preserve"> Ministerstvo práce a sociálních věcí (Odbor sociálních služeb, sociální práce a sociálního bydlení) vystavuje Pověření v případě sociálních služeb s nadregionální či celostátní působností.</w:t>
      </w:r>
    </w:p>
  </w:footnote>
  <w:footnote w:id="2">
    <w:p w:rsidRPr="00B07CB6" w:rsidR="008C4038" w:rsidP="00E05EC1" w:rsidRDefault="008C403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07CB6">
        <w:rPr>
          <w:rFonts w:ascii="Arial" w:hAnsi="Arial" w:cs="Arial"/>
          <w:i/>
          <w:sz w:val="18"/>
          <w:szCs w:val="18"/>
        </w:rPr>
        <w:t>Dalším subjektem se rozumí subjekt mimo příjemce a partnera s finančním příspěvkem.</w:t>
      </w:r>
    </w:p>
  </w:footnote>
  <w:footnote w:id="3">
    <w:p w:rsidR="00CC6A38" w:rsidP="00E05EC1" w:rsidRDefault="00CC6A38">
      <w:pPr>
        <w:pStyle w:val="Textpoznpodarou"/>
        <w:jc w:val="both"/>
      </w:pPr>
      <w:r w:rsidRPr="00B07CB6">
        <w:rPr>
          <w:rStyle w:val="Znakapoznpodarou"/>
          <w:rFonts w:ascii="Arial" w:hAnsi="Arial" w:cs="Arial"/>
          <w:sz w:val="18"/>
          <w:szCs w:val="18"/>
        </w:rPr>
        <w:footnoteRef/>
      </w:r>
      <w:r w:rsidRPr="00B07CB6">
        <w:rPr>
          <w:rFonts w:ascii="Arial" w:hAnsi="Arial" w:cs="Arial"/>
          <w:sz w:val="18"/>
          <w:szCs w:val="18"/>
        </w:rPr>
        <w:t xml:space="preserve"> </w:t>
      </w:r>
      <w:r w:rsidRPr="00B07CB6" w:rsidR="00CE06BB">
        <w:rPr>
          <w:rFonts w:ascii="Arial" w:hAnsi="Arial" w:cs="Arial"/>
          <w:i/>
          <w:sz w:val="18"/>
          <w:szCs w:val="18"/>
        </w:rPr>
        <w:t>K</w:t>
      </w:r>
      <w:r w:rsidRPr="00B07CB6">
        <w:rPr>
          <w:rFonts w:ascii="Arial" w:hAnsi="Arial" w:cs="Arial"/>
          <w:i/>
          <w:sz w:val="18"/>
          <w:szCs w:val="18"/>
        </w:rPr>
        <w:t>raj, obec, organizační složka státu, zejména Ministerstvo práce a sociálních věcí (odbor sociálních služeb, sociální práce a sociálního bydlení)</w:t>
      </w:r>
    </w:p>
  </w:footnote>
  <w:footnote w:id="4">
    <w:p w:rsidRPr="00B07CB6" w:rsidR="00CC6A38" w:rsidRDefault="00CC6A38">
      <w:pPr>
        <w:pStyle w:val="Textpoznpodarou"/>
        <w:rPr>
          <w:rFonts w:ascii="Arial" w:hAnsi="Arial" w:cs="Arial"/>
          <w:i/>
          <w:sz w:val="18"/>
          <w:szCs w:val="18"/>
        </w:rPr>
      </w:pPr>
      <w:r w:rsidRPr="00B07CB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B07CB6">
        <w:rPr>
          <w:rFonts w:ascii="Arial" w:hAnsi="Arial" w:cs="Arial"/>
          <w:i/>
          <w:sz w:val="18"/>
          <w:szCs w:val="18"/>
        </w:rPr>
        <w:t xml:space="preserve"> Povinnost platí pouze pro projekty, v rámci kterých je definovaná vyrovnávací platba.</w:t>
      </w:r>
    </w:p>
  </w:footnote>
  <w:footnote w:id="5">
    <w:p w:rsidR="001E01A7" w:rsidP="0093289A" w:rsidRDefault="001E01A7">
      <w:pPr>
        <w:pStyle w:val="Textpoznpodarou"/>
        <w:jc w:val="both"/>
      </w:pPr>
      <w:r w:rsidRPr="00B07CB6">
        <w:rPr>
          <w:rStyle w:val="Znakapoznpodarou"/>
          <w:rFonts w:ascii="Arial" w:hAnsi="Arial" w:cs="Arial"/>
          <w:sz w:val="18"/>
          <w:szCs w:val="18"/>
        </w:rPr>
        <w:footnoteRef/>
      </w:r>
      <w:r w:rsidRPr="00B07CB6">
        <w:rPr>
          <w:rFonts w:ascii="Arial" w:hAnsi="Arial" w:cs="Arial"/>
          <w:sz w:val="18"/>
          <w:szCs w:val="18"/>
        </w:rPr>
        <w:t xml:space="preserve"> </w:t>
      </w:r>
      <w:r w:rsidRPr="00B07CB6">
        <w:rPr>
          <w:rFonts w:ascii="Arial" w:hAnsi="Arial" w:cs="Arial"/>
          <w:i/>
          <w:sz w:val="18"/>
          <w:szCs w:val="18"/>
        </w:rPr>
        <w:t xml:space="preserve">V případě poskytnutí podpory dalšímu subjektu (včetně partnera bez finančního příspěvku) je „Vyjádření objednatele sociální služby k projektu“ předloženo v rámci žádosti </w:t>
      </w:r>
      <w:r w:rsidRPr="00B07CB6" w:rsidR="00FC0B8B">
        <w:rPr>
          <w:rFonts w:ascii="Arial" w:hAnsi="Arial" w:cs="Arial"/>
          <w:i/>
          <w:sz w:val="18"/>
          <w:szCs w:val="18"/>
        </w:rPr>
        <w:t>o</w:t>
      </w:r>
      <w:r w:rsidRPr="00B07CB6">
        <w:rPr>
          <w:rFonts w:ascii="Arial" w:hAnsi="Arial" w:cs="Arial"/>
          <w:i/>
          <w:sz w:val="18"/>
          <w:szCs w:val="18"/>
        </w:rPr>
        <w:t xml:space="preserve"> poskytnutí veřejné podpory dalšímu subjektu, postup je uveden v Obecných pravidlech pro žadatele a příjemce (kap. 21.6.1</w:t>
      </w:r>
      <w:r w:rsidRPr="0093289A">
        <w:rPr>
          <w:rFonts w:ascii="Arial" w:hAnsi="Arial" w:cs="Arial"/>
          <w:i/>
        </w:rPr>
        <w:t>)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C6A38" w:rsidRDefault="00CC6A38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035691"/>
    <w:multiLevelType w:val="hybridMultilevel"/>
    <w:tmpl w:val="8A1610E6"/>
    <w:lvl w:ilvl="0" w:tplc="91FC0A6A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6D57"/>
    <w:multiLevelType w:val="multilevel"/>
    <w:tmpl w:val="BC1E3C24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FF162E"/>
    <w:multiLevelType w:val="hybridMultilevel"/>
    <w:tmpl w:val="FDD6B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60B0"/>
    <w:multiLevelType w:val="hybridMultilevel"/>
    <w:tmpl w:val="02689298"/>
    <w:lvl w:ilvl="0" w:tplc="215AE44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9BB0395"/>
    <w:multiLevelType w:val="hybridMultilevel"/>
    <w:tmpl w:val="246CC2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A325886"/>
    <w:multiLevelType w:val="hybridMultilevel"/>
    <w:tmpl w:val="9D3467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9FE6E36"/>
    <w:multiLevelType w:val="hybridMultilevel"/>
    <w:tmpl w:val="CFA21036"/>
    <w:lvl w:ilvl="0" w:tplc="BC98C200">
      <w:start w:val="1"/>
      <w:numFmt w:val="decimal"/>
      <w:lvlText w:val="(%1)"/>
      <w:lvlJc w:val="left"/>
      <w:pPr>
        <w:ind w:left="360" w:hanging="360"/>
      </w:pPr>
      <w:rPr>
        <w:rFonts w:hint="default" w:ascii="Arial" w:hAnsi="Arial"/>
        <w:b w:val="false"/>
        <w:i w:val="false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5A6234"/>
    <w:multiLevelType w:val="hybridMultilevel"/>
    <w:tmpl w:val="EC901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B06E4"/>
    <w:multiLevelType w:val="hybridMultilevel"/>
    <w:tmpl w:val="FDD6B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C3B89"/>
    <w:multiLevelType w:val="multilevel"/>
    <w:tmpl w:val="539CE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0">
    <w:nsid w:val="302D5A02"/>
    <w:multiLevelType w:val="hybridMultilevel"/>
    <w:tmpl w:val="86CEEEEE"/>
    <w:lvl w:ilvl="0" w:tplc="A96E5E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6A53"/>
    <w:multiLevelType w:val="hybridMultilevel"/>
    <w:tmpl w:val="79D088F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A7D0574"/>
    <w:multiLevelType w:val="hybridMultilevel"/>
    <w:tmpl w:val="A61E5DA4"/>
    <w:lvl w:ilvl="0" w:tplc="80129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D09A0"/>
    <w:multiLevelType w:val="hybridMultilevel"/>
    <w:tmpl w:val="C77420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86D20"/>
    <w:multiLevelType w:val="hybridMultilevel"/>
    <w:tmpl w:val="5BFEBB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01F7D77"/>
    <w:multiLevelType w:val="hybridMultilevel"/>
    <w:tmpl w:val="7BD4EC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040003F"/>
    <w:multiLevelType w:val="hybridMultilevel"/>
    <w:tmpl w:val="1DA6DA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1FD0B43"/>
    <w:multiLevelType w:val="hybridMultilevel"/>
    <w:tmpl w:val="84A07A2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26C42E9"/>
    <w:multiLevelType w:val="hybridMultilevel"/>
    <w:tmpl w:val="80E69740"/>
    <w:lvl w:ilvl="0" w:tplc="215AE444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5370342D"/>
    <w:multiLevelType w:val="hybridMultilevel"/>
    <w:tmpl w:val="C5B06F84"/>
    <w:lvl w:ilvl="0" w:tplc="215AE44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6967A4A"/>
    <w:multiLevelType w:val="hybridMultilevel"/>
    <w:tmpl w:val="7D14044A"/>
    <w:lvl w:ilvl="0" w:tplc="215AE44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41B27D6"/>
    <w:multiLevelType w:val="hybridMultilevel"/>
    <w:tmpl w:val="3196CF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5E708C6"/>
    <w:multiLevelType w:val="hybridMultilevel"/>
    <w:tmpl w:val="9F669D92"/>
    <w:lvl w:ilvl="0" w:tplc="0405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>
    <w:nsid w:val="6A0170DA"/>
    <w:multiLevelType w:val="hybridMultilevel"/>
    <w:tmpl w:val="3E88564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30E08"/>
    <w:multiLevelType w:val="hybridMultilevel"/>
    <w:tmpl w:val="DB9A233C"/>
    <w:lvl w:ilvl="0" w:tplc="0405000B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5">
    <w:nsid w:val="6B1A0918"/>
    <w:multiLevelType w:val="hybridMultilevel"/>
    <w:tmpl w:val="17F221B6"/>
    <w:lvl w:ilvl="0" w:tplc="215AE444">
      <w:numFmt w:val="bullet"/>
      <w:lvlText w:val="-"/>
      <w:lvlJc w:val="left"/>
      <w:pPr>
        <w:ind w:left="288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6">
    <w:nsid w:val="727E2D91"/>
    <w:multiLevelType w:val="hybridMultilevel"/>
    <w:tmpl w:val="7BD6590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22"/>
  </w:num>
  <w:num w:numId="5">
    <w:abstractNumId w:val="4"/>
  </w:num>
  <w:num w:numId="6">
    <w:abstractNumId w:val="14"/>
  </w:num>
  <w:num w:numId="7">
    <w:abstractNumId w:val="18"/>
  </w:num>
  <w:num w:numId="8">
    <w:abstractNumId w:val="2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0"/>
  </w:num>
  <w:num w:numId="14">
    <w:abstractNumId w:val="3"/>
  </w:num>
  <w:num w:numId="15">
    <w:abstractNumId w:val="0"/>
  </w:num>
  <w:num w:numId="16">
    <w:abstractNumId w:val="13"/>
  </w:num>
  <w:num w:numId="17">
    <w:abstractNumId w:val="0"/>
  </w:num>
  <w:num w:numId="18">
    <w:abstractNumId w:val="9"/>
  </w:num>
  <w:num w:numId="19">
    <w:abstractNumId w:val="0"/>
  </w:num>
  <w:num w:numId="20">
    <w:abstractNumId w:val="0"/>
  </w:num>
  <w:num w:numId="21">
    <w:abstractNumId w:val="0"/>
  </w:num>
  <w:num w:numId="22">
    <w:abstractNumId w:val="19"/>
  </w:num>
  <w:num w:numId="23">
    <w:abstractNumId w:val="0"/>
  </w:num>
  <w:num w:numId="24">
    <w:abstractNumId w:val="0"/>
  </w:num>
  <w:num w:numId="25">
    <w:abstractNumId w:val="0"/>
  </w:num>
  <w:num w:numId="26">
    <w:abstractNumId w:val="20"/>
  </w:num>
  <w:num w:numId="27">
    <w:abstractNumId w:val="7"/>
  </w:num>
  <w:num w:numId="28">
    <w:abstractNumId w:val="5"/>
  </w:num>
  <w:num w:numId="29">
    <w:abstractNumId w:val="0"/>
  </w:num>
  <w:num w:numId="30">
    <w:abstractNumId w:val="8"/>
  </w:num>
  <w:num w:numId="31">
    <w:abstractNumId w:val="2"/>
  </w:num>
  <w:num w:numId="32">
    <w:abstractNumId w:val="21"/>
  </w:num>
  <w:num w:numId="33">
    <w:abstractNumId w:val="0"/>
  </w:num>
  <w:num w:numId="34">
    <w:abstractNumId w:val="12"/>
  </w:num>
  <w:num w:numId="35">
    <w:abstractNumId w:val="23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26"/>
  </w:num>
  <w:num w:numId="44">
    <w:abstractNumId w:val="17"/>
  </w:num>
  <w:num w:numId="45">
    <w:abstractNumId w:val="24"/>
  </w:num>
  <w:num w:numId="46">
    <w:abstractNumId w:val="16"/>
  </w:num>
  <w:num w:numId="47">
    <w:abstractNumId w:val="11"/>
  </w:num>
  <w:num w:numId="48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25B"/>
    <w:rsid w:val="000103B9"/>
    <w:rsid w:val="00011BDB"/>
    <w:rsid w:val="00013202"/>
    <w:rsid w:val="0002406E"/>
    <w:rsid w:val="000606C3"/>
    <w:rsid w:val="00061FC6"/>
    <w:rsid w:val="00084BE4"/>
    <w:rsid w:val="000C2103"/>
    <w:rsid w:val="000C6AAB"/>
    <w:rsid w:val="000E56AE"/>
    <w:rsid w:val="00106E6B"/>
    <w:rsid w:val="001075EA"/>
    <w:rsid w:val="001303F4"/>
    <w:rsid w:val="00137A6B"/>
    <w:rsid w:val="00154DF6"/>
    <w:rsid w:val="00177A01"/>
    <w:rsid w:val="00184C25"/>
    <w:rsid w:val="001942D2"/>
    <w:rsid w:val="00194EB5"/>
    <w:rsid w:val="001A3DAD"/>
    <w:rsid w:val="001B40CF"/>
    <w:rsid w:val="001B4841"/>
    <w:rsid w:val="001C0899"/>
    <w:rsid w:val="001C59E0"/>
    <w:rsid w:val="001D351A"/>
    <w:rsid w:val="001D36F4"/>
    <w:rsid w:val="001D5D1D"/>
    <w:rsid w:val="001E01A7"/>
    <w:rsid w:val="002104D1"/>
    <w:rsid w:val="00235DD0"/>
    <w:rsid w:val="00252A23"/>
    <w:rsid w:val="00267CE6"/>
    <w:rsid w:val="002869EC"/>
    <w:rsid w:val="00292542"/>
    <w:rsid w:val="002A1CC7"/>
    <w:rsid w:val="002A21F7"/>
    <w:rsid w:val="002A5020"/>
    <w:rsid w:val="002A504F"/>
    <w:rsid w:val="002B1A29"/>
    <w:rsid w:val="002C77F7"/>
    <w:rsid w:val="002D4500"/>
    <w:rsid w:val="002E1437"/>
    <w:rsid w:val="002E3C17"/>
    <w:rsid w:val="002E627D"/>
    <w:rsid w:val="003133FA"/>
    <w:rsid w:val="00331446"/>
    <w:rsid w:val="00354C15"/>
    <w:rsid w:val="00355F03"/>
    <w:rsid w:val="003646B3"/>
    <w:rsid w:val="00383FE8"/>
    <w:rsid w:val="0039214A"/>
    <w:rsid w:val="003A649B"/>
    <w:rsid w:val="003D4052"/>
    <w:rsid w:val="003E3F5F"/>
    <w:rsid w:val="0040264B"/>
    <w:rsid w:val="00405B06"/>
    <w:rsid w:val="004066C5"/>
    <w:rsid w:val="00425347"/>
    <w:rsid w:val="00427FDF"/>
    <w:rsid w:val="0043482D"/>
    <w:rsid w:val="00434CA2"/>
    <w:rsid w:val="00434D23"/>
    <w:rsid w:val="00437F27"/>
    <w:rsid w:val="00446F01"/>
    <w:rsid w:val="0045114A"/>
    <w:rsid w:val="0045135A"/>
    <w:rsid w:val="00456E29"/>
    <w:rsid w:val="004922C8"/>
    <w:rsid w:val="00497906"/>
    <w:rsid w:val="004A1979"/>
    <w:rsid w:val="004B5ECC"/>
    <w:rsid w:val="004C681A"/>
    <w:rsid w:val="004C7314"/>
    <w:rsid w:val="004D133D"/>
    <w:rsid w:val="004D7820"/>
    <w:rsid w:val="004F79A5"/>
    <w:rsid w:val="0051113E"/>
    <w:rsid w:val="00512F9F"/>
    <w:rsid w:val="00513ABF"/>
    <w:rsid w:val="00526206"/>
    <w:rsid w:val="00534AFB"/>
    <w:rsid w:val="005355B2"/>
    <w:rsid w:val="00536D48"/>
    <w:rsid w:val="00545787"/>
    <w:rsid w:val="00570343"/>
    <w:rsid w:val="00570A79"/>
    <w:rsid w:val="00582E58"/>
    <w:rsid w:val="0058463B"/>
    <w:rsid w:val="005A63E7"/>
    <w:rsid w:val="005A6E21"/>
    <w:rsid w:val="005B66CA"/>
    <w:rsid w:val="005B6F8A"/>
    <w:rsid w:val="005C4129"/>
    <w:rsid w:val="005C7350"/>
    <w:rsid w:val="005E7C88"/>
    <w:rsid w:val="005F492A"/>
    <w:rsid w:val="00625B67"/>
    <w:rsid w:val="00644B01"/>
    <w:rsid w:val="0065566A"/>
    <w:rsid w:val="006731A7"/>
    <w:rsid w:val="00686869"/>
    <w:rsid w:val="006A0652"/>
    <w:rsid w:val="006A30C2"/>
    <w:rsid w:val="006A30E7"/>
    <w:rsid w:val="006E0F90"/>
    <w:rsid w:val="006E23BD"/>
    <w:rsid w:val="006E3E58"/>
    <w:rsid w:val="006F0A11"/>
    <w:rsid w:val="00702641"/>
    <w:rsid w:val="00707EAA"/>
    <w:rsid w:val="0071587A"/>
    <w:rsid w:val="00722A64"/>
    <w:rsid w:val="00726F0F"/>
    <w:rsid w:val="007369E0"/>
    <w:rsid w:val="00755798"/>
    <w:rsid w:val="00766385"/>
    <w:rsid w:val="00767207"/>
    <w:rsid w:val="00780C59"/>
    <w:rsid w:val="00786CA5"/>
    <w:rsid w:val="007A4067"/>
    <w:rsid w:val="007B0CBD"/>
    <w:rsid w:val="007B5B17"/>
    <w:rsid w:val="007B5D79"/>
    <w:rsid w:val="007B6AD0"/>
    <w:rsid w:val="007C02AF"/>
    <w:rsid w:val="007C1831"/>
    <w:rsid w:val="007C4421"/>
    <w:rsid w:val="007E5E63"/>
    <w:rsid w:val="00804D45"/>
    <w:rsid w:val="008052A5"/>
    <w:rsid w:val="00806121"/>
    <w:rsid w:val="00814277"/>
    <w:rsid w:val="0082212A"/>
    <w:rsid w:val="00841290"/>
    <w:rsid w:val="008504E5"/>
    <w:rsid w:val="0087026B"/>
    <w:rsid w:val="008720E9"/>
    <w:rsid w:val="00893A17"/>
    <w:rsid w:val="00895372"/>
    <w:rsid w:val="008A16AF"/>
    <w:rsid w:val="008C4038"/>
    <w:rsid w:val="008D0941"/>
    <w:rsid w:val="008F69E9"/>
    <w:rsid w:val="00910827"/>
    <w:rsid w:val="009135F9"/>
    <w:rsid w:val="00914839"/>
    <w:rsid w:val="0093025F"/>
    <w:rsid w:val="0093289A"/>
    <w:rsid w:val="0095261E"/>
    <w:rsid w:val="00954D68"/>
    <w:rsid w:val="009729F3"/>
    <w:rsid w:val="0098105C"/>
    <w:rsid w:val="009A2958"/>
    <w:rsid w:val="009A4A3D"/>
    <w:rsid w:val="009B2BEA"/>
    <w:rsid w:val="009B32C4"/>
    <w:rsid w:val="009B4D4B"/>
    <w:rsid w:val="009B703E"/>
    <w:rsid w:val="009D11AB"/>
    <w:rsid w:val="00A2210A"/>
    <w:rsid w:val="00A227F0"/>
    <w:rsid w:val="00A2437E"/>
    <w:rsid w:val="00A43257"/>
    <w:rsid w:val="00A434DA"/>
    <w:rsid w:val="00A53779"/>
    <w:rsid w:val="00A70A14"/>
    <w:rsid w:val="00A750B8"/>
    <w:rsid w:val="00A850EF"/>
    <w:rsid w:val="00A87A19"/>
    <w:rsid w:val="00A932AD"/>
    <w:rsid w:val="00AA1AF6"/>
    <w:rsid w:val="00AA45DC"/>
    <w:rsid w:val="00AB7235"/>
    <w:rsid w:val="00AC4991"/>
    <w:rsid w:val="00AD17EE"/>
    <w:rsid w:val="00AD6B69"/>
    <w:rsid w:val="00AE19CA"/>
    <w:rsid w:val="00AE75E3"/>
    <w:rsid w:val="00AF32B9"/>
    <w:rsid w:val="00AF42FD"/>
    <w:rsid w:val="00B07CB6"/>
    <w:rsid w:val="00B158CB"/>
    <w:rsid w:val="00B23061"/>
    <w:rsid w:val="00B4117F"/>
    <w:rsid w:val="00B41CAD"/>
    <w:rsid w:val="00B55037"/>
    <w:rsid w:val="00B8450B"/>
    <w:rsid w:val="00BA5E5E"/>
    <w:rsid w:val="00BD14B8"/>
    <w:rsid w:val="00BE5631"/>
    <w:rsid w:val="00BF0B19"/>
    <w:rsid w:val="00C10104"/>
    <w:rsid w:val="00C23BE5"/>
    <w:rsid w:val="00C24A0A"/>
    <w:rsid w:val="00C27152"/>
    <w:rsid w:val="00C36DAD"/>
    <w:rsid w:val="00C377DA"/>
    <w:rsid w:val="00C4128A"/>
    <w:rsid w:val="00C428EA"/>
    <w:rsid w:val="00C85326"/>
    <w:rsid w:val="00CA149A"/>
    <w:rsid w:val="00CA3834"/>
    <w:rsid w:val="00CB368A"/>
    <w:rsid w:val="00CB6957"/>
    <w:rsid w:val="00CC0171"/>
    <w:rsid w:val="00CC115C"/>
    <w:rsid w:val="00CC6A38"/>
    <w:rsid w:val="00CC756C"/>
    <w:rsid w:val="00CC7D45"/>
    <w:rsid w:val="00CD0A31"/>
    <w:rsid w:val="00CD36A6"/>
    <w:rsid w:val="00CD5A93"/>
    <w:rsid w:val="00CE06BB"/>
    <w:rsid w:val="00CE378B"/>
    <w:rsid w:val="00CF59C9"/>
    <w:rsid w:val="00CF72A8"/>
    <w:rsid w:val="00D16CA4"/>
    <w:rsid w:val="00D21F66"/>
    <w:rsid w:val="00D350D7"/>
    <w:rsid w:val="00D5251A"/>
    <w:rsid w:val="00D55D7B"/>
    <w:rsid w:val="00D6075E"/>
    <w:rsid w:val="00D852C5"/>
    <w:rsid w:val="00D92660"/>
    <w:rsid w:val="00D94621"/>
    <w:rsid w:val="00DA197B"/>
    <w:rsid w:val="00DB0DD8"/>
    <w:rsid w:val="00DD49CA"/>
    <w:rsid w:val="00DE61FB"/>
    <w:rsid w:val="00DF355B"/>
    <w:rsid w:val="00DF57B5"/>
    <w:rsid w:val="00DF5F7E"/>
    <w:rsid w:val="00E03AF8"/>
    <w:rsid w:val="00E05EC1"/>
    <w:rsid w:val="00E14D2B"/>
    <w:rsid w:val="00E1541E"/>
    <w:rsid w:val="00E2230A"/>
    <w:rsid w:val="00E37345"/>
    <w:rsid w:val="00E62B8B"/>
    <w:rsid w:val="00E86068"/>
    <w:rsid w:val="00E96EAD"/>
    <w:rsid w:val="00EA0814"/>
    <w:rsid w:val="00EB2049"/>
    <w:rsid w:val="00EB2F0F"/>
    <w:rsid w:val="00EC0C51"/>
    <w:rsid w:val="00EC314B"/>
    <w:rsid w:val="00EC3873"/>
    <w:rsid w:val="00EE317C"/>
    <w:rsid w:val="00EE67DC"/>
    <w:rsid w:val="00F041B4"/>
    <w:rsid w:val="00F26045"/>
    <w:rsid w:val="00F31717"/>
    <w:rsid w:val="00F4525B"/>
    <w:rsid w:val="00F56AC4"/>
    <w:rsid w:val="00F62C44"/>
    <w:rsid w:val="00F80F75"/>
    <w:rsid w:val="00F82444"/>
    <w:rsid w:val="00F84BEF"/>
    <w:rsid w:val="00FA042B"/>
    <w:rsid w:val="00FA3CC6"/>
    <w:rsid w:val="00FB73EB"/>
    <w:rsid w:val="00FC010F"/>
    <w:rsid w:val="00FC0B8B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4525B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4525B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4525B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A434DA"/>
    <w:pPr>
      <w:keepNext/>
      <w:keepLines/>
      <w:numPr>
        <w:numId w:val="9"/>
      </w:numPr>
      <w:spacing w:before="120" w:after="120"/>
      <w:outlineLvl w:val="2"/>
    </w:pPr>
    <w:rPr>
      <w:rFonts w:ascii="Arial" w:hAnsi="Arial" w:eastAsiaTheme="majorEastAsia" w:cstheme="majorBidi"/>
      <w:b/>
      <w:bCs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F4525B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F4525B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F4525B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4525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4525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F4525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4525B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4525B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A434DA"/>
    <w:rPr>
      <w:rFonts w:ascii="Arial" w:hAnsi="Arial" w:eastAsiaTheme="majorEastAsia" w:cstheme="majorBidi"/>
      <w:b/>
      <w:bCs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4525B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F4525B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F4525B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F4525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F4525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F4525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45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525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F4525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25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4525B"/>
    <w:rPr>
      <w:rFonts w:ascii="Tahoma" w:hAnsi="Tahoma" w:cs="Tahoma"/>
      <w:sz w:val="16"/>
      <w:szCs w:val="16"/>
    </w:rPr>
  </w:style>
  <w:style w:type="paragraph" w:styleId="Default" w:customStyle="true">
    <w:name w:val="Default"/>
    <w:rsid w:val="00DE61FB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1FB"/>
    <w:pPr>
      <w:jc w:val="left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E61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61FB"/>
    <w:rPr>
      <w:vertAlign w:val="superscript"/>
    </w:rPr>
  </w:style>
  <w:style w:type="paragraph" w:styleId="Tabulkatext13" w:customStyle="true">
    <w:name w:val="Tabulka text13"/>
    <w:uiPriority w:val="6"/>
    <w:qFormat/>
    <w:rsid w:val="009A4A3D"/>
    <w:pPr>
      <w:spacing w:before="60" w:after="60" w:line="240" w:lineRule="auto"/>
      <w:ind w:left="57" w:right="57"/>
    </w:pPr>
    <w:rPr>
      <w:sz w:val="20"/>
    </w:rPr>
  </w:style>
  <w:style w:type="paragraph" w:styleId="txt" w:customStyle="true">
    <w:name w:val="txt"/>
    <w:basedOn w:val="Normln"/>
    <w:rsid w:val="00E62B8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E62B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5F0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5F03"/>
  </w:style>
  <w:style w:type="paragraph" w:styleId="Zpat">
    <w:name w:val="footer"/>
    <w:basedOn w:val="Normln"/>
    <w:link w:val="ZpatChar"/>
    <w:uiPriority w:val="99"/>
    <w:unhideWhenUsed/>
    <w:rsid w:val="00355F0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5F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54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9254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D4500"/>
    <w:pPr>
      <w:spacing w:after="0" w:line="240" w:lineRule="auto"/>
    </w:pPr>
  </w:style>
  <w:style w:type="character" w:styleId="OdstavecseseznamemChar" w:customStyle="true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EC0C51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4525B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4525B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4525B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A434DA"/>
    <w:pPr>
      <w:keepNext/>
      <w:keepLines/>
      <w:numPr>
        <w:numId w:val="9"/>
      </w:numPr>
      <w:spacing w:after="120" w:before="120"/>
      <w:outlineLvl w:val="2"/>
    </w:pPr>
    <w:rPr>
      <w:rFonts w:ascii="Arial" w:cstheme="majorBidi" w:eastAsiaTheme="majorEastAsia" w:hAnsi="Arial"/>
      <w:b/>
      <w:bCs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F4525B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F4525B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F4525B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F4525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F4525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F4525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4525B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4525B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A434DA"/>
    <w:rPr>
      <w:rFonts w:ascii="Arial" w:cstheme="majorBidi" w:eastAsiaTheme="majorEastAsia" w:hAnsi="Arial"/>
      <w:b/>
      <w:bCs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4525B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F4525B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F4525B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F4525B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F4525B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F4525B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Odkaznakoment" w:type="character">
    <w:name w:val="annotation reference"/>
    <w:basedOn w:val="Standardnpsmoodstavce"/>
    <w:uiPriority w:val="99"/>
    <w:semiHidden/>
    <w:unhideWhenUsed/>
    <w:rsid w:val="00F4525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F4525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F4525B"/>
    <w:rPr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4525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4525B"/>
    <w:rPr>
      <w:rFonts w:ascii="Tahoma" w:cs="Tahoma" w:hAnsi="Tahoma"/>
      <w:sz w:val="16"/>
      <w:szCs w:val="16"/>
    </w:rPr>
  </w:style>
  <w:style w:customStyle="1" w:styleId="Default" w:type="paragraph">
    <w:name w:val="Default"/>
    <w:rsid w:val="00DE61F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DE61FB"/>
    <w:pPr>
      <w:jc w:val="left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DE61FB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DE61FB"/>
    <w:rPr>
      <w:vertAlign w:val="superscript"/>
    </w:rPr>
  </w:style>
  <w:style w:customStyle="1" w:styleId="Tabulkatext13" w:type="paragraph">
    <w:name w:val="Tabulka text13"/>
    <w:uiPriority w:val="6"/>
    <w:qFormat/>
    <w:rsid w:val="009A4A3D"/>
    <w:pPr>
      <w:spacing w:after="60" w:before="60" w:line="240" w:lineRule="auto"/>
      <w:ind w:left="57" w:right="57"/>
    </w:pPr>
    <w:rPr>
      <w:sz w:val="20"/>
    </w:rPr>
  </w:style>
  <w:style w:customStyle="1" w:styleId="txt" w:type="paragraph">
    <w:name w:val="txt"/>
    <w:basedOn w:val="Normln"/>
    <w:rsid w:val="00E62B8B"/>
    <w:pPr>
      <w:spacing w:after="120"/>
      <w:ind w:firstLine="357"/>
    </w:pPr>
    <w:rPr>
      <w:rFonts w:ascii="Arial" w:cs="Times New Roman" w:eastAsia="Times New Roman" w:hAnsi="Arial"/>
      <w:szCs w:val="24"/>
      <w:lang w:eastAsia="cs-CZ"/>
    </w:rPr>
  </w:style>
  <w:style w:styleId="Odstavecseseznamem" w:type="paragraph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E62B8B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355F0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355F03"/>
  </w:style>
  <w:style w:styleId="Zpat" w:type="paragraph">
    <w:name w:val="footer"/>
    <w:basedOn w:val="Normln"/>
    <w:link w:val="ZpatChar"/>
    <w:uiPriority w:val="99"/>
    <w:unhideWhenUsed/>
    <w:rsid w:val="00355F0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355F03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9254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92542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2D4500"/>
    <w:pPr>
      <w:spacing w:after="0" w:line="240" w:lineRule="auto"/>
    </w:pPr>
  </w:style>
  <w:style w:customStyle="1" w:styleId="OdstavecseseznamemChar" w:type="characte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EC0C5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9EA9F88-558B-4E22-BF81-FCECF97B6D9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3070</properties:Words>
  <properties:Characters>18115</properties:Characters>
  <properties:Lines>150</properties:Lines>
  <properties:Paragraphs>42</properties:Paragraphs>
  <properties:TotalTime>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21143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2017-03-17T13:04:00Z</dcterms:created>
  <dc:creator/>
  <cp:lastModifiedBy/>
  <dcterms:modified xmlns:xsi="http://www.w3.org/2001/XMLSchema-instance" xsi:type="dcterms:W3CDTF">2017-03-20T09:14:00Z</dcterms:modified>
  <cp:revision>16</cp:revision>
</cp:coreProperties>
</file>