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FD7D5E">
            <w:pPr>
              <w:pStyle w:val="Tabulkatext"/>
              <w:rPr>
                <w:b/>
              </w:rPr>
            </w:pPr>
            <w:r w:rsidRPr="00FD7D5E">
              <w:rPr>
                <w:b/>
              </w:rPr>
              <w:t>11317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FD7D5E">
            <w:pPr>
              <w:pStyle w:val="Tabulkatext"/>
              <w:rPr>
                <w:b/>
              </w:rPr>
            </w:pPr>
            <w:r w:rsidRPr="00FD7D5E">
              <w:rPr>
                <w:b/>
              </w:rPr>
              <w:t>Dodávka služeb GIS pro město Rotava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FD7D5E" w:rsidRDefault="00FD7D5E">
            <w:pPr>
              <w:pStyle w:val="Tabulkatext"/>
            </w:pPr>
            <w:r w:rsidRPr="00FD7D5E">
              <w:t xml:space="preserve">CZ.03.4.74/0.0/0.0/16_033/0002904 </w:t>
            </w:r>
            <w:r>
              <w:t xml:space="preserve">   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FD7D5E">
            <w:pPr>
              <w:pStyle w:val="Tabulkatext"/>
              <w:rPr>
                <w:b/>
              </w:rPr>
            </w:pPr>
            <w:r w:rsidRPr="00FD7D5E">
              <w:rPr>
                <w:b/>
              </w:rPr>
              <w:t>Optimalizace procesů ve veřejné správě a životních podmínek občanů Rotavy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FD7D5E">
            <w:pPr>
              <w:pStyle w:val="Tabulkatext"/>
            </w:pPr>
            <w:r>
              <w:t>Město Rotava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FD7D5E">
            <w:pPr>
              <w:pStyle w:val="Tabulkatext"/>
            </w:pPr>
            <w:r w:rsidRPr="00FD7D5E">
              <w:t>Sídliště 721, 357 01 Rotava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FD7D5E">
            <w:pPr>
              <w:pStyle w:val="Tabulkatext"/>
            </w:pPr>
            <w:r w:rsidRPr="00FD7D5E">
              <w:t>00259551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FD7D5E">
            <w:pPr>
              <w:pStyle w:val="Tabulkatext"/>
            </w:pPr>
            <w:r>
              <w:t>Iva Kalátová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E8761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Vysvětlení změny zadávacích podmínek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A54B1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  <w:r w:rsidR="00FD7D5E">
              <w:rPr>
                <w:b/>
                <w:bCs/>
              </w:rPr>
              <w:t xml:space="preserve">: </w:t>
            </w:r>
            <w:r w:rsidRPr="00FD7D5E" w:rsidR="00FD7D5E">
              <w:rPr>
                <w:bCs/>
              </w:rPr>
              <w:t xml:space="preserve">Ve výzvě a </w:t>
            </w:r>
            <w:r w:rsidR="00FD7D5E">
              <w:rPr>
                <w:bCs/>
              </w:rPr>
              <w:t>příloze č.2 - Smlouva</w:t>
            </w:r>
            <w:r w:rsidRPr="00FD7D5E" w:rsidR="00FD7D5E">
              <w:rPr>
                <w:bCs/>
              </w:rPr>
              <w:t xml:space="preserve"> byl </w:t>
            </w:r>
            <w:r w:rsidR="00A54B18">
              <w:rPr>
                <w:bCs/>
              </w:rPr>
              <w:t xml:space="preserve">zjištěn </w:t>
            </w:r>
            <w:r w:rsidRPr="00FD7D5E" w:rsidR="00FD7D5E">
              <w:rPr>
                <w:bCs/>
              </w:rPr>
              <w:t>nesoulad v technické specifikaci – v kapitole</w:t>
            </w:r>
            <w:r w:rsidR="00FD7D5E">
              <w:rPr>
                <w:b/>
                <w:bCs/>
              </w:rPr>
              <w:t xml:space="preserve"> </w:t>
            </w:r>
            <w:r w:rsidR="00FD7D5E">
              <w:rPr>
                <w:rFonts w:ascii="ArialMT" w:hAnsi="ArialMT" w:cs="ArialMT"/>
                <w:szCs w:val="20"/>
              </w:rPr>
              <w:t xml:space="preserve">Závazná specifikace a množství předmětu plnění, na řádku 9, bylo uvedeno, že systém bude dodán v povedení „v síťové verzi a v provedení pro web“, naproti tomu v kapitole Technické parametry požadovaného GIS je v prvním bodu uvedeno „Veškerá datová úložiště budou uložena v relační databázi „klient-server“. </w:t>
            </w:r>
            <w:r w:rsidR="00A54B18">
              <w:rPr>
                <w:rFonts w:ascii="ArialMT" w:hAnsi="ArialMT" w:cs="ArialMT"/>
                <w:szCs w:val="20"/>
              </w:rPr>
              <w:t>Tento nesoulad byl napraven odstraněním textu „v síťové verzi a“.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Pr="003E1560" w:rsidR="003E1560" w:rsidP="003E1560" w:rsidRDefault="003E1560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="00E87617">
              <w:rPr>
                <w:rFonts w:ascii="Arial" w:hAnsi="Arial" w:cs="Arial"/>
                <w:sz w:val="20"/>
                <w:szCs w:val="20"/>
              </w:rPr>
              <w:t>Rotavě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="00E87617">
              <w:rPr>
                <w:rFonts w:ascii="Arial" w:hAnsi="Arial" w:cs="Arial"/>
                <w:sz w:val="20"/>
                <w:szCs w:val="20"/>
                <w:highlight w:val="lightGray"/>
              </w:rPr>
              <w:t>19.7.2017</w:t>
            </w:r>
            <w:bookmarkStart w:name="_GoBack" w:id="0"/>
            <w:bookmarkEnd w:id="0"/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F13C5" w:rsidP="00744469" w:rsidRDefault="008F13C5">
      <w:pPr>
        <w:spacing w:after="0"/>
      </w:pPr>
      <w:r>
        <w:separator/>
      </w:r>
    </w:p>
  </w:endnote>
  <w:endnote w:type="continuationSeparator" w:id="0">
    <w:p w:rsidR="008F13C5" w:rsidP="00744469" w:rsidRDefault="008F13C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87617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87617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F13C5" w:rsidP="00744469" w:rsidRDefault="008F13C5">
      <w:pPr>
        <w:spacing w:after="0"/>
      </w:pPr>
      <w:r>
        <w:separator/>
      </w:r>
    </w:p>
  </w:footnote>
  <w:footnote w:type="continuationSeparator" w:id="0">
    <w:p w:rsidR="008F13C5" w:rsidP="00744469" w:rsidRDefault="008F13C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13C5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54B18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87617"/>
    <w:rsid w:val="00E90E13"/>
    <w:rsid w:val="00E915D8"/>
    <w:rsid w:val="00EA17D9"/>
    <w:rsid w:val="00EA35B3"/>
    <w:rsid w:val="00EB1A20"/>
    <w:rsid w:val="00EB33C3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D7D5E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10E6830B-2A1E-46AC-94D6-EF63406951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C1BC403-BF4A-4933-B1F2-BEAFA328CE4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176</properties:Words>
  <properties:Characters>1041</properties:Characters>
  <properties:Lines>8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2016-10-12T10:23:00Z</dcterms:created>
  <dc:creator/>
  <cp:lastModifiedBy/>
  <dcterms:modified xmlns:xsi="http://www.w3.org/2001/XMLSchema-instance" xsi:type="dcterms:W3CDTF">2017-07-19T14:11:00Z</dcterms:modified>
  <cp:revision>4</cp:revision>
</cp:coreProperties>
</file>