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50090" w:rsidR="005C6C32" w:rsidP="00D92737" w:rsidRDefault="005C6C32" w14:paraId="50474A4A" w14:textId="77777777">
      <w:pPr>
        <w:rPr>
          <w:b/>
          <w:sz w:val="24"/>
          <w:szCs w:val="24"/>
        </w:rPr>
      </w:pPr>
      <w:r w:rsidRPr="00E50090">
        <w:rPr>
          <w:b/>
          <w:sz w:val="24"/>
          <w:szCs w:val="24"/>
        </w:rPr>
        <w:t>Výzva k podání nabídek, na kterou se nevztahuje</w:t>
      </w:r>
      <w:r w:rsidRPr="00E50090" w:rsidR="00E14E40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1"/>
        <w:gridCol w:w="5726"/>
      </w:tblGrid>
      <w:tr w:rsidRPr="00E50090" w:rsidR="005C6C32" w:rsidTr="00415C03" w14:paraId="0168EA0F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C61C88" w:rsidRDefault="005C6C32" w14:paraId="59F9D8F1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Číslo zakázky </w:t>
            </w:r>
            <w:r w:rsidRPr="00E50090">
              <w:t>(bude doplněno MPSV při uveřejnění)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C61C88" w:rsidRDefault="005C6C32" w14:paraId="61046A25" w14:textId="77777777">
            <w:pPr>
              <w:pStyle w:val="Tabulkatext"/>
              <w:rPr>
                <w:b/>
              </w:rPr>
            </w:pPr>
          </w:p>
        </w:tc>
      </w:tr>
      <w:tr w:rsidRPr="00E50090" w:rsidR="005C6C32" w:rsidTr="00415C03" w14:paraId="4C49A303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C61C88" w:rsidRDefault="005C6C32" w14:paraId="30E7E20B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C61C88" w:rsidRDefault="00C7248E" w14:paraId="4AD79A5C" w14:textId="77777777">
            <w:pPr>
              <w:pStyle w:val="Tabulkatext"/>
              <w:rPr>
                <w:b/>
              </w:rPr>
            </w:pPr>
            <w:r>
              <w:rPr>
                <w:b/>
              </w:rPr>
              <w:t xml:space="preserve">Zefektivnění činnosti orgánů města Modřice – </w:t>
            </w:r>
            <w:r w:rsidR="00EF50A5">
              <w:rPr>
                <w:b/>
              </w:rPr>
              <w:t>služby</w:t>
            </w:r>
            <w:r w:rsidR="0064006B">
              <w:rPr>
                <w:b/>
              </w:rPr>
              <w:t xml:space="preserve"> – personální audit</w:t>
            </w:r>
          </w:p>
        </w:tc>
      </w:tr>
      <w:tr w:rsidRPr="00E50090" w:rsidR="005C6C32" w:rsidTr="00415C03" w14:paraId="4EC93010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C61C88" w:rsidRDefault="005C6C32" w14:paraId="3FFF7551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C61C88" w:rsidRDefault="00D11E6E" w14:paraId="46448C5A" w14:textId="77777777">
            <w:pPr>
              <w:pStyle w:val="Tabulkatext"/>
              <w:rPr>
                <w:b/>
              </w:rPr>
            </w:pPr>
            <w:r>
              <w:rPr>
                <w:b/>
              </w:rPr>
              <w:t>S</w:t>
            </w:r>
            <w:r w:rsidR="00C7248E">
              <w:rPr>
                <w:b/>
              </w:rPr>
              <w:t>lužba</w:t>
            </w:r>
          </w:p>
        </w:tc>
      </w:tr>
      <w:tr w:rsidRPr="00E50090" w:rsidR="005C6C32" w:rsidTr="00415C03" w14:paraId="35AAE996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C61C88" w:rsidRDefault="00E14E40" w14:paraId="1745A7B6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Datum vyhlášení </w:t>
            </w:r>
            <w:r w:rsidRPr="00E50090" w:rsidR="004B48DE">
              <w:rPr>
                <w:b/>
                <w:bCs/>
              </w:rPr>
              <w:t>výzvy k 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746544" w:rsidRDefault="00746544" w14:paraId="663FB90C" w14:textId="32410CC6">
            <w:pPr>
              <w:pStyle w:val="Tabulkatext"/>
              <w:rPr>
                <w:b/>
              </w:rPr>
            </w:pPr>
            <w:r w:rsidRPr="00746544">
              <w:rPr>
                <w:b/>
              </w:rPr>
              <w:t>27</w:t>
            </w:r>
            <w:r w:rsidRPr="00746544" w:rsidR="00C7248E">
              <w:rPr>
                <w:b/>
              </w:rPr>
              <w:t>.</w:t>
            </w:r>
            <w:r w:rsidR="00115DEF">
              <w:rPr>
                <w:b/>
              </w:rPr>
              <w:t xml:space="preserve"> </w:t>
            </w:r>
            <w:r w:rsidRPr="00746544">
              <w:rPr>
                <w:b/>
              </w:rPr>
              <w:t>7</w:t>
            </w:r>
            <w:r w:rsidRPr="00746544" w:rsidR="00C7248E">
              <w:rPr>
                <w:b/>
              </w:rPr>
              <w:t>.</w:t>
            </w:r>
            <w:r w:rsidR="00115DEF">
              <w:rPr>
                <w:b/>
              </w:rPr>
              <w:t xml:space="preserve"> </w:t>
            </w:r>
            <w:r w:rsidRPr="00746544" w:rsidR="00C7248E">
              <w:rPr>
                <w:b/>
              </w:rPr>
              <w:t>2017</w:t>
            </w:r>
          </w:p>
        </w:tc>
      </w:tr>
      <w:tr w:rsidRPr="00E50090" w:rsidR="005C6C32" w:rsidTr="00415C03" w14:paraId="6608829A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C61C88" w:rsidRDefault="00E14E40" w14:paraId="78CFEC5E" w14:textId="77777777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E50090" w:rsidR="000C0FA8" w:rsidP="00C61C88" w:rsidRDefault="00C7248E" w14:paraId="5BABB9EC" w14:textId="77777777">
            <w:pPr>
              <w:pStyle w:val="Tabulkatext"/>
            </w:pPr>
            <w:r>
              <w:t>CZ.03.4.74/0.0</w:t>
            </w:r>
            <w:r w:rsidR="0064006B">
              <w:t>/0.0</w:t>
            </w:r>
            <w:r>
              <w:t>/16_033/0002823</w:t>
            </w:r>
          </w:p>
        </w:tc>
      </w:tr>
      <w:tr w:rsidRPr="00E50090" w:rsidR="005C6C32" w:rsidTr="00415C03" w14:paraId="13F74E2A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C61C88" w:rsidRDefault="00E14E40" w14:paraId="6F872F0D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C61C88" w:rsidRDefault="00C7248E" w14:paraId="3024EF26" w14:textId="77777777">
            <w:pPr>
              <w:pStyle w:val="Tabulkatext"/>
              <w:rPr>
                <w:b/>
              </w:rPr>
            </w:pPr>
            <w:r>
              <w:rPr>
                <w:b/>
              </w:rPr>
              <w:t>Zefektivnění činnosti orgánů města Modřice</w:t>
            </w:r>
          </w:p>
        </w:tc>
      </w:tr>
      <w:tr w:rsidRPr="00E50090" w:rsidR="005C6C32" w:rsidTr="00415C03" w14:paraId="645D1036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C61C88" w:rsidRDefault="005C6C32" w14:paraId="117E4E11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C61C88" w:rsidRDefault="00C7248E" w14:paraId="3585AD7B" w14:textId="77777777">
            <w:pPr>
              <w:pStyle w:val="Tabulkatext"/>
            </w:pPr>
            <w:r>
              <w:t>Město Modřice</w:t>
            </w:r>
          </w:p>
        </w:tc>
      </w:tr>
      <w:tr w:rsidRPr="00E50090" w:rsidR="005C6C32" w:rsidTr="00415C03" w14:paraId="7DC53460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C61C88" w:rsidRDefault="005C6C32" w14:paraId="6143E139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C61C88" w:rsidRDefault="00C7248E" w14:paraId="04244058" w14:textId="77777777">
            <w:pPr>
              <w:pStyle w:val="Tabulkatext"/>
            </w:pPr>
            <w:r>
              <w:t>Náměstí Svobody 93, 664 42 Modřice</w:t>
            </w:r>
          </w:p>
        </w:tc>
      </w:tr>
      <w:tr w:rsidRPr="00E50090" w:rsidR="005C6C32" w:rsidTr="00415C03" w14:paraId="50C73E29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C61C88" w:rsidRDefault="005C6C32" w14:paraId="117740DD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</w:t>
            </w:r>
            <w:r w:rsidRPr="00E50090" w:rsidR="00E14E40">
              <w:rPr>
                <w:b/>
                <w:bCs/>
              </w:rPr>
              <w:t xml:space="preserve">její telefon </w:t>
            </w:r>
            <w:r w:rsidRPr="00E50090" w:rsidR="00B3216D">
              <w:rPr>
                <w:b/>
                <w:bCs/>
              </w:rPr>
              <w:br/>
            </w:r>
            <w:r w:rsidRPr="00E50090" w:rsidR="00E14E40">
              <w:rPr>
                <w:b/>
                <w:bCs/>
              </w:rPr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5C6C32" w:rsidP="00C61C88" w:rsidRDefault="00C7248E" w14:paraId="270006AC" w14:textId="77777777">
            <w:pPr>
              <w:pStyle w:val="Tabulkatext"/>
            </w:pPr>
            <w:r>
              <w:t>Ing. Josef Šiška</w:t>
            </w:r>
          </w:p>
          <w:p w:rsidRPr="00E50090" w:rsidR="00C7248E" w:rsidP="00C61C88" w:rsidRDefault="00C7248E" w14:paraId="470CCAA7" w14:textId="77777777">
            <w:pPr>
              <w:pStyle w:val="Tabulkatext"/>
            </w:pPr>
            <w:r>
              <w:t>+420 537 001 012</w:t>
            </w:r>
          </w:p>
        </w:tc>
      </w:tr>
      <w:tr w:rsidRPr="00E50090" w:rsidR="005C6C32" w:rsidTr="00415C03" w14:paraId="3FE2EC61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C61C88" w:rsidRDefault="00E14E40" w14:paraId="06A88E67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C61C88" w:rsidRDefault="00C7248E" w14:paraId="0B6BC14A" w14:textId="77777777">
            <w:pPr>
              <w:pStyle w:val="Tabulkatext"/>
            </w:pPr>
            <w:r>
              <w:t>00282103</w:t>
            </w:r>
          </w:p>
        </w:tc>
      </w:tr>
      <w:tr w:rsidRPr="00E50090" w:rsidR="005C6C32" w:rsidTr="00415C03" w14:paraId="7E30AA93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C61C88" w:rsidRDefault="005C6C32" w14:paraId="7F931D6D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5C6C32" w:rsidP="00C61C88" w:rsidRDefault="00C7248E" w14:paraId="49DCD6C8" w14:textId="77777777">
            <w:pPr>
              <w:pStyle w:val="Tabulkatext"/>
            </w:pPr>
            <w:r>
              <w:t>Ing. Anna Kroulíková</w:t>
            </w:r>
          </w:p>
          <w:p w:rsidR="00C7248E" w:rsidP="00C61C88" w:rsidRDefault="00C7248E" w14:paraId="38289DFC" w14:textId="77777777">
            <w:pPr>
              <w:pStyle w:val="Tabulkatext"/>
            </w:pPr>
            <w:r>
              <w:t>DEA Energetická agentura, s.r.o.</w:t>
            </w:r>
          </w:p>
          <w:p w:rsidR="00C7248E" w:rsidP="00C61C88" w:rsidRDefault="00C7248E" w14:paraId="09419289" w14:textId="77777777">
            <w:pPr>
              <w:pStyle w:val="Tabulkatext"/>
            </w:pPr>
            <w:r>
              <w:t>+420 727 952 582</w:t>
            </w:r>
          </w:p>
          <w:p w:rsidRPr="00E50090" w:rsidR="00C7248E" w:rsidP="00C61C88" w:rsidRDefault="00240D24" w14:paraId="339F37E9" w14:textId="77777777">
            <w:pPr>
              <w:pStyle w:val="Tabulkatext"/>
            </w:pPr>
            <w:hyperlink w:history="true" r:id="rId8">
              <w:r w:rsidRPr="00027238" w:rsidR="00EB1223">
                <w:rPr>
                  <w:rStyle w:val="Hypertextovodkaz"/>
                </w:rPr>
                <w:t>zakazky@dea.cz</w:t>
              </w:r>
            </w:hyperlink>
          </w:p>
        </w:tc>
      </w:tr>
      <w:tr w:rsidRPr="00E50090" w:rsidR="005C6C32" w:rsidTr="00415C03" w14:paraId="6DC55052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C61C88" w:rsidRDefault="00B3216D" w14:paraId="2C0CCDCD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C61C88" w:rsidRDefault="00746544" w14:paraId="024009D1" w14:textId="075B5722">
            <w:pPr>
              <w:pStyle w:val="Tabulkatext"/>
            </w:pPr>
            <w:r w:rsidRPr="00746544">
              <w:rPr>
                <w:b/>
              </w:rPr>
              <w:t>9.</w:t>
            </w:r>
            <w:r w:rsidR="00115DEF">
              <w:rPr>
                <w:b/>
              </w:rPr>
              <w:t xml:space="preserve"> </w:t>
            </w:r>
            <w:r w:rsidRPr="00746544">
              <w:rPr>
                <w:b/>
              </w:rPr>
              <w:t>8</w:t>
            </w:r>
            <w:r w:rsidRPr="00746544" w:rsidR="00E7153A">
              <w:rPr>
                <w:b/>
              </w:rPr>
              <w:t>.</w:t>
            </w:r>
            <w:r w:rsidR="00115DEF">
              <w:rPr>
                <w:b/>
              </w:rPr>
              <w:t xml:space="preserve"> </w:t>
            </w:r>
            <w:r w:rsidRPr="00746544" w:rsidR="00E7153A">
              <w:rPr>
                <w:b/>
              </w:rPr>
              <w:t>2017</w:t>
            </w:r>
            <w:r w:rsidR="00036E15">
              <w:rPr>
                <w:b/>
              </w:rPr>
              <w:t>, 10:00 hod.</w:t>
            </w:r>
          </w:p>
        </w:tc>
      </w:tr>
      <w:tr w:rsidRPr="00E50090" w:rsidR="005C6C32" w:rsidTr="00415C03" w14:paraId="4C0C5FED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C61C88" w:rsidRDefault="005C6C32" w14:paraId="45A738E0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7E7BC3" w:rsidP="0064006B" w:rsidRDefault="007E7BC3" w14:paraId="3B3DC71C" w14:textId="39EE4A24">
            <w:pPr>
              <w:pStyle w:val="Tabulkatext"/>
            </w:pPr>
            <w:r>
              <w:t xml:space="preserve">Modřice – </w:t>
            </w:r>
            <w:r w:rsidR="00E41B38">
              <w:t>Městs</w:t>
            </w:r>
            <w:r>
              <w:t xml:space="preserve">ký úřad, </w:t>
            </w:r>
            <w:r w:rsidRPr="007E7BC3">
              <w:t>náměstí Svobody 93, 664 42 Modřice</w:t>
            </w:r>
            <w:r w:rsidR="00743CC6">
              <w:t>, osobní podání</w:t>
            </w:r>
            <w:r w:rsidRPr="007E7BC3">
              <w:t xml:space="preserve"> v úředních hodinách pondělí, středa: 08:00-12:00, 12:30-17:00 hodin; úterý, čtvrtek: 08:00-1</w:t>
            </w:r>
            <w:r w:rsidR="009A3FFC">
              <w:t>2</w:t>
            </w:r>
            <w:r w:rsidRPr="007E7BC3">
              <w:t>:</w:t>
            </w:r>
            <w:r w:rsidR="009A3FFC">
              <w:t>0</w:t>
            </w:r>
            <w:r w:rsidR="00A67C28">
              <w:t xml:space="preserve">0 hodin </w:t>
            </w:r>
            <w:bookmarkStart w:name="_GoBack" w:id="0"/>
            <w:bookmarkEnd w:id="0"/>
          </w:p>
        </w:tc>
      </w:tr>
      <w:tr w:rsidRPr="00E50090" w:rsidR="00E14E40" w:rsidTr="00415C03" w14:paraId="64BA4E37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C61C88" w:rsidRDefault="00E14E40" w14:paraId="11C8F060" w14:textId="77777777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E14E40" w:rsidTr="00415C03" w14:paraId="036A1E6E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DC6BF7" w:rsidP="00C61C88" w:rsidRDefault="00DC6BF7" w14:paraId="46997F5F" w14:textId="77777777">
            <w:pPr>
              <w:pStyle w:val="Tabulkatext"/>
              <w:spacing w:before="0" w:after="0"/>
              <w:ind w:left="0"/>
            </w:pPr>
          </w:p>
          <w:p w:rsidRPr="00220697" w:rsidR="00DC6BF7" w:rsidP="00C61C88" w:rsidRDefault="0064006B" w14:paraId="09B84126" w14:textId="29F9C020">
            <w:pPr>
              <w:pStyle w:val="Tabulkatext"/>
              <w:spacing w:before="0" w:after="0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Předmětem zakázky je o</w:t>
            </w:r>
            <w:r w:rsidRPr="00220697" w:rsidR="00DC6BF7">
              <w:rPr>
                <w:b/>
                <w:u w:val="single"/>
              </w:rPr>
              <w:t>věření vhodnosti personálního rozložení jednotlivých vytvořených funkčních míst</w:t>
            </w:r>
          </w:p>
          <w:p w:rsidR="00DC6BF7" w:rsidP="00C61C88" w:rsidRDefault="00DC6BF7" w14:paraId="7CA7F5EA" w14:textId="77777777">
            <w:pPr>
              <w:pStyle w:val="Tabulkatext"/>
              <w:spacing w:before="0" w:after="0"/>
              <w:ind w:left="0"/>
            </w:pPr>
            <w:r>
              <w:t>Cílem personálního auditu města</w:t>
            </w:r>
            <w:r w:rsidR="002C7AF9">
              <w:t xml:space="preserve"> (PA)</w:t>
            </w:r>
            <w:r>
              <w:t xml:space="preserve"> Modřice je zjistit, zdali:</w:t>
            </w:r>
          </w:p>
          <w:p w:rsidR="00DC6BF7" w:rsidP="00C61C88" w:rsidRDefault="00DC6BF7" w14:paraId="52920B2B" w14:textId="77777777">
            <w:pPr>
              <w:pStyle w:val="Tabulkatext"/>
              <w:spacing w:before="0" w:after="0"/>
              <w:ind w:left="0"/>
            </w:pPr>
            <w:r w:rsidRPr="00DC6BF7">
              <w:t>-</w:t>
            </w:r>
            <w:r>
              <w:t xml:space="preserve"> je v těchto orgánech a složkách optimální počet zaměstnanců;</w:t>
            </w:r>
          </w:p>
          <w:p w:rsidR="00DC6BF7" w:rsidP="00C61C88" w:rsidRDefault="00DC6BF7" w14:paraId="47C33F85" w14:textId="77777777">
            <w:pPr>
              <w:pStyle w:val="Tabulkatext"/>
              <w:spacing w:before="0" w:after="0"/>
              <w:ind w:left="0"/>
            </w:pPr>
            <w:r>
              <w:t xml:space="preserve">- jsou zaměstnanci schopni vykonávat svěřenou funkci (zejména vedoucí a řídící pracovníci); </w:t>
            </w:r>
          </w:p>
          <w:p w:rsidR="00DC6BF7" w:rsidP="00C61C88" w:rsidRDefault="00DC6BF7" w14:paraId="2868B56C" w14:textId="77777777">
            <w:pPr>
              <w:pStyle w:val="Tabulkatext"/>
              <w:spacing w:before="0" w:after="0"/>
              <w:ind w:left="0"/>
            </w:pPr>
            <w:r>
              <w:t>- je nutné přijmout případné změny ve funkcích, kde bude zjištěn nějaký rizikový faktor</w:t>
            </w:r>
          </w:p>
          <w:p w:rsidR="006C5040" w:rsidP="00C61C88" w:rsidRDefault="006C5040" w14:paraId="5404BD7C" w14:textId="77777777">
            <w:pPr>
              <w:pStyle w:val="Tabulkatext"/>
              <w:spacing w:before="0" w:after="0"/>
              <w:ind w:left="0"/>
            </w:pPr>
          </w:p>
          <w:p w:rsidRPr="00DC6BF7" w:rsidR="005D51FF" w:rsidP="005D51FF" w:rsidRDefault="005D51FF" w14:paraId="54E6224D" w14:textId="77777777">
            <w:pPr>
              <w:spacing w:after="0"/>
              <w:rPr>
                <w:sz w:val="20"/>
                <w:szCs w:val="20"/>
              </w:rPr>
            </w:pPr>
            <w:r w:rsidRPr="00DC6BF7">
              <w:rPr>
                <w:sz w:val="20"/>
                <w:szCs w:val="20"/>
              </w:rPr>
              <w:t xml:space="preserve">Personálním auditem by měli postupně projít všichni zaměstnanci města, s následujícím </w:t>
            </w:r>
            <w:r>
              <w:rPr>
                <w:sz w:val="20"/>
                <w:szCs w:val="20"/>
              </w:rPr>
              <w:t xml:space="preserve">předpokládaným </w:t>
            </w:r>
            <w:r w:rsidRPr="00DC6BF7">
              <w:rPr>
                <w:sz w:val="20"/>
                <w:szCs w:val="20"/>
              </w:rPr>
              <w:t>harmonogramem:</w:t>
            </w:r>
          </w:p>
          <w:p w:rsidRPr="00DC6BF7" w:rsidR="005D51FF" w:rsidP="005D51FF" w:rsidRDefault="00483F97" w14:paraId="1BBEBF2A" w14:textId="0A8C724A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 čtvrtletí</w:t>
            </w:r>
            <w:r w:rsidRPr="00DC6BF7" w:rsidR="005D51FF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7</w:t>
            </w:r>
            <w:r w:rsidRPr="00DC6BF7" w:rsidR="005D51FF">
              <w:rPr>
                <w:sz w:val="20"/>
                <w:szCs w:val="20"/>
              </w:rPr>
              <w:t xml:space="preserve"> –</w:t>
            </w:r>
            <w:r w:rsidR="005D51FF">
              <w:rPr>
                <w:sz w:val="20"/>
                <w:szCs w:val="20"/>
              </w:rPr>
              <w:t xml:space="preserve"> </w:t>
            </w:r>
            <w:r w:rsidRPr="00DC6BF7" w:rsidR="005D51FF">
              <w:rPr>
                <w:sz w:val="20"/>
                <w:szCs w:val="20"/>
              </w:rPr>
              <w:t xml:space="preserve">realizace personálního auditu </w:t>
            </w:r>
            <w:r w:rsidR="005D51FF">
              <w:rPr>
                <w:sz w:val="20"/>
                <w:szCs w:val="20"/>
              </w:rPr>
              <w:t>Městs</w:t>
            </w:r>
            <w:r w:rsidRPr="00DC6BF7" w:rsidR="005D51FF">
              <w:rPr>
                <w:sz w:val="20"/>
                <w:szCs w:val="20"/>
              </w:rPr>
              <w:t>ké policie Modřice</w:t>
            </w:r>
            <w:r w:rsidR="005D51FF">
              <w:rPr>
                <w:sz w:val="20"/>
                <w:szCs w:val="20"/>
              </w:rPr>
              <w:t xml:space="preserve"> – 10 osob</w:t>
            </w:r>
          </w:p>
          <w:p w:rsidRPr="00DC6BF7" w:rsidR="005D51FF" w:rsidP="005D51FF" w:rsidRDefault="00483F97" w14:paraId="7FB863E7" w14:textId="0313291D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čtvrtletí </w:t>
            </w:r>
            <w:r w:rsidRPr="00F65B8C" w:rsidR="005D51FF">
              <w:rPr>
                <w:sz w:val="20"/>
                <w:szCs w:val="20"/>
              </w:rPr>
              <w:t>201</w:t>
            </w:r>
            <w:r w:rsidR="005D51FF">
              <w:rPr>
                <w:sz w:val="20"/>
                <w:szCs w:val="20"/>
              </w:rPr>
              <w:t>8</w:t>
            </w:r>
            <w:r w:rsidRPr="00F65B8C" w:rsidR="005D51FF">
              <w:rPr>
                <w:sz w:val="20"/>
                <w:szCs w:val="20"/>
              </w:rPr>
              <w:t xml:space="preserve"> – realizace personálního</w:t>
            </w:r>
            <w:r w:rsidRPr="00DC6BF7" w:rsidR="005D51FF">
              <w:rPr>
                <w:sz w:val="20"/>
                <w:szCs w:val="20"/>
              </w:rPr>
              <w:t xml:space="preserve"> auditu MÚ Modřice</w:t>
            </w:r>
            <w:r w:rsidR="005D51FF">
              <w:rPr>
                <w:sz w:val="20"/>
                <w:szCs w:val="20"/>
              </w:rPr>
              <w:t xml:space="preserve"> – 15 osob</w:t>
            </w:r>
          </w:p>
          <w:p w:rsidRPr="00DC6BF7" w:rsidR="005D51FF" w:rsidP="005D51FF" w:rsidRDefault="00483F97" w14:paraId="5FDD9737" w14:textId="46487BEC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čtvrtletí </w:t>
            </w:r>
            <w:r w:rsidRPr="00F65B8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F65B8C">
              <w:rPr>
                <w:sz w:val="20"/>
                <w:szCs w:val="20"/>
              </w:rPr>
              <w:t xml:space="preserve"> </w:t>
            </w:r>
            <w:r w:rsidRPr="00DC6BF7" w:rsidR="005D51FF">
              <w:rPr>
                <w:sz w:val="20"/>
                <w:szCs w:val="20"/>
              </w:rPr>
              <w:t>– realizace personálního auditu u pracovníků údržby a čištění</w:t>
            </w:r>
            <w:r w:rsidR="005D51FF">
              <w:rPr>
                <w:sz w:val="20"/>
                <w:szCs w:val="20"/>
              </w:rPr>
              <w:t xml:space="preserve"> – 6 osob </w:t>
            </w:r>
          </w:p>
          <w:p w:rsidRPr="002C7AF9" w:rsidR="005D51FF" w:rsidP="005D51FF" w:rsidRDefault="00483F97" w14:paraId="52FF1463" w14:textId="723F8AB1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čtvrtletí </w:t>
            </w:r>
            <w:r w:rsidRPr="00F65B8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F65B8C">
              <w:rPr>
                <w:sz w:val="20"/>
                <w:szCs w:val="20"/>
              </w:rPr>
              <w:t xml:space="preserve"> </w:t>
            </w:r>
            <w:r w:rsidRPr="00DC6BF7" w:rsidR="005D51FF">
              <w:rPr>
                <w:sz w:val="20"/>
                <w:szCs w:val="20"/>
              </w:rPr>
              <w:t xml:space="preserve">– realizace personálního auditu u pracovníků Pasivního bytového domu pro </w:t>
            </w:r>
            <w:r w:rsidRPr="002C7AF9" w:rsidR="005D51FF">
              <w:rPr>
                <w:sz w:val="20"/>
                <w:szCs w:val="20"/>
              </w:rPr>
              <w:t>seniory</w:t>
            </w:r>
            <w:r w:rsidR="005D51FF">
              <w:rPr>
                <w:sz w:val="20"/>
                <w:szCs w:val="20"/>
              </w:rPr>
              <w:t xml:space="preserve"> – 11 osob</w:t>
            </w:r>
          </w:p>
          <w:p w:rsidR="005D51FF" w:rsidP="00C61C88" w:rsidRDefault="005D51FF" w14:paraId="1EBDFA06" w14:textId="77777777">
            <w:pPr>
              <w:pStyle w:val="Tabulkatext"/>
              <w:spacing w:before="0" w:after="0"/>
              <w:ind w:left="0"/>
            </w:pPr>
          </w:p>
          <w:p w:rsidR="00DC6BF7" w:rsidP="00C61C88" w:rsidRDefault="00DC6BF7" w14:paraId="792D8CC5" w14:textId="77777777">
            <w:pPr>
              <w:pStyle w:val="Tabulkatext"/>
              <w:spacing w:before="0" w:after="0"/>
              <w:ind w:left="0"/>
            </w:pPr>
            <w:r>
              <w:t>Výstupy personálního auditu jsou:</w:t>
            </w:r>
          </w:p>
          <w:p w:rsidR="006C5040" w:rsidP="00C61C88" w:rsidRDefault="006C5040" w14:paraId="637E648A" w14:textId="77777777">
            <w:pPr>
              <w:pStyle w:val="Tabulkatext"/>
              <w:spacing w:before="0" w:after="0"/>
              <w:ind w:left="0"/>
            </w:pPr>
          </w:p>
          <w:p w:rsidR="00040F9B" w:rsidP="00040F9B" w:rsidRDefault="00040F9B" w14:paraId="02E3EF75" w14:textId="77777777">
            <w:pPr>
              <w:pStyle w:val="Tabulkatext"/>
              <w:spacing w:before="0" w:after="0"/>
              <w:ind w:left="0"/>
            </w:pPr>
            <w:r w:rsidRPr="00040F9B">
              <w:t>A.</w:t>
            </w:r>
            <w:r>
              <w:t xml:space="preserve"> Analýza procesů a směrnic</w:t>
            </w:r>
          </w:p>
          <w:p w:rsidR="00040F9B" w:rsidP="00040F9B" w:rsidRDefault="00040F9B" w14:paraId="7D660F80" w14:textId="77777777">
            <w:pPr>
              <w:pStyle w:val="Tabulkatext"/>
              <w:spacing w:before="0" w:after="0"/>
              <w:ind w:left="0"/>
            </w:pPr>
            <w:r>
              <w:lastRenderedPageBreak/>
              <w:t>- mapování hlavních procesů, určení vlastníka procesu, nároky na zdroje</w:t>
            </w:r>
            <w:r w:rsidR="006C5040">
              <w:t>;</w:t>
            </w:r>
          </w:p>
          <w:p w:rsidR="00040F9B" w:rsidP="00040F9B" w:rsidRDefault="00040F9B" w14:paraId="4F6DA3F4" w14:textId="77777777">
            <w:pPr>
              <w:pStyle w:val="Tabulkatext"/>
              <w:spacing w:before="0" w:after="0"/>
              <w:ind w:left="0"/>
            </w:pPr>
            <w:r>
              <w:t>- mapování vedlejších procesů, určení vlastníka procesu, nároky na zdroje</w:t>
            </w:r>
            <w:r w:rsidR="006C5040">
              <w:t>;</w:t>
            </w:r>
          </w:p>
          <w:p w:rsidR="00040F9B" w:rsidP="00040F9B" w:rsidRDefault="00040F9B" w14:paraId="3C379B30" w14:textId="77777777">
            <w:pPr>
              <w:pStyle w:val="Tabulkatext"/>
              <w:spacing w:before="0" w:after="0"/>
              <w:ind w:left="0"/>
            </w:pPr>
            <w:r>
              <w:t xml:space="preserve">- posouzení pracovní </w:t>
            </w:r>
            <w:r w:rsidR="006C5040">
              <w:t>náplně jednotlivých zaměstnanců;</w:t>
            </w:r>
          </w:p>
          <w:p w:rsidR="00040F9B" w:rsidP="00040F9B" w:rsidRDefault="00040F9B" w14:paraId="3C494838" w14:textId="77777777">
            <w:pPr>
              <w:pStyle w:val="Tabulkatext"/>
              <w:spacing w:before="0" w:after="0"/>
              <w:ind w:left="0"/>
            </w:pPr>
            <w:r>
              <w:t>- vyhodnocení pracovní efektivity (vytíženosti) na jed</w:t>
            </w:r>
            <w:r w:rsidR="006C5040">
              <w:t>notlivých pozicích;</w:t>
            </w:r>
          </w:p>
          <w:p w:rsidR="00040F9B" w:rsidP="00040F9B" w:rsidRDefault="00040F9B" w14:paraId="626466A1" w14:textId="77777777">
            <w:pPr>
              <w:pStyle w:val="Tabulkatext"/>
              <w:spacing w:before="0" w:after="0"/>
              <w:ind w:left="0"/>
            </w:pPr>
            <w:r>
              <w:t>- efektivita využívání pracovní doby</w:t>
            </w:r>
            <w:r w:rsidR="006C5040">
              <w:t>;</w:t>
            </w:r>
          </w:p>
          <w:p w:rsidR="00040F9B" w:rsidP="00040F9B" w:rsidRDefault="00040F9B" w14:paraId="40C229F8" w14:textId="77777777">
            <w:pPr>
              <w:pStyle w:val="Tabulkatext"/>
              <w:spacing w:before="0" w:after="0"/>
              <w:ind w:left="0"/>
            </w:pPr>
            <w:r>
              <w:t xml:space="preserve">- analýza dokumentů směrnic </w:t>
            </w:r>
            <w:r w:rsidR="00E41B38">
              <w:t>Městs</w:t>
            </w:r>
            <w:r>
              <w:t>kého úřadu</w:t>
            </w:r>
            <w:r w:rsidR="006C5040">
              <w:t>.</w:t>
            </w:r>
          </w:p>
          <w:p w:rsidR="006C5040" w:rsidP="00040F9B" w:rsidRDefault="00040F9B" w14:paraId="327ED3BC" w14:textId="6D4C54FA">
            <w:pPr>
              <w:pStyle w:val="Tabulkatext"/>
              <w:spacing w:before="0" w:after="0"/>
              <w:ind w:left="0"/>
            </w:pPr>
            <w:r>
              <w:t>Metody: analýza metodou SIPOC, SWIMLINE analýza, SWOT analýza, snímek pracovního dne</w:t>
            </w:r>
            <w:r w:rsidR="006C5040">
              <w:t>.</w:t>
            </w:r>
          </w:p>
          <w:p w:rsidR="00040F9B" w:rsidP="00040F9B" w:rsidRDefault="00040F9B" w14:paraId="468DB06F" w14:textId="77777777">
            <w:pPr>
              <w:pStyle w:val="Tabulkatext"/>
              <w:spacing w:before="0" w:after="0"/>
              <w:ind w:left="0"/>
            </w:pPr>
            <w:r>
              <w:t>B. Analýza lidských zdrojů</w:t>
            </w:r>
          </w:p>
          <w:p w:rsidR="00040F9B" w:rsidP="00040F9B" w:rsidRDefault="00040F9B" w14:paraId="44B663B2" w14:textId="77777777">
            <w:pPr>
              <w:pStyle w:val="Tabulkatext"/>
              <w:spacing w:before="0" w:after="0"/>
              <w:ind w:left="0"/>
            </w:pPr>
            <w:r>
              <w:t>- hodnocení personálního managementu (personální plánování, vzdělávání, systém hodnocení a odměňování, adaptační plány)</w:t>
            </w:r>
            <w:r w:rsidR="006C5040">
              <w:t>;</w:t>
            </w:r>
          </w:p>
          <w:p w:rsidR="00040F9B" w:rsidP="00040F9B" w:rsidRDefault="00040F9B" w14:paraId="241B878C" w14:textId="77777777">
            <w:pPr>
              <w:pStyle w:val="Tabulkatext"/>
              <w:spacing w:before="0" w:after="0"/>
              <w:ind w:left="0"/>
            </w:pPr>
            <w:r>
              <w:t>- vyhodnocení kvalifikace zaměstnanců (formální i faktické)</w:t>
            </w:r>
            <w:r w:rsidR="006C5040">
              <w:t>;</w:t>
            </w:r>
          </w:p>
          <w:p w:rsidR="00040F9B" w:rsidP="00040F9B" w:rsidRDefault="00040F9B" w14:paraId="4F2BBE34" w14:textId="77777777">
            <w:pPr>
              <w:pStyle w:val="Tabulkatext"/>
              <w:spacing w:before="0" w:after="0"/>
              <w:ind w:left="0"/>
            </w:pPr>
            <w:r>
              <w:t>- kompetenční modely pracovníků</w:t>
            </w:r>
            <w:r w:rsidR="006C5040">
              <w:t>;</w:t>
            </w:r>
          </w:p>
          <w:p w:rsidR="00040F9B" w:rsidP="00040F9B" w:rsidRDefault="00040F9B" w14:paraId="5C2CC182" w14:textId="77777777">
            <w:pPr>
              <w:pStyle w:val="Tabulkatext"/>
              <w:spacing w:before="0" w:after="0"/>
              <w:ind w:left="0"/>
            </w:pPr>
            <w:r>
              <w:t>- silné a slabé stránky jednotlivých pracovníků</w:t>
            </w:r>
            <w:r w:rsidR="00233ECC">
              <w:t>;</w:t>
            </w:r>
          </w:p>
          <w:p w:rsidR="006C5040" w:rsidP="006C5040" w:rsidRDefault="006C5040" w14:paraId="3C08724A" w14:textId="77777777">
            <w:pPr>
              <w:spacing w:after="0"/>
              <w:jc w:val="lef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23F66">
              <w:rPr>
                <w:sz w:val="20"/>
                <w:szCs w:val="20"/>
              </w:rPr>
              <w:t xml:space="preserve">posouzení výkonnosti pracovníků ve vztahu ke stávajícím nebo nově nastaveným procesům a organizaci; </w:t>
            </w:r>
          </w:p>
          <w:p w:rsidRPr="00123F66" w:rsidR="006C5040" w:rsidP="006C5040" w:rsidRDefault="006C5040" w14:paraId="2B156776" w14:textId="77777777">
            <w:pPr>
              <w:spacing w:after="0"/>
              <w:jc w:val="lef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23F66">
              <w:rPr>
                <w:sz w:val="20"/>
                <w:szCs w:val="20"/>
              </w:rPr>
              <w:t xml:space="preserve">posouzení, zda profesní struktura i kompetence zaměstnanců všech kategorií odpovídají definovaným potřebám, strategii a cílům organizace, nalezení dalšího potenciálu rozvoje zaměstnanců; </w:t>
            </w:r>
          </w:p>
          <w:p w:rsidR="006C5040" w:rsidP="006C5040" w:rsidRDefault="006C5040" w14:paraId="6F2EE6E4" w14:textId="77777777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23F66">
              <w:rPr>
                <w:sz w:val="20"/>
                <w:szCs w:val="20"/>
              </w:rPr>
              <w:t>zjišťování potenciálu a rozvojových potřeb vedoucích zaměstnanců, ve smyslu schopnosti řídit svěřený úsek, efektivně zadávat úkoly a kontrolovat jejich plnění.</w:t>
            </w:r>
          </w:p>
          <w:p w:rsidR="00040F9B" w:rsidP="00040F9B" w:rsidRDefault="00040F9B" w14:paraId="755CAE8A" w14:textId="77777777">
            <w:pPr>
              <w:pStyle w:val="Tabulkatext"/>
              <w:spacing w:before="0" w:after="0"/>
              <w:ind w:left="0"/>
            </w:pPr>
            <w:r>
              <w:t>Metody: individuální rozhovory s pracovníky, dotazníky</w:t>
            </w:r>
            <w:r w:rsidR="006C5040">
              <w:t>.</w:t>
            </w:r>
          </w:p>
          <w:p w:rsidR="006C5040" w:rsidP="00040F9B" w:rsidRDefault="006C5040" w14:paraId="7FA0CBC1" w14:textId="77777777">
            <w:pPr>
              <w:pStyle w:val="Tabulkatext"/>
              <w:spacing w:before="0" w:after="0"/>
              <w:ind w:left="0"/>
            </w:pPr>
          </w:p>
          <w:p w:rsidR="00040F9B" w:rsidP="00040F9B" w:rsidRDefault="00040F9B" w14:paraId="56B5B368" w14:textId="77777777">
            <w:pPr>
              <w:pStyle w:val="Tabulkatext"/>
              <w:spacing w:before="0" w:after="0"/>
              <w:ind w:left="0"/>
            </w:pPr>
            <w:r>
              <w:t>C. Optimalizace</w:t>
            </w:r>
          </w:p>
          <w:p w:rsidR="00040F9B" w:rsidP="00040F9B" w:rsidRDefault="00040F9B" w14:paraId="13B08635" w14:textId="77777777">
            <w:pPr>
              <w:pStyle w:val="Tabulkatext"/>
              <w:spacing w:before="0" w:after="0"/>
              <w:ind w:left="0"/>
            </w:pPr>
            <w:r>
              <w:t>- navržení optimální organizační struktury</w:t>
            </w:r>
            <w:r w:rsidR="006C5040">
              <w:t>;</w:t>
            </w:r>
          </w:p>
          <w:p w:rsidR="00040F9B" w:rsidP="00040F9B" w:rsidRDefault="00040F9B" w14:paraId="76196888" w14:textId="77777777">
            <w:pPr>
              <w:pStyle w:val="Tabulkatext"/>
              <w:spacing w:before="0" w:after="0"/>
              <w:ind w:left="0"/>
            </w:pPr>
            <w:r>
              <w:t>- navržení optimálních procesů</w:t>
            </w:r>
            <w:r w:rsidR="006C5040">
              <w:t>;</w:t>
            </w:r>
          </w:p>
          <w:p w:rsidR="00040F9B" w:rsidP="00040F9B" w:rsidRDefault="00040F9B" w14:paraId="47CC1BF9" w14:textId="77777777">
            <w:pPr>
              <w:pStyle w:val="Tabulkatext"/>
              <w:spacing w:before="0" w:after="0"/>
              <w:ind w:left="0"/>
            </w:pPr>
            <w:r>
              <w:t>- navržení optimálního množství pracovníků na úřadě</w:t>
            </w:r>
            <w:r w:rsidR="006C5040">
              <w:t>.</w:t>
            </w:r>
          </w:p>
          <w:p w:rsidR="006C5040" w:rsidP="00040F9B" w:rsidRDefault="006C5040" w14:paraId="7C59EEF4" w14:textId="77777777">
            <w:pPr>
              <w:pStyle w:val="Tabulkatext"/>
              <w:spacing w:before="0" w:after="0"/>
              <w:ind w:left="0"/>
            </w:pPr>
          </w:p>
          <w:p w:rsidR="006C5040" w:rsidP="00040F9B" w:rsidRDefault="006C5040" w14:paraId="2130FC21" w14:textId="77777777">
            <w:pPr>
              <w:pStyle w:val="Tabulkatext"/>
              <w:spacing w:before="0" w:after="0"/>
              <w:ind w:left="0"/>
            </w:pPr>
            <w:r>
              <w:t>D. Závěrečná zpráva včetně prezentace zadavateli</w:t>
            </w:r>
          </w:p>
          <w:p w:rsidR="006C5040" w:rsidP="00040F9B" w:rsidRDefault="006C5040" w14:paraId="6F4550A2" w14:textId="77777777">
            <w:pPr>
              <w:pStyle w:val="Tabulkatext"/>
              <w:spacing w:before="0" w:after="0"/>
              <w:ind w:left="0"/>
            </w:pPr>
            <w:r>
              <w:t>- závěrečná doporučení;</w:t>
            </w:r>
          </w:p>
          <w:p w:rsidR="006C5040" w:rsidP="00766489" w:rsidRDefault="006C5040" w14:paraId="51333E1A" w14:textId="77777777">
            <w:pPr>
              <w:pStyle w:val="Tabulkatext"/>
              <w:tabs>
                <w:tab w:val="left" w:pos="6435"/>
              </w:tabs>
              <w:spacing w:before="0" w:after="0"/>
              <w:ind w:left="0"/>
            </w:pPr>
            <w:r>
              <w:t>- závěrečný workshop pro auditované pracovníky (po dohodě se zadavatelem).</w:t>
            </w:r>
          </w:p>
          <w:p w:rsidR="00040F9B" w:rsidP="00C61C88" w:rsidRDefault="00040F9B" w14:paraId="35E250F9" w14:textId="77777777">
            <w:pPr>
              <w:pStyle w:val="Tabulkatext"/>
              <w:spacing w:before="0" w:after="0"/>
              <w:ind w:left="0"/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firstRow="1" w:lastRow="0" w:firstColumn="1" w:lastColumn="0" w:noHBand="0" w:noVBand="1" w:val="04A0"/>
            </w:tblPr>
            <w:tblGrid>
              <w:gridCol w:w="2725"/>
              <w:gridCol w:w="1528"/>
              <w:gridCol w:w="1528"/>
              <w:gridCol w:w="1528"/>
              <w:gridCol w:w="1528"/>
            </w:tblGrid>
            <w:tr w:rsidRPr="00AF7207" w:rsidR="00AF7207" w:rsidTr="00AF7207" w14:paraId="763BACC4" w14:textId="77777777">
              <w:trPr>
                <w:trHeight w:val="840"/>
              </w:trPr>
              <w:tc>
                <w:tcPr>
                  <w:tcW w:w="159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AF7207" w:rsidR="00AF7207" w:rsidP="00AF7207" w:rsidRDefault="00AF7207" w14:paraId="46493F04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b/>
                      <w:bCs/>
                      <w:sz w:val="16"/>
                      <w:szCs w:val="16"/>
                      <w:lang w:eastAsia="cs-CZ"/>
                    </w:rPr>
                    <w:t>Organizační složka města Modřice</w:t>
                  </w:r>
                </w:p>
              </w:tc>
              <w:tc>
                <w:tcPr>
                  <w:tcW w:w="850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AF7207" w:rsidR="00AF7207" w:rsidP="00AF7207" w:rsidRDefault="00AF7207" w14:paraId="03035F23" w14:textId="77777777">
                  <w:pPr>
                    <w:spacing w:after="0"/>
                    <w:jc w:val="center"/>
                    <w:rPr>
                      <w:rFonts w:eastAsia="Times New Roman" w:asciiTheme="majorHAnsi" w:hAnsiTheme="majorHAnsi" w:cstheme="majorHAnsi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b/>
                      <w:bCs/>
                      <w:sz w:val="16"/>
                      <w:szCs w:val="16"/>
                      <w:lang w:eastAsia="cs-CZ"/>
                    </w:rPr>
                    <w:t>Městská policie Modřice - 10 osob</w:t>
                  </w:r>
                </w:p>
              </w:tc>
              <w:tc>
                <w:tcPr>
                  <w:tcW w:w="850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AF7207" w:rsidR="00AF7207" w:rsidP="00AF7207" w:rsidRDefault="00AF7207" w14:paraId="33657DA9" w14:textId="77777777">
                  <w:pPr>
                    <w:spacing w:after="0"/>
                    <w:jc w:val="center"/>
                    <w:rPr>
                      <w:rFonts w:eastAsia="Times New Roman" w:asciiTheme="majorHAnsi" w:hAnsiTheme="majorHAnsi" w:cstheme="majorHAnsi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b/>
                      <w:bCs/>
                      <w:sz w:val="16"/>
                      <w:szCs w:val="16"/>
                      <w:lang w:eastAsia="cs-CZ"/>
                    </w:rPr>
                    <w:t>Městský úřad Modřice - 15 osob</w:t>
                  </w:r>
                </w:p>
              </w:tc>
              <w:tc>
                <w:tcPr>
                  <w:tcW w:w="850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AF7207" w:rsidR="00AF7207" w:rsidP="00AF7207" w:rsidRDefault="00AF7207" w14:paraId="57927BDC" w14:textId="77777777">
                  <w:pPr>
                    <w:spacing w:after="0"/>
                    <w:jc w:val="center"/>
                    <w:rPr>
                      <w:rFonts w:eastAsia="Times New Roman" w:asciiTheme="majorHAnsi" w:hAnsiTheme="majorHAnsi" w:cstheme="majorHAnsi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b/>
                      <w:bCs/>
                      <w:sz w:val="16"/>
                      <w:szCs w:val="16"/>
                      <w:lang w:eastAsia="cs-CZ"/>
                    </w:rPr>
                    <w:t>Pracovníci údržby a čištění - 6 osob</w:t>
                  </w:r>
                </w:p>
              </w:tc>
              <w:tc>
                <w:tcPr>
                  <w:tcW w:w="850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  <w:hideMark/>
                </w:tcPr>
                <w:p w:rsidRPr="00AF7207" w:rsidR="00AF7207" w:rsidP="00AF7207" w:rsidRDefault="00AF7207" w14:paraId="29A691FF" w14:textId="77777777">
                  <w:pPr>
                    <w:spacing w:after="0"/>
                    <w:jc w:val="center"/>
                    <w:rPr>
                      <w:rFonts w:eastAsia="Times New Roman" w:asciiTheme="majorHAnsi" w:hAnsiTheme="majorHAnsi" w:cstheme="majorHAnsi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b/>
                      <w:bCs/>
                      <w:sz w:val="16"/>
                      <w:szCs w:val="16"/>
                      <w:lang w:eastAsia="cs-CZ"/>
                    </w:rPr>
                    <w:t>Pracovníci pasivního domu pro seniory - 11 osob</w:t>
                  </w:r>
                </w:p>
              </w:tc>
            </w:tr>
            <w:tr w:rsidRPr="00AF7207" w:rsidR="00AF7207" w:rsidTr="00766489" w14:paraId="1617F1DE" w14:textId="77777777">
              <w:trPr>
                <w:trHeight w:val="409"/>
              </w:trPr>
              <w:tc>
                <w:tcPr>
                  <w:tcW w:w="1599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6A5FBFD4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b/>
                      <w:bCs/>
                      <w:sz w:val="16"/>
                      <w:szCs w:val="16"/>
                      <w:lang w:eastAsia="cs-CZ"/>
                    </w:rPr>
                    <w:t>Činnost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F7207" w:rsidR="00AF7207" w:rsidP="00AF7207" w:rsidRDefault="00AF7207" w14:paraId="764F261E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b/>
                      <w:bCs/>
                      <w:sz w:val="16"/>
                      <w:szCs w:val="16"/>
                      <w:lang w:eastAsia="cs-CZ"/>
                    </w:rPr>
                    <w:t>Časová náročnost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F7207" w:rsidR="00AF7207" w:rsidP="00AF7207" w:rsidRDefault="00AF7207" w14:paraId="557641A3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b/>
                      <w:bCs/>
                      <w:sz w:val="16"/>
                      <w:szCs w:val="16"/>
                      <w:lang w:eastAsia="cs-CZ"/>
                    </w:rPr>
                    <w:t>Časová náročnost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F7207" w:rsidR="00AF7207" w:rsidP="00AF7207" w:rsidRDefault="00AF7207" w14:paraId="34C0E40E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b/>
                      <w:bCs/>
                      <w:sz w:val="16"/>
                      <w:szCs w:val="16"/>
                      <w:lang w:eastAsia="cs-CZ"/>
                    </w:rPr>
                    <w:t>Časová náročnost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F7207" w:rsidR="00AF7207" w:rsidP="00AF7207" w:rsidRDefault="00AF7207" w14:paraId="66F9BEC1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b/>
                      <w:bCs/>
                      <w:sz w:val="16"/>
                      <w:szCs w:val="16"/>
                      <w:lang w:eastAsia="cs-CZ"/>
                    </w:rPr>
                    <w:t>Časová náročnost</w:t>
                  </w:r>
                </w:p>
              </w:tc>
            </w:tr>
            <w:tr w:rsidRPr="00AF7207" w:rsidR="00AF7207" w:rsidTr="00766489" w14:paraId="56A6E119" w14:textId="77777777">
              <w:trPr>
                <w:trHeight w:val="698"/>
              </w:trPr>
              <w:tc>
                <w:tcPr>
                  <w:tcW w:w="1599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2FA69FE0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Úvodní setkání se všemi pracovníky - prezentace cílů auditu, zadání snímků pracovního dne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26502021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1,5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6AED5DF7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1,5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2F3AAD9D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1,5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792334A0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1,5 hod.</w:t>
                  </w:r>
                </w:p>
              </w:tc>
            </w:tr>
            <w:tr w:rsidRPr="00AF7207" w:rsidR="005607B4" w:rsidTr="00023023" w14:paraId="7266C429" w14:textId="77777777">
              <w:trPr>
                <w:trHeight w:val="553"/>
              </w:trPr>
              <w:tc>
                <w:tcPr>
                  <w:tcW w:w="1599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5B166967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Zadání psychodiagnostických dotazníků všem účastníkům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05D66EC9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2,0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0E64CABF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2,0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4BC2BDEE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2,0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08FD2450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2,0 hod.</w:t>
                  </w:r>
                </w:p>
              </w:tc>
            </w:tr>
            <w:tr w:rsidRPr="00AF7207" w:rsidR="00AF7207" w:rsidTr="00AF7207" w14:paraId="0DC3C09A" w14:textId="77777777">
              <w:trPr>
                <w:trHeight w:val="300"/>
              </w:trPr>
              <w:tc>
                <w:tcPr>
                  <w:tcW w:w="1599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6B805473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Příprava DC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3534ADD9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6,5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40FE313A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6,5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72B35E47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6,5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6634AC52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6,5 hod.</w:t>
                  </w:r>
                </w:p>
              </w:tc>
            </w:tr>
            <w:tr w:rsidRPr="00AF7207" w:rsidR="00AF7207" w:rsidTr="00AF7207" w14:paraId="3BEFB2EE" w14:textId="77777777">
              <w:trPr>
                <w:trHeight w:val="300"/>
              </w:trPr>
              <w:tc>
                <w:tcPr>
                  <w:tcW w:w="1599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29C07C42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DC pro vedoucí pracovníky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586BBF2D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5,0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3891FAF6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5,0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5355927F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5,0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14E1F7E4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5,0 hod.</w:t>
                  </w:r>
                </w:p>
              </w:tc>
            </w:tr>
            <w:tr w:rsidRPr="00AF7207" w:rsidR="00AF7207" w:rsidTr="00766489" w14:paraId="74C5DE2F" w14:textId="77777777">
              <w:trPr>
                <w:trHeight w:val="457"/>
              </w:trPr>
              <w:tc>
                <w:tcPr>
                  <w:tcW w:w="1599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75B02AC6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Zpracování výsledků psychodiagnostiky a DC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0265F7BA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3,0 hod. x 10 pracovníků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1CDD4F8C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3,0 hod. x 15 pracovníků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71417172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3,0 hod. x 6 pracovníků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76AA0D1C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3,0 hod. x 11 pracovníků</w:t>
                  </w:r>
                </w:p>
              </w:tc>
            </w:tr>
            <w:tr w:rsidRPr="00AF7207" w:rsidR="005607B4" w:rsidTr="007B71C8" w14:paraId="5C0803B6" w14:textId="77777777">
              <w:trPr>
                <w:trHeight w:val="420"/>
              </w:trPr>
              <w:tc>
                <w:tcPr>
                  <w:tcW w:w="1599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65E9AA62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Z</w:t>
                  </w: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 xml:space="preserve">pětná vazba účastníkům 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503A4E70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1,0 hod. x 10 pracovníků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67DFFA8C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1,0 hod. x 15 pracovníků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169BC13A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1,0 hod. x 6 pracovníků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705084EA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1,0 hod. x 11 pracovníků</w:t>
                  </w:r>
                </w:p>
              </w:tc>
            </w:tr>
            <w:tr w:rsidRPr="00AF7207" w:rsidR="00AF7207" w:rsidTr="00AF7207" w14:paraId="14ACAA57" w14:textId="77777777">
              <w:trPr>
                <w:trHeight w:val="300"/>
              </w:trPr>
              <w:tc>
                <w:tcPr>
                  <w:tcW w:w="1599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3A833CF3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Mapování procesů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57C61C54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8,5 hod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6639AB7D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8,5 hod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4D74C69B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8,5 hod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13F40D3D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8,5 hod</w:t>
                  </w:r>
                </w:p>
              </w:tc>
            </w:tr>
            <w:tr w:rsidRPr="00AF7207" w:rsidR="00AF7207" w:rsidTr="00AF7207" w14:paraId="57AE0D37" w14:textId="77777777">
              <w:trPr>
                <w:trHeight w:val="300"/>
              </w:trPr>
              <w:tc>
                <w:tcPr>
                  <w:tcW w:w="1599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3F0F8287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Zpracování snímků pracovního dne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510F545A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17,0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5423DC55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25,5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7EC88856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10,0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6E2334D0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19,0 hod.</w:t>
                  </w:r>
                </w:p>
              </w:tc>
            </w:tr>
            <w:tr w:rsidRPr="00AF7207" w:rsidR="00AF7207" w:rsidTr="00AF7207" w14:paraId="791A900A" w14:textId="77777777">
              <w:trPr>
                <w:trHeight w:val="900"/>
              </w:trPr>
              <w:tc>
                <w:tcPr>
                  <w:tcW w:w="1599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4B3DE859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 xml:space="preserve">Zpracování výsledků, procesních modelů, analýza činností, </w:t>
                  </w:r>
                  <w:proofErr w:type="spellStart"/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benchmarking</w:t>
                  </w:r>
                  <w:proofErr w:type="spellEnd"/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, zpráva a příprava prezentace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2107715B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17,0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35946D6D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25,5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1A36BF5F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10,0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41587202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19,0 hod.</w:t>
                  </w:r>
                </w:p>
              </w:tc>
            </w:tr>
            <w:tr w:rsidRPr="00AF7207" w:rsidR="00AF7207" w:rsidTr="00AF7207" w14:paraId="65458CB1" w14:textId="77777777">
              <w:trPr>
                <w:trHeight w:val="540"/>
              </w:trPr>
              <w:tc>
                <w:tcPr>
                  <w:tcW w:w="1599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0B14BD42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Projednání výsledků s vedením města a městského úřadu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35AD3690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2,0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511304E2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2,0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61AF3262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2,0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192CC31A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2,0 hod.</w:t>
                  </w:r>
                </w:p>
              </w:tc>
            </w:tr>
            <w:tr w:rsidRPr="00AF7207" w:rsidR="008C6C51" w:rsidTr="008C6C51" w14:paraId="4F46F19A" w14:textId="77777777">
              <w:trPr>
                <w:trHeight w:val="600"/>
              </w:trPr>
              <w:tc>
                <w:tcPr>
                  <w:tcW w:w="1599" w:type="pct"/>
                  <w:tcBorders>
                    <w:top w:val="nil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383350BF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lastRenderedPageBreak/>
                    <w:t>Prezentace výsledků a konzultace se zadavatelem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6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23AD7F30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2,0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6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51F51912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2,0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6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42CFB010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2,0 hod.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color="auto" w:sz="6" w:space="0"/>
                    <w:right w:val="single" w:color="auto" w:sz="4" w:space="0"/>
                  </w:tcBorders>
                  <w:shd w:val="clear" w:color="auto" w:fill="auto"/>
                  <w:vAlign w:val="bottom"/>
                  <w:hideMark/>
                </w:tcPr>
                <w:p w:rsidRPr="00AF7207" w:rsidR="00AF7207" w:rsidP="00AF7207" w:rsidRDefault="00AF7207" w14:paraId="34A23E90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  <w:r w:rsidRPr="00AF7207"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  <w:t>2,0 hod.</w:t>
                  </w:r>
                </w:p>
              </w:tc>
            </w:tr>
            <w:tr w:rsidRPr="00AF7207" w:rsidR="008C6C51" w:rsidTr="008C6C51" w14:paraId="26F41AC0" w14:textId="77777777">
              <w:trPr>
                <w:trHeight w:val="405"/>
              </w:trPr>
              <w:tc>
                <w:tcPr>
                  <w:tcW w:w="1599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bottom"/>
                </w:tcPr>
                <w:p w:rsidRPr="00AF7207" w:rsidR="008C6C51" w:rsidP="00AF7207" w:rsidRDefault="008C6C51" w14:paraId="6FAF923C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50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bottom"/>
                </w:tcPr>
                <w:p w:rsidRPr="008C6C51" w:rsidR="008C6C51" w:rsidP="00AF7207" w:rsidRDefault="008C6C51" w14:paraId="3D89FA36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b/>
                      <w:sz w:val="16"/>
                      <w:szCs w:val="16"/>
                      <w:lang w:eastAsia="cs-CZ"/>
                    </w:rPr>
                  </w:pPr>
                  <w:r w:rsidRPr="008C6C51">
                    <w:rPr>
                      <w:rFonts w:eastAsia="Times New Roman" w:asciiTheme="majorHAnsi" w:hAnsiTheme="majorHAnsi" w:cstheme="majorHAnsi"/>
                      <w:b/>
                      <w:sz w:val="16"/>
                      <w:szCs w:val="16"/>
                      <w:lang w:eastAsia="cs-CZ"/>
                    </w:rPr>
                    <w:t>101,5 hod.</w:t>
                  </w:r>
                </w:p>
              </w:tc>
              <w:tc>
                <w:tcPr>
                  <w:tcW w:w="850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bottom"/>
                </w:tcPr>
                <w:p w:rsidRPr="008C6C51" w:rsidR="008C6C51" w:rsidP="00AF7207" w:rsidRDefault="008C6C51" w14:paraId="7150D18A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b/>
                      <w:sz w:val="16"/>
                      <w:szCs w:val="16"/>
                      <w:lang w:eastAsia="cs-CZ"/>
                    </w:rPr>
                  </w:pPr>
                  <w:r w:rsidRPr="008C6C51">
                    <w:rPr>
                      <w:rFonts w:eastAsia="Times New Roman" w:asciiTheme="majorHAnsi" w:hAnsiTheme="majorHAnsi" w:cstheme="majorHAnsi"/>
                      <w:b/>
                      <w:sz w:val="16"/>
                      <w:szCs w:val="16"/>
                      <w:lang w:eastAsia="cs-CZ"/>
                    </w:rPr>
                    <w:t>138,5 hod.</w:t>
                  </w:r>
                </w:p>
              </w:tc>
              <w:tc>
                <w:tcPr>
                  <w:tcW w:w="850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bottom"/>
                </w:tcPr>
                <w:p w:rsidRPr="008C6C51" w:rsidR="008C6C51" w:rsidP="00AF7207" w:rsidRDefault="008C6C51" w14:paraId="448398DD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b/>
                      <w:sz w:val="16"/>
                      <w:szCs w:val="16"/>
                      <w:lang w:eastAsia="cs-CZ"/>
                    </w:rPr>
                  </w:pPr>
                  <w:r w:rsidRPr="008C6C51">
                    <w:rPr>
                      <w:rFonts w:eastAsia="Times New Roman" w:asciiTheme="majorHAnsi" w:hAnsiTheme="majorHAnsi" w:cstheme="majorHAnsi"/>
                      <w:b/>
                      <w:sz w:val="16"/>
                      <w:szCs w:val="16"/>
                      <w:lang w:eastAsia="cs-CZ"/>
                    </w:rPr>
                    <w:t>71,5 hod.</w:t>
                  </w:r>
                </w:p>
              </w:tc>
              <w:tc>
                <w:tcPr>
                  <w:tcW w:w="850" w:type="pc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bottom"/>
                </w:tcPr>
                <w:p w:rsidRPr="008C6C51" w:rsidR="008C6C51" w:rsidP="00AF7207" w:rsidRDefault="008C6C51" w14:paraId="078C2856" w14:textId="77777777">
                  <w:pPr>
                    <w:spacing w:after="0"/>
                    <w:jc w:val="left"/>
                    <w:rPr>
                      <w:rFonts w:eastAsia="Times New Roman" w:asciiTheme="majorHAnsi" w:hAnsiTheme="majorHAnsi" w:cstheme="majorHAnsi"/>
                      <w:b/>
                      <w:sz w:val="16"/>
                      <w:szCs w:val="16"/>
                      <w:lang w:eastAsia="cs-CZ"/>
                    </w:rPr>
                  </w:pPr>
                  <w:r w:rsidRPr="008C6C51">
                    <w:rPr>
                      <w:rFonts w:eastAsia="Times New Roman" w:asciiTheme="majorHAnsi" w:hAnsiTheme="majorHAnsi" w:cstheme="majorHAnsi"/>
                      <w:b/>
                      <w:sz w:val="16"/>
                      <w:szCs w:val="16"/>
                      <w:lang w:eastAsia="cs-CZ"/>
                    </w:rPr>
                    <w:t>109,5 hod.</w:t>
                  </w:r>
                </w:p>
              </w:tc>
            </w:tr>
          </w:tbl>
          <w:p w:rsidR="00E93351" w:rsidP="00E93351" w:rsidRDefault="00E93351" w14:paraId="54E29723" w14:textId="77777777">
            <w:pPr>
              <w:pStyle w:val="Tabulkatext"/>
              <w:ind w:left="72"/>
            </w:pPr>
            <w:r w:rsidRPr="00EF2B5B">
              <w:t xml:space="preserve">Zadavatel </w:t>
            </w:r>
            <w:r>
              <w:t>ne</w:t>
            </w:r>
            <w:r w:rsidRPr="00EF2B5B">
              <w:t xml:space="preserve">vymezuje části </w:t>
            </w:r>
            <w:r>
              <w:t>předmětu plnění</w:t>
            </w:r>
            <w:r w:rsidRPr="00EF2B5B">
              <w:t xml:space="preserve"> </w:t>
            </w:r>
            <w:r>
              <w:t>zakázky, které nesmí být plněny</w:t>
            </w:r>
            <w:r w:rsidRPr="00EF2B5B">
              <w:t xml:space="preserve"> poddodavatelem.</w:t>
            </w:r>
          </w:p>
          <w:p w:rsidRPr="007E7BC3" w:rsidR="009C0865" w:rsidP="00220697" w:rsidRDefault="009C0865" w14:paraId="5643D5B3" w14:textId="0EE4CF6D">
            <w:pPr>
              <w:pStyle w:val="Tabulkatext"/>
              <w:spacing w:before="0" w:after="0"/>
            </w:pPr>
          </w:p>
        </w:tc>
      </w:tr>
      <w:tr w:rsidRPr="00E50090" w:rsidR="005C6C32" w:rsidTr="00415C03" w14:paraId="33708B40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C61C88" w:rsidRDefault="005C6C32" w14:paraId="191E12BE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 xml:space="preserve">Předpokládaná hodnota zakázky v Kč </w:t>
            </w:r>
            <w:r w:rsidRPr="00E50090">
              <w:t>(bez DPH)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B6F26" w:rsidR="005B1860" w:rsidP="00C61C88" w:rsidRDefault="005B1860" w14:paraId="31C1C004" w14:textId="77777777">
            <w:pPr>
              <w:pStyle w:val="Tabulkatext"/>
            </w:pPr>
            <w:r w:rsidRPr="00BB6F26">
              <w:t xml:space="preserve">Předpokládaná hodnota zakázky byla stanovena na základě průzkumu trhu </w:t>
            </w:r>
            <w:r w:rsidRPr="00BB6F26" w:rsidR="002F3FCA">
              <w:t>provedeného v rámci roku 2016.</w:t>
            </w:r>
          </w:p>
          <w:p w:rsidRPr="00BB6F26" w:rsidR="005B1860" w:rsidP="00C61C88" w:rsidRDefault="005B1860" w14:paraId="70F02DBF" w14:textId="77777777">
            <w:pPr>
              <w:pStyle w:val="Tabulkatext"/>
            </w:pPr>
          </w:p>
          <w:p w:rsidRPr="00BB6F26" w:rsidR="005C6C32" w:rsidP="00C61C88" w:rsidRDefault="00BD7864" w14:paraId="4917DF7D" w14:textId="7AF6467C">
            <w:pPr>
              <w:pStyle w:val="Tabulkatext"/>
            </w:pPr>
            <w:r>
              <w:t>31</w:t>
            </w:r>
            <w:r w:rsidR="004F402C">
              <w:t>4</w:t>
            </w:r>
            <w:r>
              <w:t>.0</w:t>
            </w:r>
            <w:r w:rsidR="00A2195F">
              <w:t>5</w:t>
            </w:r>
            <w:r w:rsidR="006B4467">
              <w:t xml:space="preserve">0 </w:t>
            </w:r>
            <w:r w:rsidRPr="00BB6F26" w:rsidR="003E64E0">
              <w:t>Kč bez DPH</w:t>
            </w:r>
          </w:p>
          <w:p w:rsidRPr="003E64E0" w:rsidR="002F3FCA" w:rsidP="00C61C88" w:rsidRDefault="002F3FCA" w14:paraId="32EC6F24" w14:textId="5FB58B4F">
            <w:pPr>
              <w:pStyle w:val="Tabulkatext"/>
              <w:ind w:left="0"/>
            </w:pPr>
          </w:p>
        </w:tc>
      </w:tr>
      <w:tr w:rsidRPr="00E50090" w:rsidR="005C6C32" w:rsidTr="00415C03" w14:paraId="137A46BE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C61C88" w:rsidRDefault="005C6C32" w14:paraId="7F9AE18D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dodání / časový harmonogr</w:t>
            </w:r>
            <w:r w:rsidRPr="00E50090" w:rsidR="00E14E40">
              <w:rPr>
                <w:b/>
                <w:bCs/>
              </w:rPr>
              <w:t>am plnění / doba trvání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35562" w:rsidR="005C6C32" w:rsidP="00C61C88" w:rsidRDefault="005C6C32" w14:paraId="73CBCD1D" w14:textId="52AE4A96">
            <w:pPr>
              <w:pStyle w:val="Tabulkatext"/>
              <w:rPr>
                <w:b/>
              </w:rPr>
            </w:pPr>
          </w:p>
          <w:p w:rsidRPr="00DC6BF7" w:rsidR="00483F97" w:rsidP="00483F97" w:rsidRDefault="00483F97" w14:paraId="1FE76699" w14:textId="77777777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 čtvrtletí</w:t>
            </w:r>
            <w:r w:rsidRPr="00DC6BF7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7</w:t>
            </w:r>
            <w:r w:rsidRPr="00DC6BF7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Pr="00DC6BF7">
              <w:rPr>
                <w:sz w:val="20"/>
                <w:szCs w:val="20"/>
              </w:rPr>
              <w:t xml:space="preserve">realizace personálního auditu </w:t>
            </w:r>
            <w:r>
              <w:rPr>
                <w:sz w:val="20"/>
                <w:szCs w:val="20"/>
              </w:rPr>
              <w:t>Městs</w:t>
            </w:r>
            <w:r w:rsidRPr="00DC6BF7">
              <w:rPr>
                <w:sz w:val="20"/>
                <w:szCs w:val="20"/>
              </w:rPr>
              <w:t>ké policie Modřice</w:t>
            </w:r>
            <w:r>
              <w:rPr>
                <w:sz w:val="20"/>
                <w:szCs w:val="20"/>
              </w:rPr>
              <w:t xml:space="preserve"> – 10 osob</w:t>
            </w:r>
          </w:p>
          <w:p w:rsidRPr="00DC6BF7" w:rsidR="00483F97" w:rsidP="00483F97" w:rsidRDefault="00483F97" w14:paraId="0B57B954" w14:textId="77777777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čtvrtletí </w:t>
            </w:r>
            <w:r w:rsidRPr="00F65B8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F65B8C">
              <w:rPr>
                <w:sz w:val="20"/>
                <w:szCs w:val="20"/>
              </w:rPr>
              <w:t xml:space="preserve"> – realizace personálního</w:t>
            </w:r>
            <w:r w:rsidRPr="00DC6BF7">
              <w:rPr>
                <w:sz w:val="20"/>
                <w:szCs w:val="20"/>
              </w:rPr>
              <w:t xml:space="preserve"> auditu MÚ Modřice</w:t>
            </w:r>
            <w:r>
              <w:rPr>
                <w:sz w:val="20"/>
                <w:szCs w:val="20"/>
              </w:rPr>
              <w:t xml:space="preserve"> – 15 osob</w:t>
            </w:r>
          </w:p>
          <w:p w:rsidRPr="00DC6BF7" w:rsidR="00483F97" w:rsidP="00483F97" w:rsidRDefault="00483F97" w14:paraId="3F6D7267" w14:textId="77777777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čtvrtletí </w:t>
            </w:r>
            <w:r w:rsidRPr="00F65B8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F65B8C">
              <w:rPr>
                <w:sz w:val="20"/>
                <w:szCs w:val="20"/>
              </w:rPr>
              <w:t xml:space="preserve"> </w:t>
            </w:r>
            <w:r w:rsidRPr="00DC6BF7">
              <w:rPr>
                <w:sz w:val="20"/>
                <w:szCs w:val="20"/>
              </w:rPr>
              <w:t>– realizace personálního auditu u pracovníků údržby a čištění</w:t>
            </w:r>
            <w:r>
              <w:rPr>
                <w:sz w:val="20"/>
                <w:szCs w:val="20"/>
              </w:rPr>
              <w:t xml:space="preserve"> – 6 osob </w:t>
            </w:r>
          </w:p>
          <w:p w:rsidRPr="002C7AF9" w:rsidR="00483F97" w:rsidP="00483F97" w:rsidRDefault="00483F97" w14:paraId="64CABDAC" w14:textId="77777777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čtvrtletí </w:t>
            </w:r>
            <w:r w:rsidRPr="00F65B8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F65B8C">
              <w:rPr>
                <w:sz w:val="20"/>
                <w:szCs w:val="20"/>
              </w:rPr>
              <w:t xml:space="preserve"> </w:t>
            </w:r>
            <w:r w:rsidRPr="00DC6BF7">
              <w:rPr>
                <w:sz w:val="20"/>
                <w:szCs w:val="20"/>
              </w:rPr>
              <w:t xml:space="preserve">– realizace personálního auditu u pracovníků Pasivního bytového domu pro </w:t>
            </w:r>
            <w:r w:rsidRPr="002C7AF9">
              <w:rPr>
                <w:sz w:val="20"/>
                <w:szCs w:val="20"/>
              </w:rPr>
              <w:t>seniory</w:t>
            </w:r>
            <w:r>
              <w:rPr>
                <w:sz w:val="20"/>
                <w:szCs w:val="20"/>
              </w:rPr>
              <w:t xml:space="preserve"> – 11 osob</w:t>
            </w:r>
          </w:p>
          <w:p w:rsidRPr="00E50090" w:rsidR="00967B24" w:rsidP="00483F97" w:rsidRDefault="00967B24" w14:paraId="02AF2064" w14:textId="334CA3F4">
            <w:pPr>
              <w:pStyle w:val="Tabulkatext"/>
              <w:ind w:left="0"/>
            </w:pPr>
          </w:p>
        </w:tc>
      </w:tr>
      <w:tr w:rsidRPr="00E50090" w:rsidR="005C6C32" w:rsidTr="00415C03" w14:paraId="29144A63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C61C88" w:rsidRDefault="00E14E40" w14:paraId="54F89328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dodání / převzetí plnění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C61C88" w:rsidRDefault="00435562" w14:paraId="5F3255D9" w14:textId="77777777">
            <w:pPr>
              <w:pStyle w:val="Tabulkatext"/>
            </w:pPr>
            <w:r>
              <w:t xml:space="preserve">Místem plnění jsou prostory účastníka i prostory zadavatele </w:t>
            </w:r>
            <w:r w:rsidR="00BE5DCC">
              <w:t xml:space="preserve">Město Modřice – </w:t>
            </w:r>
            <w:r w:rsidR="00E41B38">
              <w:t>Městs</w:t>
            </w:r>
            <w:r w:rsidR="00BE5DCC">
              <w:t>ký úřad Náměstí Svobody 93, 664 42 Modřice</w:t>
            </w:r>
          </w:p>
        </w:tc>
      </w:tr>
      <w:tr w:rsidRPr="00E50090" w:rsidR="00E14E40" w:rsidTr="00415C03" w14:paraId="0065AD4A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C61C88" w:rsidRDefault="007E6E16" w14:paraId="0A7688AB" w14:textId="77777777">
            <w:pPr>
              <w:pStyle w:val="Tabulkatext"/>
            </w:pPr>
            <w:r>
              <w:rPr>
                <w:b/>
              </w:rPr>
              <w:t>P</w:t>
            </w:r>
            <w:r w:rsidRPr="001A2981">
              <w:rPr>
                <w:b/>
              </w:rPr>
              <w:t>ravidla pro hodnocení nabídek</w:t>
            </w:r>
            <w:r w:rsidRPr="001A2981">
              <w:t xml:space="preserve">, která zahrnují i) kritéria hodnocení, </w:t>
            </w:r>
            <w:proofErr w:type="spellStart"/>
            <w:r w:rsidRPr="001A2981">
              <w:t>ii</w:t>
            </w:r>
            <w:proofErr w:type="spellEnd"/>
            <w:r w:rsidRPr="001A2981">
              <w:t xml:space="preserve">) metodu vyhodnocení nabídek v jednotlivých kritériích a </w:t>
            </w:r>
            <w:proofErr w:type="spellStart"/>
            <w:r w:rsidRPr="001A2981">
              <w:t>iii</w:t>
            </w:r>
            <w:proofErr w:type="spellEnd"/>
            <w:r w:rsidRPr="001A2981">
              <w:t>) váhu nebo jiný matematický vztah mezi kritérii</w:t>
            </w:r>
          </w:p>
        </w:tc>
      </w:tr>
      <w:tr w:rsidRPr="00E50090" w:rsidR="00E14E40" w:rsidTr="00415C03" w14:paraId="4E7D6AA9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165657" w:rsidP="00C61C88" w:rsidRDefault="00165657" w14:paraId="57B5A6F4" w14:textId="77777777">
            <w:pPr>
              <w:pStyle w:val="Tabulkatext"/>
              <w:spacing w:before="0" w:after="0"/>
              <w:rPr>
                <w:iCs/>
              </w:rPr>
            </w:pPr>
            <w:r w:rsidRPr="00A63B11">
              <w:rPr>
                <w:iCs/>
              </w:rPr>
              <w:t>Nabídky budou hodnoc</w:t>
            </w:r>
            <w:r w:rsidR="002F3FCA">
              <w:rPr>
                <w:iCs/>
              </w:rPr>
              <w:t>eny podle ekonomické výhodnosti, a to podle nejnižší nabídkové ceny.</w:t>
            </w:r>
          </w:p>
          <w:p w:rsidR="00165657" w:rsidP="00C61C88" w:rsidRDefault="007162AB" w14:paraId="27E4A540" w14:textId="6A34470A">
            <w:pPr>
              <w:pStyle w:val="Tabulkatext"/>
              <w:spacing w:before="0" w:after="0"/>
              <w:ind w:left="72"/>
              <w:rPr>
                <w:b/>
                <w:szCs w:val="20"/>
              </w:rPr>
            </w:pPr>
            <w:r>
              <w:rPr>
                <w:iCs/>
              </w:rPr>
              <w:t xml:space="preserve"> bez DPH</w:t>
            </w:r>
          </w:p>
          <w:p w:rsidR="005B1860" w:rsidP="00C61C88" w:rsidRDefault="005B1860" w14:paraId="7CD35D65" w14:textId="77777777">
            <w:pPr>
              <w:pStyle w:val="Tabulkatext"/>
              <w:spacing w:before="0" w:after="0"/>
              <w:ind w:left="72"/>
              <w:jc w:val="both"/>
              <w:rPr>
                <w:szCs w:val="20"/>
              </w:rPr>
            </w:pPr>
            <w:r>
              <w:rPr>
                <w:szCs w:val="20"/>
              </w:rPr>
              <w:t>Kritérium pro hodnocení nabídek</w:t>
            </w:r>
          </w:p>
          <w:p w:rsidR="00165657" w:rsidP="00C61C88" w:rsidRDefault="005B1860" w14:paraId="53B2DD82" w14:textId="77777777">
            <w:pPr>
              <w:pStyle w:val="Tabulkatext"/>
              <w:spacing w:before="0" w:after="0"/>
              <w:ind w:left="72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Úplné nabídky podané jednotlivými Účastníky budou hodnoceny podle jejich ekonomické výhodnosti, a to podle </w:t>
            </w:r>
            <w:r w:rsidRPr="002F3FCA">
              <w:rPr>
                <w:b/>
                <w:szCs w:val="20"/>
              </w:rPr>
              <w:t>nejnižší nabídkové ceny</w:t>
            </w:r>
            <w:r>
              <w:rPr>
                <w:szCs w:val="20"/>
              </w:rPr>
              <w:t>, tj. podle výše nabídkové ceny uvedené v Krycím listu nabídky</w:t>
            </w:r>
            <w:r w:rsidR="004B00EF">
              <w:rPr>
                <w:szCs w:val="20"/>
              </w:rPr>
              <w:t xml:space="preserve"> (příloha č. 1 výzvy)</w:t>
            </w:r>
            <w:r>
              <w:rPr>
                <w:szCs w:val="20"/>
              </w:rPr>
              <w:t>.</w:t>
            </w:r>
          </w:p>
          <w:p w:rsidR="005B1860" w:rsidP="00C61C88" w:rsidRDefault="005B1860" w14:paraId="0FE89AC6" w14:textId="77777777">
            <w:pPr>
              <w:pStyle w:val="Tabulkatext"/>
              <w:spacing w:before="0" w:after="0"/>
              <w:ind w:left="72"/>
              <w:jc w:val="both"/>
              <w:rPr>
                <w:szCs w:val="20"/>
              </w:rPr>
            </w:pPr>
            <w:r>
              <w:rPr>
                <w:szCs w:val="20"/>
              </w:rPr>
              <w:t>Způsob hodnocení nabídek</w:t>
            </w:r>
          </w:p>
          <w:p w:rsidR="005B1860" w:rsidP="00C61C88" w:rsidRDefault="005B1860" w14:paraId="69864989" w14:textId="77777777">
            <w:pPr>
              <w:pStyle w:val="Tabulkatext"/>
              <w:spacing w:before="0" w:after="0"/>
              <w:ind w:left="72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Zadavatel rozhodne o výběru nejvhodnější nabídky </w:t>
            </w:r>
            <w:r w:rsidR="002F3FCA">
              <w:rPr>
                <w:szCs w:val="20"/>
              </w:rPr>
              <w:t>toho Účastníka, jehož nabídky byla podle hodnotících kritérií vyhodnocena jako ekonomicky nejvýhodnější. Ekonomicky nejvýhodnější nabídkou je nabídka, která se umístí první v pořadí, tj. nabídka s nejnižší nabídkovou cenou.</w:t>
            </w:r>
          </w:p>
          <w:p w:rsidRPr="005B1860" w:rsidR="00A508D4" w:rsidP="00C61C88" w:rsidRDefault="00A508D4" w14:paraId="5FC00208" w14:textId="77777777">
            <w:pPr>
              <w:pStyle w:val="Tabulkatext"/>
              <w:spacing w:before="0" w:after="0"/>
              <w:ind w:left="72"/>
              <w:jc w:val="both"/>
              <w:rPr>
                <w:szCs w:val="20"/>
              </w:rPr>
            </w:pPr>
            <w:r>
              <w:rPr>
                <w:szCs w:val="20"/>
              </w:rPr>
              <w:t>V případě rovnosti nabídkových cen, bude rozhodovat los.</w:t>
            </w:r>
          </w:p>
          <w:p w:rsidR="00165657" w:rsidP="00C61C88" w:rsidRDefault="00165657" w14:paraId="641AD102" w14:textId="77777777">
            <w:pPr>
              <w:pStyle w:val="Tabulkatext"/>
              <w:spacing w:before="0" w:after="0"/>
              <w:ind w:left="72"/>
              <w:rPr>
                <w:b/>
                <w:szCs w:val="20"/>
              </w:rPr>
            </w:pPr>
          </w:p>
          <w:p w:rsidRPr="00E50090" w:rsidR="002F3FCA" w:rsidP="00BB5E24" w:rsidRDefault="002F3FCA" w14:paraId="029CA548" w14:textId="77777777">
            <w:pPr>
              <w:pStyle w:val="Tabulkatext"/>
              <w:spacing w:before="0" w:after="0"/>
              <w:ind w:left="72"/>
              <w:jc w:val="both"/>
              <w:rPr>
                <w:i/>
                <w:iCs/>
                <w:u w:val="single"/>
              </w:rPr>
            </w:pPr>
          </w:p>
        </w:tc>
      </w:tr>
      <w:tr w:rsidRPr="00E50090" w:rsidR="00E14E40" w:rsidTr="00415C03" w14:paraId="71482EDD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C61C88" w:rsidRDefault="0019708B" w14:paraId="3C71B561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Základní p</w:t>
            </w:r>
            <w:r w:rsidRPr="00E50090" w:rsidR="00E14E40">
              <w:rPr>
                <w:b/>
                <w:bCs/>
              </w:rPr>
              <w:t>ožadavky na prokázání kvalifikace dodavatele</w:t>
            </w:r>
            <w:r w:rsidRPr="00E50090">
              <w:rPr>
                <w:rStyle w:val="Znakapoznpodarou"/>
                <w:b/>
                <w:bCs/>
              </w:rPr>
              <w:footnoteReference w:id="1"/>
            </w:r>
          </w:p>
        </w:tc>
      </w:tr>
      <w:tr w:rsidRPr="00E50090" w:rsidR="00E14E40" w:rsidTr="00415C03" w14:paraId="5FADF8B7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F30EB" w:rsidR="00CF1BD5" w:rsidP="00C61C88" w:rsidRDefault="00CF1BD5" w14:paraId="793AD250" w14:textId="77777777">
            <w:pPr>
              <w:pStyle w:val="Tabulkatext"/>
              <w:spacing w:before="0" w:after="0"/>
              <w:jc w:val="both"/>
            </w:pPr>
            <w:r w:rsidRPr="00BF30EB">
              <w:t xml:space="preserve">Zadavatel požaduje, aby </w:t>
            </w:r>
            <w:r>
              <w:t>dodavatel</w:t>
            </w:r>
            <w:r w:rsidRPr="00BF30EB">
              <w:t xml:space="preserve"> prokázal splnění kvalifikace v tomto rozsahu:</w:t>
            </w:r>
          </w:p>
          <w:p w:rsidRPr="00BF30EB" w:rsidR="00CF1BD5" w:rsidP="00C61C88" w:rsidRDefault="00CF1BD5" w14:paraId="60A334FB" w14:textId="77777777">
            <w:pPr>
              <w:pStyle w:val="Tabulkatext"/>
              <w:numPr>
                <w:ilvl w:val="0"/>
                <w:numId w:val="37"/>
              </w:numPr>
              <w:spacing w:before="0" w:after="0"/>
              <w:jc w:val="both"/>
            </w:pPr>
            <w:r w:rsidRPr="00BF30EB">
              <w:t xml:space="preserve">základní </w:t>
            </w:r>
            <w:r>
              <w:t>způsobilost</w:t>
            </w:r>
            <w:r w:rsidRPr="00BF30EB">
              <w:t>;</w:t>
            </w:r>
          </w:p>
          <w:p w:rsidRPr="00634438" w:rsidR="00CF1BD5" w:rsidP="00C61C88" w:rsidRDefault="00CF1BD5" w14:paraId="70346D01" w14:textId="77777777">
            <w:pPr>
              <w:pStyle w:val="Tabulkatext"/>
              <w:numPr>
                <w:ilvl w:val="0"/>
                <w:numId w:val="37"/>
              </w:numPr>
              <w:spacing w:before="0" w:after="0"/>
              <w:jc w:val="both"/>
            </w:pPr>
            <w:r w:rsidRPr="00634438">
              <w:t xml:space="preserve">profesní </w:t>
            </w:r>
            <w:r>
              <w:t>způsobilost</w:t>
            </w:r>
            <w:r w:rsidRPr="00634438">
              <w:t>;</w:t>
            </w:r>
          </w:p>
          <w:p w:rsidRPr="00CF1BD5" w:rsidR="00CF1BD5" w:rsidP="00C61C88" w:rsidRDefault="00CF1BD5" w14:paraId="2646A7D1" w14:textId="77777777">
            <w:pPr>
              <w:pStyle w:val="Tabulkatext"/>
              <w:numPr>
                <w:ilvl w:val="0"/>
                <w:numId w:val="41"/>
              </w:numPr>
              <w:spacing w:before="0" w:after="0"/>
              <w:jc w:val="both"/>
              <w:rPr>
                <w:i/>
              </w:rPr>
            </w:pPr>
            <w:r w:rsidRPr="00634438">
              <w:t>technick</w:t>
            </w:r>
            <w:r>
              <w:t xml:space="preserve">á </w:t>
            </w:r>
            <w:r w:rsidRPr="00623130">
              <w:t>kvalifika</w:t>
            </w:r>
            <w:r>
              <w:t>ce</w:t>
            </w:r>
            <w:r w:rsidRPr="00634438">
              <w:t>.</w:t>
            </w:r>
          </w:p>
          <w:p w:rsidRPr="00634438" w:rsidR="00CF1BD5" w:rsidP="00C61C88" w:rsidRDefault="00CF1BD5" w14:paraId="7FA0B87D" w14:textId="77777777">
            <w:pPr>
              <w:pStyle w:val="Tabulkatext"/>
              <w:spacing w:before="0" w:after="0"/>
              <w:ind w:left="914"/>
              <w:jc w:val="both"/>
              <w:rPr>
                <w:i/>
              </w:rPr>
            </w:pPr>
          </w:p>
          <w:p w:rsidR="00CF1BD5" w:rsidP="00C61C88" w:rsidRDefault="00CF1BD5" w14:paraId="53D2A31F" w14:textId="77777777">
            <w:pPr>
              <w:pStyle w:val="Tabulkatext"/>
              <w:spacing w:before="0" w:after="0"/>
              <w:jc w:val="both"/>
              <w:rPr>
                <w:b/>
                <w:color w:val="auto"/>
              </w:rPr>
            </w:pPr>
            <w:r w:rsidRPr="00634438">
              <w:rPr>
                <w:b/>
                <w:color w:val="auto"/>
              </w:rPr>
              <w:t xml:space="preserve">Nabídka </w:t>
            </w:r>
            <w:r>
              <w:rPr>
                <w:b/>
                <w:color w:val="auto"/>
              </w:rPr>
              <w:t>účastníka</w:t>
            </w:r>
            <w:r w:rsidRPr="00634438">
              <w:rPr>
                <w:b/>
                <w:color w:val="auto"/>
              </w:rPr>
              <w:t xml:space="preserve"> nesplňujícího kvalifikační předpoklady bude vyloučena.</w:t>
            </w:r>
          </w:p>
          <w:p w:rsidRPr="00634438" w:rsidR="00CF1BD5" w:rsidP="00C61C88" w:rsidRDefault="00CF1BD5" w14:paraId="52C8C516" w14:textId="77777777">
            <w:pPr>
              <w:pStyle w:val="Tabulkatext"/>
              <w:spacing w:before="0" w:after="0"/>
              <w:jc w:val="both"/>
              <w:rPr>
                <w:b/>
                <w:color w:val="auto"/>
              </w:rPr>
            </w:pPr>
          </w:p>
          <w:p w:rsidR="00CF1BD5" w:rsidP="00C61C88" w:rsidRDefault="00CF1BD5" w14:paraId="7B3DBB40" w14:textId="239496B9">
            <w:pPr>
              <w:pStyle w:val="Tabulkatext"/>
              <w:spacing w:before="0" w:after="0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1. </w:t>
            </w:r>
            <w:r w:rsidRPr="00231807">
              <w:rPr>
                <w:b/>
                <w:color w:val="auto"/>
              </w:rPr>
              <w:t xml:space="preserve">Základní </w:t>
            </w:r>
            <w:r>
              <w:rPr>
                <w:b/>
                <w:color w:val="auto"/>
              </w:rPr>
              <w:t>způsobilost</w:t>
            </w:r>
            <w:r w:rsidR="00FC604A">
              <w:rPr>
                <w:b/>
                <w:color w:val="auto"/>
              </w:rPr>
              <w:t xml:space="preserve"> </w:t>
            </w:r>
          </w:p>
          <w:p w:rsidRPr="00634438" w:rsidR="00CF1BD5" w:rsidP="00C61C88" w:rsidRDefault="00CF1BD5" w14:paraId="0A45736D" w14:textId="77777777">
            <w:pPr>
              <w:pStyle w:val="Tabulkatext"/>
              <w:spacing w:before="0" w:after="0"/>
              <w:jc w:val="both"/>
              <w:rPr>
                <w:color w:val="auto"/>
              </w:rPr>
            </w:pPr>
            <w:r w:rsidRPr="00634438">
              <w:rPr>
                <w:color w:val="auto"/>
              </w:rPr>
              <w:t xml:space="preserve">Základní </w:t>
            </w:r>
            <w:r>
              <w:rPr>
                <w:color w:val="auto"/>
              </w:rPr>
              <w:t>způsobilost</w:t>
            </w:r>
            <w:r w:rsidRPr="00634438">
              <w:rPr>
                <w:color w:val="auto"/>
              </w:rPr>
              <w:t xml:space="preserve"> splňuje </w:t>
            </w:r>
            <w:r>
              <w:rPr>
                <w:color w:val="auto"/>
              </w:rPr>
              <w:t>účastník</w:t>
            </w:r>
            <w:r w:rsidRPr="00634438">
              <w:rPr>
                <w:color w:val="auto"/>
              </w:rPr>
              <w:t>:</w:t>
            </w:r>
          </w:p>
          <w:p w:rsidRPr="00332588" w:rsidR="00CF1BD5" w:rsidP="00C61C88" w:rsidRDefault="00CF1BD5" w14:paraId="2569C2BD" w14:textId="77777777">
            <w:pPr>
              <w:pStyle w:val="Tabulkatext"/>
              <w:numPr>
                <w:ilvl w:val="0"/>
                <w:numId w:val="42"/>
              </w:numPr>
              <w:spacing w:before="0" w:after="0"/>
              <w:ind w:left="923"/>
              <w:jc w:val="both"/>
              <w:rPr>
                <w:color w:val="auto"/>
              </w:rPr>
            </w:pPr>
            <w:r w:rsidRPr="00332588">
              <w:rPr>
                <w:color w:val="auto"/>
              </w:rPr>
              <w:lastRenderedPageBreak/>
      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nepřihlíží;</w:t>
            </w:r>
          </w:p>
          <w:p w:rsidRPr="00332588" w:rsidR="00CF1BD5" w:rsidP="00C61C88" w:rsidRDefault="00CF1BD5" w14:paraId="65609198" w14:textId="77777777">
            <w:pPr>
              <w:pStyle w:val="Tabulkatext"/>
              <w:spacing w:before="0" w:after="0"/>
              <w:ind w:left="923"/>
              <w:jc w:val="both"/>
              <w:rPr>
                <w:i/>
                <w:color w:val="auto"/>
              </w:rPr>
            </w:pPr>
            <w:r w:rsidRPr="00332588">
              <w:rPr>
                <w:i/>
                <w:color w:val="auto"/>
              </w:rPr>
              <w:t>Je-li dodavatelem právnická osoba, musí podmínku dle tohoto odstavce splňovat také: tato právnická osoba, každý člen statutárního orgánu této právnické osoby a osoba zastupující tuto právnickou osobu v statutárním orgánu dodavatele.</w:t>
            </w:r>
          </w:p>
          <w:p w:rsidRPr="00634438" w:rsidR="00CF1BD5" w:rsidP="00C61C88" w:rsidRDefault="00CF1BD5" w14:paraId="44BE5241" w14:textId="77777777">
            <w:pPr>
              <w:pStyle w:val="Tabulkatext"/>
              <w:numPr>
                <w:ilvl w:val="0"/>
                <w:numId w:val="42"/>
              </w:numPr>
              <w:spacing w:before="0" w:after="0"/>
              <w:ind w:left="923"/>
              <w:jc w:val="both"/>
              <w:rPr>
                <w:color w:val="auto"/>
              </w:rPr>
            </w:pPr>
            <w:r>
              <w:t>ne</w:t>
            </w:r>
            <w:r w:rsidRPr="008D115E">
              <w:t>má v České republice nebo v zemi svého sídla v evidenci daní zachycen splatný daňový nedoplatek</w:t>
            </w:r>
            <w:r w:rsidRPr="00634438">
              <w:rPr>
                <w:color w:val="auto"/>
              </w:rPr>
              <w:t>;</w:t>
            </w:r>
          </w:p>
          <w:p w:rsidRPr="00634438" w:rsidR="00CF1BD5" w:rsidP="00C61C88" w:rsidRDefault="00CF1BD5" w14:paraId="54665FE1" w14:textId="77777777">
            <w:pPr>
              <w:pStyle w:val="Tabulkatext"/>
              <w:numPr>
                <w:ilvl w:val="0"/>
                <w:numId w:val="42"/>
              </w:numPr>
              <w:spacing w:before="0" w:after="0"/>
              <w:ind w:left="923"/>
              <w:jc w:val="both"/>
              <w:rPr>
                <w:color w:val="auto"/>
              </w:rPr>
            </w:pPr>
            <w:r>
              <w:t>ne</w:t>
            </w:r>
            <w:r w:rsidRPr="008D115E">
              <w:t>má v České republice nebo v zemi svého sídla splatný nedoplatek na pojistném nebo na penále na veřejné zdravotní pojištění</w:t>
            </w:r>
            <w:r w:rsidRPr="00634438">
              <w:rPr>
                <w:color w:val="auto"/>
              </w:rPr>
              <w:t>;</w:t>
            </w:r>
          </w:p>
          <w:p w:rsidRPr="00634438" w:rsidR="00CF1BD5" w:rsidP="00C61C88" w:rsidRDefault="00CF1BD5" w14:paraId="76791386" w14:textId="77777777">
            <w:pPr>
              <w:pStyle w:val="Tabulkatext"/>
              <w:numPr>
                <w:ilvl w:val="0"/>
                <w:numId w:val="42"/>
              </w:numPr>
              <w:spacing w:before="0" w:after="0"/>
              <w:ind w:left="923"/>
              <w:jc w:val="both"/>
              <w:rPr>
                <w:color w:val="auto"/>
              </w:rPr>
            </w:pPr>
            <w:r>
              <w:t>ne</w:t>
            </w:r>
            <w:r w:rsidRPr="008D115E">
              <w:t>má v České republice nebo v zemi svého sídla splatný nedoplatek na pojistném nebo na penále na sociální zabezpečení a příspěvku na státní politiku zaměstnanosti</w:t>
            </w:r>
            <w:r w:rsidRPr="00634438">
              <w:rPr>
                <w:color w:val="auto"/>
              </w:rPr>
              <w:t>;</w:t>
            </w:r>
          </w:p>
          <w:p w:rsidRPr="00634438" w:rsidR="00CF1BD5" w:rsidP="00C61C88" w:rsidRDefault="00CF1BD5" w14:paraId="1DEF0540" w14:textId="77777777">
            <w:pPr>
              <w:pStyle w:val="Tabulkatext"/>
              <w:numPr>
                <w:ilvl w:val="0"/>
                <w:numId w:val="42"/>
              </w:numPr>
              <w:spacing w:before="0" w:after="0"/>
              <w:ind w:left="923"/>
              <w:jc w:val="both"/>
              <w:rPr>
                <w:color w:val="auto"/>
              </w:rPr>
            </w:pPr>
            <w:r>
              <w:rPr>
                <w:color w:val="auto"/>
              </w:rPr>
              <w:t>není</w:t>
            </w:r>
            <w:r w:rsidRPr="00FE129B">
              <w:rPr>
                <w:color w:val="auto"/>
              </w:rPr>
              <w:t xml:space="preserve"> v likvidaci, proti němuž </w:t>
            </w:r>
            <w:r>
              <w:rPr>
                <w:color w:val="auto"/>
              </w:rPr>
              <w:t>ne</w:t>
            </w:r>
            <w:r w:rsidRPr="00FE129B">
              <w:rPr>
                <w:color w:val="auto"/>
              </w:rPr>
              <w:t xml:space="preserve">bylo vydáno rozhodnutí o úpadku, vůči němuž </w:t>
            </w:r>
            <w:r>
              <w:rPr>
                <w:color w:val="auto"/>
              </w:rPr>
              <w:t>ne</w:t>
            </w:r>
            <w:r w:rsidRPr="00FE129B">
              <w:rPr>
                <w:color w:val="auto"/>
              </w:rPr>
              <w:t>byla nařízena nucená správa podle jiného právního předpisu</w:t>
            </w:r>
            <w:r>
              <w:rPr>
                <w:color w:val="auto"/>
              </w:rPr>
              <w:t xml:space="preserve"> </w:t>
            </w:r>
            <w:r w:rsidRPr="00FE129B">
              <w:rPr>
                <w:color w:val="auto"/>
              </w:rPr>
              <w:t>nebo v obdobné situaci podle právního řádu země sídla dodavatele</w:t>
            </w:r>
            <w:r w:rsidRPr="00634438">
              <w:rPr>
                <w:color w:val="auto"/>
              </w:rPr>
              <w:t>.</w:t>
            </w:r>
          </w:p>
          <w:p w:rsidR="00CF1BD5" w:rsidP="00C61C88" w:rsidRDefault="00CF1BD5" w14:paraId="75A92E9B" w14:textId="77777777">
            <w:pPr>
              <w:pStyle w:val="Tabulkatext"/>
              <w:spacing w:before="0" w:after="0"/>
              <w:jc w:val="both"/>
              <w:rPr>
                <w:color w:val="auto"/>
              </w:rPr>
            </w:pPr>
            <w:r>
              <w:rPr>
                <w:szCs w:val="20"/>
              </w:rPr>
              <w:t>Účastník</w:t>
            </w:r>
            <w:r w:rsidRPr="00FB4EDF">
              <w:rPr>
                <w:szCs w:val="20"/>
              </w:rPr>
              <w:t xml:space="preserve"> </w:t>
            </w:r>
            <w:r>
              <w:t xml:space="preserve">prokáže splnění základní způsobilosti čestným prohlášením </w:t>
            </w:r>
            <w:r>
              <w:rPr>
                <w:szCs w:val="20"/>
              </w:rPr>
              <w:t>účastníka</w:t>
            </w:r>
            <w:r>
              <w:t>, ve kterém bude uvedeno</w:t>
            </w:r>
            <w:r w:rsidRPr="002A2BEB">
              <w:t xml:space="preserve">, že </w:t>
            </w:r>
            <w:r>
              <w:rPr>
                <w:szCs w:val="20"/>
              </w:rPr>
              <w:t>účastník</w:t>
            </w:r>
            <w:r w:rsidRPr="00FB4EDF">
              <w:rPr>
                <w:szCs w:val="20"/>
              </w:rPr>
              <w:t xml:space="preserve"> </w:t>
            </w:r>
            <w:r>
              <w:t>všechny výše uvedené základní</w:t>
            </w:r>
            <w:r w:rsidRPr="002A2BEB">
              <w:t xml:space="preserve"> </w:t>
            </w:r>
            <w:r>
              <w:t>způsobilosti</w:t>
            </w:r>
            <w:r w:rsidRPr="002A2BEB">
              <w:t xml:space="preserve"> požadované </w:t>
            </w:r>
            <w:r w:rsidRPr="00D87629">
              <w:t xml:space="preserve">zadavatelem splňuje. </w:t>
            </w:r>
            <w:r>
              <w:rPr>
                <w:szCs w:val="20"/>
              </w:rPr>
              <w:t>Účastník</w:t>
            </w:r>
            <w:r w:rsidRPr="00FB4EDF">
              <w:rPr>
                <w:szCs w:val="20"/>
              </w:rPr>
              <w:t xml:space="preserve"> </w:t>
            </w:r>
            <w:r w:rsidRPr="00D87629">
              <w:t xml:space="preserve">může použít vzor čestného prohlášení, který </w:t>
            </w:r>
            <w:r w:rsidRPr="00465B38">
              <w:t>je Přílohou č. 2 této výzvy. Toto</w:t>
            </w:r>
            <w:r w:rsidRPr="00D87629">
              <w:t xml:space="preserve"> čestné</w:t>
            </w:r>
            <w:r w:rsidRPr="00634438">
              <w:t xml:space="preserve"> prohlášení musí být opatřeno podpisem </w:t>
            </w:r>
            <w:r>
              <w:rPr>
                <w:szCs w:val="20"/>
              </w:rPr>
              <w:t>účastníka</w:t>
            </w:r>
            <w:r w:rsidRPr="00FB4EDF">
              <w:rPr>
                <w:szCs w:val="20"/>
              </w:rPr>
              <w:t xml:space="preserve"> </w:t>
            </w:r>
            <w:r w:rsidRPr="00634438">
              <w:t xml:space="preserve">nebo osoby oprávněné jednat za </w:t>
            </w:r>
            <w:r>
              <w:rPr>
                <w:szCs w:val="20"/>
              </w:rPr>
              <w:t>účastníka</w:t>
            </w:r>
            <w:r w:rsidRPr="00634438">
              <w:rPr>
                <w:color w:val="auto"/>
              </w:rPr>
              <w:t>.</w:t>
            </w:r>
          </w:p>
          <w:p w:rsidRPr="00FC604A" w:rsidR="00CF1BD5" w:rsidP="00C61C88" w:rsidRDefault="00CF1BD5" w14:paraId="766DDFA6" w14:textId="77777777">
            <w:pPr>
              <w:pStyle w:val="Tabulkatext"/>
              <w:spacing w:before="0" w:after="0"/>
              <w:rPr>
                <w:b/>
                <w:color w:val="auto"/>
              </w:rPr>
            </w:pPr>
          </w:p>
          <w:p w:rsidRPr="00FC604A" w:rsidR="00CF1BD5" w:rsidP="00C61C88" w:rsidRDefault="00CF1BD5" w14:paraId="7029E082" w14:textId="088A879E">
            <w:pPr>
              <w:pStyle w:val="Tabulkatext"/>
              <w:spacing w:before="0" w:after="0"/>
              <w:ind w:firstLine="15"/>
              <w:rPr>
                <w:b/>
                <w:color w:val="auto"/>
              </w:rPr>
            </w:pPr>
            <w:r w:rsidRPr="00FC604A">
              <w:rPr>
                <w:b/>
                <w:color w:val="auto"/>
              </w:rPr>
              <w:t xml:space="preserve">2. Profesní </w:t>
            </w:r>
            <w:r w:rsidRPr="00FC604A">
              <w:rPr>
                <w:b/>
              </w:rPr>
              <w:t>způsobilost</w:t>
            </w:r>
            <w:r w:rsidR="00FC604A">
              <w:rPr>
                <w:b/>
              </w:rPr>
              <w:t xml:space="preserve"> </w:t>
            </w:r>
          </w:p>
          <w:p w:rsidRPr="00634438" w:rsidR="00CF1BD5" w:rsidP="00C61C88" w:rsidRDefault="00CF1BD5" w14:paraId="1196C926" w14:textId="77777777">
            <w:pPr>
              <w:pStyle w:val="Tabulkatext"/>
              <w:spacing w:before="0" w:after="0"/>
              <w:ind w:firstLine="15"/>
              <w:rPr>
                <w:color w:val="auto"/>
              </w:rPr>
            </w:pPr>
            <w:r w:rsidRPr="00634438">
              <w:rPr>
                <w:color w:val="auto"/>
              </w:rPr>
              <w:t xml:space="preserve">Profesní </w:t>
            </w:r>
            <w:r>
              <w:t>způsobilost</w:t>
            </w:r>
            <w:r w:rsidRPr="00634438">
              <w:rPr>
                <w:color w:val="auto"/>
              </w:rPr>
              <w:t xml:space="preserve"> splňuje </w:t>
            </w:r>
            <w:r>
              <w:t>ú</w:t>
            </w:r>
            <w:r w:rsidRPr="002F1647">
              <w:t>častník</w:t>
            </w:r>
            <w:r w:rsidRPr="00634438">
              <w:rPr>
                <w:color w:val="auto"/>
              </w:rPr>
              <w:t>:</w:t>
            </w:r>
          </w:p>
          <w:p w:rsidRPr="00FE129B" w:rsidR="00CF1BD5" w:rsidP="00C61C88" w:rsidRDefault="00CF1BD5" w14:paraId="60AF7C43" w14:textId="77777777">
            <w:pPr>
              <w:pStyle w:val="Tabulkatext"/>
              <w:numPr>
                <w:ilvl w:val="0"/>
                <w:numId w:val="43"/>
              </w:numPr>
              <w:spacing w:before="0" w:after="0"/>
              <w:ind w:left="923" w:hanging="360"/>
            </w:pPr>
            <w:r w:rsidRPr="00FE129B">
              <w:rPr>
                <w:color w:val="auto"/>
              </w:rPr>
              <w:t xml:space="preserve">který předloží </w:t>
            </w:r>
            <w:r w:rsidRPr="008D115E">
              <w:t>výpis z obchodního rejstříku nebo jiné obdobné evidence, pokud jiný právní předpis zápis do takové evidence vyžaduje</w:t>
            </w:r>
            <w:r w:rsidRPr="00FE129B">
              <w:rPr>
                <w:color w:val="auto"/>
              </w:rPr>
              <w:t>;</w:t>
            </w:r>
          </w:p>
          <w:p w:rsidR="00CF1BD5" w:rsidP="00C61C88" w:rsidRDefault="00CF1BD5" w14:paraId="473EFECA" w14:textId="77777777">
            <w:pPr>
              <w:pStyle w:val="Tabulkatext"/>
              <w:numPr>
                <w:ilvl w:val="0"/>
                <w:numId w:val="43"/>
              </w:numPr>
              <w:spacing w:before="0" w:after="0"/>
              <w:ind w:left="923" w:hanging="360"/>
              <w:jc w:val="both"/>
            </w:pPr>
            <w:r w:rsidRPr="00FE129B">
              <w:rPr>
                <w:color w:val="auto"/>
              </w:rPr>
              <w:t xml:space="preserve">který je </w:t>
            </w:r>
            <w:r w:rsidRPr="008D115E">
              <w:t>oprávněn podnikat v rozsahu odpovídajícímu předmětu veřejné zakázky, pokud jiné právní předpisy takové oprávnění vyžadují</w:t>
            </w:r>
            <w:r>
              <w:t>.</w:t>
            </w:r>
          </w:p>
          <w:p w:rsidR="00CF1BD5" w:rsidP="00C61C88" w:rsidRDefault="00CF1BD5" w14:paraId="56C16D2A" w14:textId="77777777">
            <w:pPr>
              <w:pStyle w:val="Tabulkatext"/>
              <w:spacing w:before="0" w:after="0"/>
              <w:jc w:val="both"/>
            </w:pPr>
          </w:p>
          <w:p w:rsidRPr="00231807" w:rsidR="00CF1BD5" w:rsidP="00C61C88" w:rsidRDefault="00CF1BD5" w14:paraId="5585BFAB" w14:textId="77777777">
            <w:pPr>
              <w:pStyle w:val="Tabulkatext"/>
              <w:spacing w:before="0" w:after="0"/>
              <w:jc w:val="both"/>
              <w:rPr>
                <w:b/>
                <w:color w:val="auto"/>
              </w:rPr>
            </w:pPr>
            <w:r w:rsidRPr="00FE129B">
              <w:rPr>
                <w:b/>
              </w:rPr>
              <w:t>3.</w:t>
            </w:r>
            <w:r>
              <w:t xml:space="preserve"> </w:t>
            </w:r>
            <w:r w:rsidRPr="00231807">
              <w:rPr>
                <w:b/>
                <w:color w:val="auto"/>
              </w:rPr>
              <w:t>Technick</w:t>
            </w:r>
            <w:r>
              <w:rPr>
                <w:b/>
                <w:color w:val="auto"/>
              </w:rPr>
              <w:t xml:space="preserve">á </w:t>
            </w:r>
            <w:r w:rsidRPr="00572E35">
              <w:rPr>
                <w:b/>
                <w:color w:val="auto"/>
              </w:rPr>
              <w:t>kvalifikace</w:t>
            </w:r>
          </w:p>
          <w:p w:rsidR="00CF1BD5" w:rsidP="00C61C88" w:rsidRDefault="00CF1BD5" w14:paraId="0716F40B" w14:textId="0F84B4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F1BD5">
              <w:rPr>
                <w:rFonts w:cstheme="minorHAnsi"/>
                <w:sz w:val="20"/>
                <w:szCs w:val="20"/>
              </w:rPr>
              <w:t xml:space="preserve">Dodavatel prokáže svoji technickou kvalifikaci předložením seznamu významných služeb provedených dodavatelem v posledních </w:t>
            </w:r>
            <w:r w:rsidR="004B26FD">
              <w:rPr>
                <w:rFonts w:cstheme="minorHAnsi"/>
                <w:sz w:val="20"/>
                <w:szCs w:val="20"/>
              </w:rPr>
              <w:t>3</w:t>
            </w:r>
            <w:r w:rsidRPr="00CF1BD5">
              <w:rPr>
                <w:rFonts w:cstheme="minorHAnsi"/>
                <w:sz w:val="20"/>
                <w:szCs w:val="20"/>
              </w:rPr>
              <w:t xml:space="preserve"> letech</w:t>
            </w:r>
            <w:r w:rsidR="00AB2C1E">
              <w:rPr>
                <w:rFonts w:cstheme="minorHAnsi"/>
                <w:sz w:val="20"/>
                <w:szCs w:val="20"/>
              </w:rPr>
              <w:t xml:space="preserve"> před zahájením </w:t>
            </w:r>
            <w:r w:rsidR="00A508D4">
              <w:rPr>
                <w:rFonts w:cstheme="minorHAnsi"/>
                <w:sz w:val="20"/>
                <w:szCs w:val="20"/>
              </w:rPr>
              <w:t>výběrového</w:t>
            </w:r>
            <w:r w:rsidR="00AB2C1E">
              <w:rPr>
                <w:rFonts w:cstheme="minorHAnsi"/>
                <w:sz w:val="20"/>
                <w:szCs w:val="20"/>
              </w:rPr>
              <w:t xml:space="preserve"> řízení</w:t>
            </w:r>
            <w:r w:rsidRPr="00CF1BD5">
              <w:rPr>
                <w:rFonts w:cstheme="minorHAnsi"/>
                <w:sz w:val="20"/>
                <w:szCs w:val="20"/>
              </w:rPr>
              <w:t xml:space="preserve"> (dále jen „</w:t>
            </w:r>
            <w:proofErr w:type="gramStart"/>
            <w:r w:rsidRPr="00CF1BD5">
              <w:rPr>
                <w:rFonts w:cstheme="minorHAnsi"/>
                <w:sz w:val="20"/>
                <w:szCs w:val="20"/>
              </w:rPr>
              <w:t>seznam“)  včetně</w:t>
            </w:r>
            <w:proofErr w:type="gramEnd"/>
            <w:r w:rsidRPr="00CF1BD5">
              <w:rPr>
                <w:rFonts w:cstheme="minorHAnsi"/>
                <w:sz w:val="20"/>
                <w:szCs w:val="20"/>
              </w:rPr>
              <w:t xml:space="preserve"> uvedení ceny a doby jejich poskytnutí a identifikace objednatele. </w:t>
            </w:r>
          </w:p>
          <w:p w:rsidR="00FC604A" w:rsidP="00C61C88" w:rsidRDefault="00FC604A" w14:paraId="169CF336" w14:textId="7777777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Pr="00BB6F26" w:rsidR="00FC604A" w:rsidP="00C61C88" w:rsidRDefault="00CF1BD5" w14:paraId="74D23ADB" w14:textId="4281856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9341C">
              <w:rPr>
                <w:rFonts w:cstheme="minorHAnsi"/>
                <w:sz w:val="20"/>
                <w:szCs w:val="20"/>
              </w:rPr>
              <w:t xml:space="preserve">Seznam služeb může dodavatel zpracovat podle předlohy, jež tvoří </w:t>
            </w:r>
            <w:r w:rsidRPr="00610CF1">
              <w:rPr>
                <w:rFonts w:cstheme="minorHAnsi"/>
                <w:sz w:val="20"/>
                <w:szCs w:val="20"/>
              </w:rPr>
              <w:t xml:space="preserve">přílohu č. </w:t>
            </w:r>
            <w:r w:rsidRPr="00610CF1" w:rsidR="00894185">
              <w:rPr>
                <w:rFonts w:cstheme="minorHAnsi"/>
                <w:sz w:val="20"/>
                <w:szCs w:val="20"/>
              </w:rPr>
              <w:t>5</w:t>
            </w:r>
            <w:r w:rsidRPr="00610CF1">
              <w:rPr>
                <w:rFonts w:cstheme="minorHAnsi"/>
                <w:sz w:val="20"/>
                <w:szCs w:val="20"/>
              </w:rPr>
              <w:t xml:space="preserve"> </w:t>
            </w:r>
            <w:r w:rsidRPr="00610CF1" w:rsidR="0019341C">
              <w:rPr>
                <w:rFonts w:cstheme="minorHAnsi"/>
                <w:sz w:val="20"/>
                <w:szCs w:val="20"/>
              </w:rPr>
              <w:t>výzvy</w:t>
            </w:r>
            <w:r w:rsidRPr="0019341C" w:rsidR="0019341C">
              <w:rPr>
                <w:rFonts w:cstheme="minorHAnsi"/>
                <w:sz w:val="20"/>
                <w:szCs w:val="20"/>
              </w:rPr>
              <w:t xml:space="preserve">. </w:t>
            </w:r>
            <w:r w:rsidRPr="002777CB" w:rsidR="002777CB">
              <w:rPr>
                <w:rFonts w:cstheme="minorHAnsi"/>
                <w:sz w:val="20"/>
                <w:szCs w:val="20"/>
              </w:rPr>
              <w:t xml:space="preserve">Pokud dodavatel použije jinou předlohu, než zadavatelem předepsanou, potom dodavatelem předložený seznam </w:t>
            </w:r>
            <w:r w:rsidR="002777CB">
              <w:rPr>
                <w:rFonts w:cstheme="minorHAnsi"/>
                <w:sz w:val="20"/>
                <w:szCs w:val="20"/>
              </w:rPr>
              <w:t xml:space="preserve">služeb </w:t>
            </w:r>
            <w:r w:rsidRPr="002777CB" w:rsidR="002777CB">
              <w:rPr>
                <w:rFonts w:cstheme="minorHAnsi"/>
                <w:sz w:val="20"/>
                <w:szCs w:val="20"/>
              </w:rPr>
              <w:t xml:space="preserve">musí obsahovat všechny údaje, které zadavatel v příloze č. </w:t>
            </w:r>
            <w:r w:rsidR="004B26FD">
              <w:rPr>
                <w:rFonts w:cstheme="minorHAnsi"/>
                <w:sz w:val="20"/>
                <w:szCs w:val="20"/>
              </w:rPr>
              <w:t>5</w:t>
            </w:r>
            <w:r w:rsidRPr="002777CB" w:rsidR="002777CB">
              <w:rPr>
                <w:rFonts w:cstheme="minorHAnsi"/>
                <w:sz w:val="20"/>
                <w:szCs w:val="20"/>
              </w:rPr>
              <w:t xml:space="preserve"> </w:t>
            </w:r>
            <w:r w:rsidR="002777CB">
              <w:rPr>
                <w:rFonts w:cstheme="minorHAnsi"/>
                <w:sz w:val="20"/>
                <w:szCs w:val="20"/>
              </w:rPr>
              <w:t>výzvy</w:t>
            </w:r>
            <w:r w:rsidRPr="002777CB" w:rsidR="002777CB">
              <w:rPr>
                <w:rFonts w:cstheme="minorHAnsi"/>
                <w:sz w:val="20"/>
                <w:szCs w:val="20"/>
              </w:rPr>
              <w:t xml:space="preserve"> vymezil</w:t>
            </w:r>
            <w:r w:rsidR="002777CB">
              <w:rPr>
                <w:rFonts w:cstheme="minorHAnsi"/>
                <w:sz w:val="20"/>
                <w:szCs w:val="20"/>
              </w:rPr>
              <w:t>.</w:t>
            </w:r>
            <w:r w:rsidRPr="002777CB" w:rsidR="002777CB">
              <w:rPr>
                <w:rFonts w:cstheme="minorHAnsi"/>
                <w:sz w:val="20"/>
                <w:szCs w:val="20"/>
              </w:rPr>
              <w:t xml:space="preserve"> </w:t>
            </w:r>
            <w:r w:rsidRPr="0019341C" w:rsidR="0019341C">
              <w:rPr>
                <w:rFonts w:cstheme="minorHAnsi"/>
                <w:sz w:val="20"/>
                <w:szCs w:val="20"/>
              </w:rPr>
              <w:t xml:space="preserve">Ze </w:t>
            </w:r>
            <w:r w:rsidRPr="0019341C">
              <w:rPr>
                <w:rFonts w:cstheme="minorHAnsi"/>
                <w:sz w:val="20"/>
                <w:szCs w:val="20"/>
              </w:rPr>
              <w:t>seznamu služe</w:t>
            </w:r>
            <w:r w:rsidRPr="00610CF1">
              <w:rPr>
                <w:rFonts w:cstheme="minorHAnsi"/>
                <w:sz w:val="20"/>
                <w:szCs w:val="20"/>
              </w:rPr>
              <w:t xml:space="preserve">b </w:t>
            </w:r>
            <w:r w:rsidRPr="00BB6F26">
              <w:rPr>
                <w:rFonts w:cstheme="minorHAnsi"/>
                <w:sz w:val="20"/>
                <w:szCs w:val="20"/>
              </w:rPr>
              <w:t xml:space="preserve">provedených dodavatelem musí jednoznačně vyplývat, že dodavatel v uvedeném období provedl alespoň </w:t>
            </w:r>
            <w:r w:rsidRPr="00BB6F26" w:rsidR="00FC604A">
              <w:rPr>
                <w:rFonts w:cstheme="minorHAnsi"/>
                <w:b/>
                <w:sz w:val="20"/>
                <w:szCs w:val="20"/>
              </w:rPr>
              <w:t>2 služby</w:t>
            </w:r>
            <w:r w:rsidRPr="00BB6F26" w:rsidR="00FC604A">
              <w:rPr>
                <w:rFonts w:cstheme="minorHAnsi"/>
                <w:sz w:val="20"/>
                <w:szCs w:val="20"/>
              </w:rPr>
              <w:t xml:space="preserve">, </w:t>
            </w:r>
            <w:r w:rsidRPr="00BB6F26" w:rsidR="0019341C">
              <w:rPr>
                <w:rFonts w:cstheme="minorHAnsi"/>
                <w:sz w:val="20"/>
                <w:szCs w:val="20"/>
              </w:rPr>
              <w:t xml:space="preserve">jejichž předmětem plnění </w:t>
            </w:r>
            <w:r w:rsidRPr="00BB6F26" w:rsidR="00FC604A">
              <w:rPr>
                <w:rFonts w:cstheme="minorHAnsi"/>
                <w:sz w:val="20"/>
                <w:szCs w:val="20"/>
              </w:rPr>
              <w:t>bylo ověření vhodnosti personálního rozložení jednotlivých vytvořených funkčních míst veřejného či soukromého subjektu</w:t>
            </w:r>
            <w:r w:rsidRPr="00BB6F26" w:rsidR="00894185">
              <w:rPr>
                <w:rFonts w:cstheme="minorHAnsi"/>
                <w:sz w:val="20"/>
                <w:szCs w:val="20"/>
              </w:rPr>
              <w:t xml:space="preserve"> v minimální hodnotě </w:t>
            </w:r>
            <w:r w:rsidR="00A508D4">
              <w:rPr>
                <w:rFonts w:cstheme="minorHAnsi"/>
                <w:b/>
                <w:sz w:val="20"/>
                <w:szCs w:val="20"/>
              </w:rPr>
              <w:t>150</w:t>
            </w:r>
            <w:r w:rsidRPr="00BB6F26" w:rsidR="00A508D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B6F26" w:rsidR="00894185">
              <w:rPr>
                <w:rFonts w:cstheme="minorHAnsi"/>
                <w:b/>
                <w:sz w:val="20"/>
                <w:szCs w:val="20"/>
              </w:rPr>
              <w:t xml:space="preserve">tis. Kč bez DPH </w:t>
            </w:r>
            <w:r w:rsidRPr="00BB6F26" w:rsidR="00894185">
              <w:rPr>
                <w:rFonts w:cstheme="minorHAnsi"/>
                <w:sz w:val="20"/>
                <w:szCs w:val="20"/>
              </w:rPr>
              <w:t>každé služby</w:t>
            </w:r>
            <w:r w:rsidRPr="00BB6F26" w:rsidR="00FC604A">
              <w:rPr>
                <w:rFonts w:cstheme="minorHAnsi"/>
                <w:sz w:val="20"/>
                <w:szCs w:val="20"/>
              </w:rPr>
              <w:t>.</w:t>
            </w:r>
          </w:p>
          <w:p w:rsidRPr="00BB6F26" w:rsidR="00FC604A" w:rsidP="00C61C88" w:rsidRDefault="00FC604A" w14:paraId="4028CB2F" w14:textId="7777777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Pr="00BB6F26" w:rsidR="00FC604A" w:rsidP="00C61C88" w:rsidRDefault="00FC604A" w14:paraId="7807AC01" w14:textId="77777777">
            <w:pPr>
              <w:spacing w:after="0"/>
              <w:rPr>
                <w:sz w:val="20"/>
                <w:szCs w:val="20"/>
              </w:rPr>
            </w:pPr>
          </w:p>
          <w:p w:rsidR="003D531B" w:rsidP="00C61C88" w:rsidRDefault="003D531B" w14:paraId="388F4F2F" w14:textId="77900302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6C2A0E" w:rsidR="003D531B" w:rsidP="00C61C88" w:rsidRDefault="003D531B" w14:paraId="0CDA5505" w14:textId="1B6373B2">
            <w:pPr>
              <w:pStyle w:val="Tabulkatext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S</w:t>
            </w:r>
            <w:r w:rsidRPr="006C2A0E">
              <w:rPr>
                <w:b/>
                <w:bCs/>
                <w:color w:val="auto"/>
              </w:rPr>
              <w:t>eznam</w:t>
            </w:r>
            <w:r w:rsidR="00A508D4">
              <w:rPr>
                <w:b/>
                <w:bCs/>
                <w:color w:val="auto"/>
              </w:rPr>
              <w:t xml:space="preserve"> členů realizačního </w:t>
            </w:r>
            <w:proofErr w:type="gramStart"/>
            <w:r w:rsidR="00A508D4">
              <w:rPr>
                <w:b/>
                <w:bCs/>
                <w:color w:val="auto"/>
              </w:rPr>
              <w:t xml:space="preserve">týmu </w:t>
            </w:r>
            <w:r w:rsidRPr="006C2A0E">
              <w:rPr>
                <w:color w:val="auto"/>
              </w:rPr>
              <w:t>, kteří</w:t>
            </w:r>
            <w:proofErr w:type="gramEnd"/>
            <w:r w:rsidRPr="006C2A0E">
              <w:rPr>
                <w:color w:val="auto"/>
              </w:rPr>
              <w:t xml:space="preserve"> se </w:t>
            </w:r>
            <w:r w:rsidRPr="008D115E">
              <w:t>budou podílet na plnění veřejné zakázky, bez ohledu na to, zda jde o zaměstnance dodavatele nebo osoby v jiném vztahu k dodavateli</w:t>
            </w:r>
            <w:r w:rsidRPr="006C2A0E">
              <w:rPr>
                <w:color w:val="auto"/>
              </w:rPr>
              <w:t xml:space="preserve">. Seznam musí mít podobu čestného prohlášení, které bude podepsáno oprávněnou osobou </w:t>
            </w:r>
            <w:r>
              <w:rPr>
                <w:color w:val="auto"/>
              </w:rPr>
              <w:t>účastníka</w:t>
            </w:r>
            <w:r w:rsidRPr="006C2A0E">
              <w:rPr>
                <w:color w:val="auto"/>
              </w:rPr>
              <w:t>.</w:t>
            </w:r>
          </w:p>
          <w:p w:rsidR="003D531B" w:rsidP="00C61C88" w:rsidRDefault="003D531B" w14:paraId="2EFC4C5A" w14:textId="77777777">
            <w:pPr>
              <w:pStyle w:val="Tabulkatext"/>
              <w:jc w:val="both"/>
              <w:rPr>
                <w:color w:val="auto"/>
              </w:rPr>
            </w:pPr>
            <w:r w:rsidRPr="00685D7E">
              <w:rPr>
                <w:color w:val="auto"/>
              </w:rPr>
              <w:t xml:space="preserve">Seznam bude zahrnovat minimálně </w:t>
            </w:r>
            <w:r w:rsidRPr="00415C03">
              <w:rPr>
                <w:b/>
                <w:color w:val="auto"/>
              </w:rPr>
              <w:t>3 členy realizačního týmu</w:t>
            </w:r>
            <w:r w:rsidRPr="00685D7E">
              <w:rPr>
                <w:color w:val="auto"/>
              </w:rPr>
              <w:t>, z nichž jeden bude v postavení vedoucího týmu – projektového manažera, který bude odp</w:t>
            </w:r>
            <w:r>
              <w:rPr>
                <w:color w:val="auto"/>
              </w:rPr>
              <w:t>ovědný zejména za řádné plnění z</w:t>
            </w:r>
            <w:r w:rsidRPr="00685D7E">
              <w:rPr>
                <w:color w:val="auto"/>
              </w:rPr>
              <w:t xml:space="preserve">akázky a za komunikaci se </w:t>
            </w:r>
            <w:r>
              <w:rPr>
                <w:color w:val="auto"/>
              </w:rPr>
              <w:t>z</w:t>
            </w:r>
            <w:r w:rsidRPr="00685D7E">
              <w:rPr>
                <w:color w:val="auto"/>
              </w:rPr>
              <w:t>adavatelem</w:t>
            </w:r>
            <w:r>
              <w:rPr>
                <w:color w:val="auto"/>
              </w:rPr>
              <w:t>.</w:t>
            </w:r>
          </w:p>
          <w:p w:rsidR="003D531B" w:rsidP="00C61C88" w:rsidRDefault="003D531B" w14:paraId="2009E0A1" w14:textId="63344851">
            <w:pPr>
              <w:pStyle w:val="Tabulkatext"/>
              <w:jc w:val="both"/>
              <w:rPr>
                <w:color w:val="auto"/>
              </w:rPr>
            </w:pPr>
            <w:r w:rsidRPr="00685D7E">
              <w:rPr>
                <w:color w:val="auto"/>
              </w:rPr>
              <w:t xml:space="preserve">Členové realizačního týmu uvedení v tomto seznamu budou tvořit realizační tým, </w:t>
            </w:r>
            <w:r>
              <w:rPr>
                <w:color w:val="auto"/>
              </w:rPr>
              <w:t>který bude odpovědný za plnění z</w:t>
            </w:r>
            <w:r w:rsidRPr="00685D7E">
              <w:rPr>
                <w:color w:val="auto"/>
              </w:rPr>
              <w:t xml:space="preserve">akázky. Trvalé změny na </w:t>
            </w:r>
            <w:r w:rsidR="004C61A7">
              <w:rPr>
                <w:color w:val="auto"/>
              </w:rPr>
              <w:t xml:space="preserve">všech pozicích realizačního týmu </w:t>
            </w:r>
            <w:r w:rsidRPr="00685D7E">
              <w:rPr>
                <w:color w:val="auto"/>
              </w:rPr>
              <w:t>budou možné</w:t>
            </w:r>
            <w:r>
              <w:rPr>
                <w:color w:val="auto"/>
              </w:rPr>
              <w:t xml:space="preserve"> pouze po předchozím schválení zadavatelem. </w:t>
            </w:r>
            <w:r w:rsidRPr="00685D7E">
              <w:rPr>
                <w:color w:val="auto"/>
              </w:rPr>
              <w:t xml:space="preserve">Vybraný </w:t>
            </w:r>
            <w:r>
              <w:rPr>
                <w:color w:val="auto"/>
              </w:rPr>
              <w:t>dodavatel bude oprávněn navrhnout z</w:t>
            </w:r>
            <w:r w:rsidRPr="00685D7E">
              <w:rPr>
                <w:color w:val="auto"/>
              </w:rPr>
              <w:t xml:space="preserve">adavateli jako nového </w:t>
            </w:r>
            <w:r w:rsidR="004C61A7">
              <w:rPr>
                <w:color w:val="auto"/>
              </w:rPr>
              <w:t>člena</w:t>
            </w:r>
            <w:r w:rsidRPr="00685D7E" w:rsidR="004C61A7">
              <w:rPr>
                <w:color w:val="auto"/>
              </w:rPr>
              <w:t xml:space="preserve"> </w:t>
            </w:r>
            <w:r w:rsidRPr="00685D7E">
              <w:rPr>
                <w:color w:val="auto"/>
              </w:rPr>
              <w:t>realizačního týmu pouze osobu splňující vešk</w:t>
            </w:r>
            <w:r>
              <w:rPr>
                <w:color w:val="auto"/>
              </w:rPr>
              <w:t>eré uvedené požadavky z</w:t>
            </w:r>
            <w:r w:rsidRPr="00685D7E">
              <w:rPr>
                <w:color w:val="auto"/>
              </w:rPr>
              <w:t>adavatele týkající s</w:t>
            </w:r>
            <w:r w:rsidR="004C61A7">
              <w:rPr>
                <w:color w:val="auto"/>
              </w:rPr>
              <w:t>e člena realizačního týmu</w:t>
            </w:r>
            <w:r w:rsidRPr="00685D7E">
              <w:rPr>
                <w:color w:val="auto"/>
              </w:rPr>
              <w:t>. Výměnu člena realiz</w:t>
            </w:r>
            <w:r>
              <w:rPr>
                <w:color w:val="auto"/>
              </w:rPr>
              <w:t>ačního týmu je dodavatel povinen z</w:t>
            </w:r>
            <w:r w:rsidRPr="00685D7E">
              <w:rPr>
                <w:color w:val="auto"/>
              </w:rPr>
              <w:t xml:space="preserve">adavateli nejpozději do </w:t>
            </w:r>
            <w:r w:rsidR="00415C03">
              <w:rPr>
                <w:color w:val="auto"/>
              </w:rPr>
              <w:t>5</w:t>
            </w:r>
            <w:r w:rsidRPr="00685D7E">
              <w:rPr>
                <w:color w:val="auto"/>
              </w:rPr>
              <w:t xml:space="preserve"> </w:t>
            </w:r>
            <w:r w:rsidR="00415C03">
              <w:rPr>
                <w:color w:val="auto"/>
              </w:rPr>
              <w:t xml:space="preserve">pracovních </w:t>
            </w:r>
            <w:r w:rsidRPr="00685D7E">
              <w:rPr>
                <w:color w:val="auto"/>
              </w:rPr>
              <w:t xml:space="preserve">dnů </w:t>
            </w:r>
            <w:r w:rsidR="00415C03">
              <w:rPr>
                <w:color w:val="auto"/>
              </w:rPr>
              <w:t xml:space="preserve">před touto změnou oznámit a </w:t>
            </w:r>
            <w:r w:rsidRPr="0083052D" w:rsidR="00415C03">
              <w:rPr>
                <w:color w:val="auto"/>
              </w:rPr>
              <w:t xml:space="preserve">do </w:t>
            </w:r>
            <w:r w:rsidR="00415C03">
              <w:rPr>
                <w:color w:val="auto"/>
              </w:rPr>
              <w:t>5</w:t>
            </w:r>
            <w:r w:rsidRPr="0083052D" w:rsidR="00415C03">
              <w:rPr>
                <w:color w:val="auto"/>
              </w:rPr>
              <w:t xml:space="preserve"> pracovních dnů od oznámení této změny předložit nové doklady nebo prohlášení ke kvalifikaci</w:t>
            </w:r>
            <w:r w:rsidRPr="00685D7E">
              <w:rPr>
                <w:color w:val="auto"/>
              </w:rPr>
              <w:t>.</w:t>
            </w:r>
            <w:r w:rsidR="00415C03">
              <w:rPr>
                <w:color w:val="auto"/>
              </w:rPr>
              <w:t xml:space="preserve"> </w:t>
            </w:r>
            <w:r w:rsidRPr="00685D7E">
              <w:rPr>
                <w:color w:val="auto"/>
              </w:rPr>
              <w:t xml:space="preserve">Člena realizačního týmu je </w:t>
            </w:r>
            <w:r>
              <w:rPr>
                <w:color w:val="auto"/>
              </w:rPr>
              <w:t>dodavatel</w:t>
            </w:r>
            <w:r w:rsidRPr="00685D7E">
              <w:rPr>
                <w:color w:val="auto"/>
              </w:rPr>
              <w:t xml:space="preserve"> povinen nahradit pouze takovou osobou, která splňuje požadavky uvedené v této </w:t>
            </w:r>
            <w:r>
              <w:rPr>
                <w:color w:val="auto"/>
              </w:rPr>
              <w:t>výzvě</w:t>
            </w:r>
            <w:r w:rsidRPr="00685D7E">
              <w:rPr>
                <w:color w:val="auto"/>
              </w:rPr>
              <w:t>.</w:t>
            </w:r>
          </w:p>
          <w:p w:rsidR="003D531B" w:rsidP="00C61C88" w:rsidRDefault="003D531B" w14:paraId="35FB425A" w14:textId="77777777">
            <w:pPr>
              <w:pStyle w:val="Tabulkatext"/>
              <w:jc w:val="both"/>
              <w:rPr>
                <w:color w:val="auto"/>
              </w:rPr>
            </w:pPr>
            <w:r w:rsidRPr="00D07BCE">
              <w:rPr>
                <w:color w:val="auto"/>
              </w:rPr>
              <w:lastRenderedPageBreak/>
              <w:t xml:space="preserve">Zadavatel ke splnění tohoto kvalifikačního předpokladu požaduje, aby </w:t>
            </w:r>
            <w:r>
              <w:rPr>
                <w:color w:val="auto"/>
              </w:rPr>
              <w:t>účastník</w:t>
            </w:r>
            <w:r w:rsidRPr="00D07BCE">
              <w:rPr>
                <w:color w:val="auto"/>
              </w:rPr>
              <w:t xml:space="preserve"> níže uvedeným způsobem prokázal, že projektový manažer a všichni členové realizačního týmu splňují následující požadavky:</w:t>
            </w:r>
          </w:p>
          <w:p w:rsidR="003D531B" w:rsidP="00C61C88" w:rsidRDefault="003D531B" w14:paraId="032D4393" w14:textId="5F96E03C">
            <w:pPr>
              <w:pStyle w:val="Tabulkatext"/>
              <w:jc w:val="both"/>
              <w:rPr>
                <w:color w:val="auto"/>
              </w:rPr>
            </w:pPr>
            <w:r>
              <w:rPr>
                <w:color w:val="auto"/>
              </w:rPr>
              <w:t>- všichni členové realizačního týmu musí mít středoškolské vzdělání</w:t>
            </w:r>
            <w:r w:rsidR="00A508D4">
              <w:rPr>
                <w:color w:val="auto"/>
              </w:rPr>
              <w:t xml:space="preserve"> ukončené maturitní zkouškou</w:t>
            </w:r>
            <w:r>
              <w:rPr>
                <w:color w:val="auto"/>
              </w:rPr>
              <w:t>;</w:t>
            </w:r>
          </w:p>
          <w:p w:rsidR="003D531B" w:rsidP="00C61C88" w:rsidRDefault="003D531B" w14:paraId="7A861FD0" w14:textId="31622D2B">
            <w:pPr>
              <w:pStyle w:val="Tabulkatex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5607B4">
              <w:rPr>
                <w:color w:val="auto"/>
              </w:rPr>
              <w:t xml:space="preserve">vedoucí týmu - </w:t>
            </w:r>
            <w:r>
              <w:rPr>
                <w:color w:val="auto"/>
              </w:rPr>
              <w:t>projektový manažer musí mít ukončené vysokoškolské vzdělání</w:t>
            </w:r>
            <w:r w:rsidR="00DC32CF">
              <w:rPr>
                <w:color w:val="auto"/>
              </w:rPr>
              <w:t>, minimálně bakalářský titul,</w:t>
            </w:r>
            <w:r w:rsidR="00A508D4">
              <w:rPr>
                <w:color w:val="auto"/>
              </w:rPr>
              <w:t xml:space="preserve"> v</w:t>
            </w:r>
            <w:r w:rsidR="00E80555">
              <w:rPr>
                <w:color w:val="auto"/>
              </w:rPr>
              <w:t> </w:t>
            </w:r>
            <w:r w:rsidR="00A508D4">
              <w:rPr>
                <w:color w:val="auto"/>
              </w:rPr>
              <w:t>oboru</w:t>
            </w:r>
            <w:r w:rsidR="00E80555">
              <w:rPr>
                <w:color w:val="auto"/>
              </w:rPr>
              <w:t xml:space="preserve"> management, organizace a řízení či obdobném předmětu plnění zakázky</w:t>
            </w:r>
            <w:r>
              <w:rPr>
                <w:color w:val="auto"/>
              </w:rPr>
              <w:t>;</w:t>
            </w:r>
          </w:p>
          <w:p w:rsidRPr="00D07BCE" w:rsidR="003D531B" w:rsidP="00C61C88" w:rsidRDefault="003D531B" w14:paraId="067F5E5D" w14:textId="77777777">
            <w:pPr>
              <w:pStyle w:val="Tabulkatex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D07BCE">
              <w:rPr>
                <w:color w:val="auto"/>
              </w:rPr>
              <w:t>všichni členové realizačního týmu musí mít znalost českého jazyka na komunikační úrovni (komunikační jazyk v rámci poskytování poradenských služeb bude český jazyk);</w:t>
            </w:r>
          </w:p>
          <w:p w:rsidRPr="00D07BCE" w:rsidR="003D531B" w:rsidP="00C61C88" w:rsidRDefault="003D531B" w14:paraId="5F53BA46" w14:textId="3A253B15">
            <w:pPr>
              <w:pStyle w:val="Tabulkatext"/>
              <w:jc w:val="both"/>
              <w:rPr>
                <w:color w:val="auto"/>
              </w:rPr>
            </w:pPr>
            <w:r w:rsidRPr="00D07BCE">
              <w:rPr>
                <w:color w:val="auto"/>
              </w:rPr>
              <w:t>- všichni členové realizačního týmu musí mít praxi v</w:t>
            </w:r>
            <w:r>
              <w:rPr>
                <w:color w:val="auto"/>
              </w:rPr>
              <w:t xml:space="preserve"> oblasti </w:t>
            </w:r>
            <w:r w:rsidR="00C43C56">
              <w:rPr>
                <w:color w:val="auto"/>
              </w:rPr>
              <w:t xml:space="preserve">optimalizace procesů personálního řízení a rozvoje lidských zdrojů, </w:t>
            </w:r>
            <w:r>
              <w:rPr>
                <w:color w:val="auto"/>
              </w:rPr>
              <w:t xml:space="preserve">v délce </w:t>
            </w:r>
            <w:r w:rsidRPr="00D07BCE">
              <w:rPr>
                <w:color w:val="auto"/>
              </w:rPr>
              <w:t>nejméně</w:t>
            </w:r>
            <w:r>
              <w:rPr>
                <w:color w:val="auto"/>
              </w:rPr>
              <w:t xml:space="preserve"> 3 </w:t>
            </w:r>
            <w:r w:rsidRPr="00D07BCE">
              <w:rPr>
                <w:color w:val="auto"/>
              </w:rPr>
              <w:t>let;</w:t>
            </w:r>
          </w:p>
          <w:p w:rsidRPr="00D07BCE" w:rsidR="00C43C56" w:rsidP="00C61C88" w:rsidRDefault="003D531B" w14:paraId="2A1DFAE1" w14:textId="415873F0">
            <w:pPr>
              <w:pStyle w:val="Tabulkatext"/>
              <w:jc w:val="both"/>
              <w:rPr>
                <w:color w:val="auto"/>
              </w:rPr>
            </w:pPr>
            <w:r w:rsidRPr="00D07BCE">
              <w:rPr>
                <w:color w:val="auto"/>
              </w:rPr>
              <w:t xml:space="preserve">- projektový manažer musí mít praxi </w:t>
            </w:r>
            <w:r w:rsidRPr="00D07BCE" w:rsidR="00C43C56">
              <w:rPr>
                <w:color w:val="auto"/>
              </w:rPr>
              <w:t>v</w:t>
            </w:r>
            <w:r w:rsidR="00C43C56">
              <w:rPr>
                <w:color w:val="auto"/>
              </w:rPr>
              <w:t xml:space="preserve"> oblasti optimalizace procesů personálního řízení a rozvoje lidských zdrojů, v délce </w:t>
            </w:r>
            <w:r w:rsidRPr="00D07BCE" w:rsidR="00C43C56">
              <w:rPr>
                <w:color w:val="auto"/>
              </w:rPr>
              <w:t>nejméně</w:t>
            </w:r>
            <w:r w:rsidR="00C43C56">
              <w:rPr>
                <w:color w:val="auto"/>
              </w:rPr>
              <w:t xml:space="preserve"> 5 </w:t>
            </w:r>
            <w:r w:rsidRPr="00D07BCE" w:rsidR="00C43C56">
              <w:rPr>
                <w:color w:val="auto"/>
              </w:rPr>
              <w:t>let;</w:t>
            </w:r>
          </w:p>
          <w:p w:rsidR="003D531B" w:rsidP="00C61C88" w:rsidRDefault="003D531B" w14:paraId="5B2E4F58" w14:textId="77777777">
            <w:pPr>
              <w:pStyle w:val="Tabulkatext"/>
              <w:ind w:left="924"/>
              <w:jc w:val="both"/>
              <w:rPr>
                <w:color w:val="auto"/>
              </w:rPr>
            </w:pPr>
          </w:p>
          <w:p w:rsidR="003D531B" w:rsidP="00C61C88" w:rsidRDefault="003D531B" w14:paraId="1AA6D95C" w14:textId="5CA0420C">
            <w:pPr>
              <w:pStyle w:val="Tabulkatext"/>
              <w:jc w:val="both"/>
              <w:rPr>
                <w:color w:val="auto"/>
              </w:rPr>
            </w:pPr>
            <w:r w:rsidRPr="00F05B34">
              <w:rPr>
                <w:color w:val="auto"/>
              </w:rPr>
              <w:t>Přílohu seznamu</w:t>
            </w:r>
            <w:r w:rsidR="004C4511">
              <w:rPr>
                <w:color w:val="auto"/>
              </w:rPr>
              <w:t xml:space="preserve"> členů realizačního týmu</w:t>
            </w:r>
            <w:r w:rsidRPr="00F05B34">
              <w:rPr>
                <w:color w:val="auto"/>
              </w:rPr>
              <w:t xml:space="preserve"> bud</w:t>
            </w:r>
            <w:r>
              <w:rPr>
                <w:color w:val="auto"/>
              </w:rPr>
              <w:t>ou</w:t>
            </w:r>
            <w:r w:rsidRPr="00F05B34">
              <w:rPr>
                <w:color w:val="auto"/>
              </w:rPr>
              <w:t xml:space="preserve"> tvořit profesní životopisy všech členů realizačního tým</w:t>
            </w:r>
            <w:r w:rsidR="008647AD">
              <w:rPr>
                <w:color w:val="auto"/>
              </w:rPr>
              <w:t>u a doklad o vzdělání (VŠ diplom vedoucího týmu, maturitní vysvědčení členů realizačního týmu)</w:t>
            </w:r>
            <w:r>
              <w:rPr>
                <w:color w:val="auto"/>
              </w:rPr>
              <w:t xml:space="preserve">. Profesní životopis bude </w:t>
            </w:r>
            <w:r w:rsidRPr="00F05B34">
              <w:rPr>
                <w:color w:val="auto"/>
              </w:rPr>
              <w:t>zpracován v níže uvedeném minimálním rozsahu a členění:</w:t>
            </w:r>
            <w:r>
              <w:rPr>
                <w:color w:val="auto"/>
              </w:rPr>
              <w:t xml:space="preserve"> </w:t>
            </w:r>
          </w:p>
          <w:p w:rsidRPr="0037794E" w:rsidR="003D531B" w:rsidP="00C61C88" w:rsidRDefault="003D531B" w14:paraId="0DED519A" w14:textId="77777777">
            <w:pPr>
              <w:pStyle w:val="Tabulkatext"/>
              <w:ind w:left="924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37794E">
              <w:rPr>
                <w:color w:val="auto"/>
              </w:rPr>
              <w:t>jméno a příjmení;</w:t>
            </w:r>
          </w:p>
          <w:p w:rsidRPr="0037794E" w:rsidR="003D531B" w:rsidP="00C61C88" w:rsidRDefault="003D531B" w14:paraId="646036BE" w14:textId="77777777">
            <w:pPr>
              <w:pStyle w:val="Tabulkatext"/>
              <w:ind w:left="924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37794E">
              <w:rPr>
                <w:color w:val="auto"/>
              </w:rPr>
              <w:t xml:space="preserve"> označení pozice v realizačním týmu;</w:t>
            </w:r>
          </w:p>
          <w:p w:rsidRPr="0037794E" w:rsidR="003D531B" w:rsidP="00C61C88" w:rsidRDefault="003D531B" w14:paraId="5A2100E5" w14:textId="77777777">
            <w:pPr>
              <w:pStyle w:val="Tabulkatext"/>
              <w:ind w:left="924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37794E">
              <w:rPr>
                <w:color w:val="auto"/>
              </w:rPr>
              <w:t xml:space="preserve"> nejvyšší dosažené vzdělání;</w:t>
            </w:r>
          </w:p>
          <w:p w:rsidR="003D531B" w:rsidP="00C61C88" w:rsidRDefault="003D531B" w14:paraId="3F2C4448" w14:textId="45E66E73">
            <w:pPr>
              <w:pStyle w:val="Tabulkatext"/>
              <w:ind w:left="924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37794E">
              <w:rPr>
                <w:color w:val="auto"/>
              </w:rPr>
              <w:t xml:space="preserve"> přehled profesní praxe a délky jejího trvání v</w:t>
            </w:r>
            <w:r w:rsidR="004C4511">
              <w:rPr>
                <w:color w:val="auto"/>
              </w:rPr>
              <w:t> </w:t>
            </w:r>
            <w:r w:rsidR="00982BBD">
              <w:rPr>
                <w:color w:val="auto"/>
              </w:rPr>
              <w:t>oblasti optimalizace procesů personálního řízení a rozvoje lidských zdrojů</w:t>
            </w:r>
            <w:r w:rsidR="007162AB">
              <w:rPr>
                <w:color w:val="auto"/>
              </w:rPr>
              <w:t xml:space="preserve"> či obdobném předmětu plnění</w:t>
            </w:r>
            <w:r w:rsidR="00725D79">
              <w:rPr>
                <w:color w:val="auto"/>
              </w:rPr>
              <w:t>;</w:t>
            </w:r>
          </w:p>
          <w:p w:rsidR="003D531B" w:rsidP="00C61C88" w:rsidRDefault="003D531B" w14:paraId="204457FF" w14:textId="77777777">
            <w:pPr>
              <w:pStyle w:val="Tabulkatext"/>
              <w:ind w:left="924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37794E">
              <w:rPr>
                <w:color w:val="auto"/>
              </w:rPr>
              <w:t xml:space="preserve"> relevantní zakázky, </w:t>
            </w:r>
            <w:r>
              <w:rPr>
                <w:color w:val="auto"/>
              </w:rPr>
              <w:t>na kterých se člen týmu podílel.</w:t>
            </w:r>
          </w:p>
          <w:p w:rsidRPr="00FE129B" w:rsidR="00982BBD" w:rsidP="005607B4" w:rsidRDefault="00982BBD" w14:paraId="78F0A34E" w14:textId="77777777">
            <w:pPr>
              <w:pStyle w:val="Tabulkatext"/>
              <w:ind w:left="0"/>
              <w:jc w:val="both"/>
            </w:pPr>
          </w:p>
          <w:p w:rsidR="00CF1BD5" w:rsidP="00C61C88" w:rsidRDefault="00CF1BD5" w14:paraId="42B5E717" w14:textId="77777777">
            <w:pPr>
              <w:pStyle w:val="Tabulkatext"/>
              <w:spacing w:before="0" w:after="0"/>
              <w:jc w:val="both"/>
              <w:rPr>
                <w:b/>
                <w:color w:val="auto"/>
              </w:rPr>
            </w:pPr>
            <w:r w:rsidRPr="00F31743">
              <w:rPr>
                <w:b/>
              </w:rPr>
              <w:t>4.</w:t>
            </w:r>
            <w:r>
              <w:t xml:space="preserve"> </w:t>
            </w:r>
            <w:r w:rsidRPr="00231807">
              <w:rPr>
                <w:b/>
                <w:color w:val="auto"/>
              </w:rPr>
              <w:t>Společná ustanovení ke kvalifikaci</w:t>
            </w:r>
          </w:p>
          <w:p w:rsidR="00CF1BD5" w:rsidP="00C61C88" w:rsidRDefault="00CF1BD5" w14:paraId="576F2BA8" w14:textId="6144530B">
            <w:pPr>
              <w:pStyle w:val="Tabulkatext"/>
              <w:spacing w:before="0" w:after="0"/>
              <w:jc w:val="both"/>
              <w:rPr>
                <w:color w:val="auto"/>
              </w:rPr>
            </w:pPr>
            <w:r w:rsidRPr="00DC033C">
              <w:rPr>
                <w:color w:val="auto"/>
              </w:rPr>
              <w:t xml:space="preserve">Předpokladem pro posouzení a hodnocení nabídky </w:t>
            </w:r>
            <w:r>
              <w:rPr>
                <w:color w:val="auto"/>
              </w:rPr>
              <w:t>účastníka</w:t>
            </w:r>
            <w:r w:rsidRPr="00DC033C">
              <w:rPr>
                <w:color w:val="auto"/>
              </w:rPr>
              <w:t xml:space="preserve"> je splnění kvalifikace. V případě nesplnění kteréhokoliv kvalifikačního kritéria nebo nesplnění povinnosti oznámení změn v kvalifikaci (viz níže) bude </w:t>
            </w:r>
            <w:r>
              <w:rPr>
                <w:color w:val="auto"/>
              </w:rPr>
              <w:t>účastník</w:t>
            </w:r>
            <w:r w:rsidR="00080539">
              <w:rPr>
                <w:color w:val="auto"/>
              </w:rPr>
              <w:t xml:space="preserve"> vyloučen z</w:t>
            </w:r>
            <w:r w:rsidRPr="00DC033C">
              <w:rPr>
                <w:color w:val="auto"/>
              </w:rPr>
              <w:t xml:space="preserve"> </w:t>
            </w:r>
            <w:r w:rsidR="00680CA3">
              <w:rPr>
                <w:color w:val="auto"/>
              </w:rPr>
              <w:t>výběrového</w:t>
            </w:r>
            <w:r w:rsidRPr="00DC033C">
              <w:rPr>
                <w:color w:val="auto"/>
              </w:rPr>
              <w:t xml:space="preserve"> řízení. </w:t>
            </w:r>
            <w:r w:rsidR="00E7728A">
              <w:rPr>
                <w:color w:val="auto"/>
              </w:rPr>
              <w:t xml:space="preserve"> Je-li nabídka neúplná nebo nejasná, může zadavatel za předpokladu dodržení zásad rovného přístupu, transparentnosti a nediskriminace požádat dodavatele o její doplnění nebo objasnění v dodatečné </w:t>
            </w:r>
            <w:r w:rsidR="00AF7207">
              <w:rPr>
                <w:color w:val="auto"/>
              </w:rPr>
              <w:t xml:space="preserve">minimálně 48hodinové lhůtě. </w:t>
            </w:r>
            <w:r w:rsidR="00E7728A">
              <w:rPr>
                <w:color w:val="auto"/>
              </w:rPr>
              <w:t>Takto však nelze doplňovat či měnit nabízené plnění, nabídkovou cenu nebo jiné skutečnosti rozhodné pro hodnocení.</w:t>
            </w:r>
          </w:p>
          <w:p w:rsidRPr="00DC033C" w:rsidR="00CF1BD5" w:rsidP="00C61C88" w:rsidRDefault="00CF1BD5" w14:paraId="5EEA9EC0" w14:textId="77777777">
            <w:pPr>
              <w:pStyle w:val="Tabulkatext"/>
              <w:spacing w:before="0" w:after="0"/>
              <w:jc w:val="both"/>
              <w:rPr>
                <w:color w:val="auto"/>
              </w:rPr>
            </w:pPr>
            <w:r>
              <w:rPr>
                <w:color w:val="auto"/>
              </w:rPr>
              <w:t>Účastník</w:t>
            </w:r>
            <w:r w:rsidRPr="00DC033C">
              <w:rPr>
                <w:color w:val="auto"/>
              </w:rPr>
              <w:t xml:space="preserve"> prokáže splnění kvalifikace ve všech případech příslušnými doklady předloženými v prostých kopiích. </w:t>
            </w:r>
          </w:p>
          <w:p w:rsidR="00CF1BD5" w:rsidP="00C61C88" w:rsidRDefault="00CF1BD5" w14:paraId="48C6205A" w14:textId="56F75C50">
            <w:pPr>
              <w:pStyle w:val="Tabulkatext"/>
              <w:spacing w:before="0" w:after="0"/>
              <w:jc w:val="both"/>
              <w:rPr>
                <w:color w:val="auto"/>
              </w:rPr>
            </w:pPr>
            <w:r w:rsidRPr="00DC033C">
              <w:rPr>
                <w:color w:val="auto"/>
              </w:rPr>
              <w:t xml:space="preserve">Zadavatel si vyhrazuje právo ověřit údaje a informace uvedené v nabídce </w:t>
            </w:r>
            <w:r>
              <w:rPr>
                <w:color w:val="auto"/>
              </w:rPr>
              <w:t>účastníka</w:t>
            </w:r>
            <w:r w:rsidRPr="00DC033C">
              <w:rPr>
                <w:color w:val="auto"/>
              </w:rPr>
              <w:t xml:space="preserve"> u třetích osob, </w:t>
            </w:r>
            <w:r>
              <w:rPr>
                <w:color w:val="auto"/>
              </w:rPr>
              <w:t>účastník</w:t>
            </w:r>
            <w:r w:rsidRPr="00DC033C">
              <w:rPr>
                <w:color w:val="auto"/>
              </w:rPr>
              <w:t xml:space="preserve"> je povinen zadavateli v tomto poskytnout potřebnou součinnost</w:t>
            </w:r>
            <w:r>
              <w:rPr>
                <w:color w:val="auto"/>
              </w:rPr>
              <w:t>.</w:t>
            </w:r>
          </w:p>
          <w:p w:rsidR="00CF1BD5" w:rsidP="00C61C88" w:rsidRDefault="00CF1BD5" w14:paraId="73D3EDB1" w14:textId="33F8311E">
            <w:pPr>
              <w:pStyle w:val="Tabulkatext"/>
              <w:spacing w:before="0" w:after="0"/>
              <w:jc w:val="both"/>
            </w:pPr>
            <w:r>
              <w:rPr>
                <w:color w:val="auto"/>
              </w:rPr>
              <w:t>Doklad</w:t>
            </w:r>
            <w:r w:rsidRPr="00DC033C">
              <w:rPr>
                <w:color w:val="auto"/>
              </w:rPr>
              <w:t xml:space="preserve"> prokazující splnění</w:t>
            </w:r>
            <w:r w:rsidR="00E7728A">
              <w:rPr>
                <w:color w:val="auto"/>
              </w:rPr>
              <w:t xml:space="preserve"> základní a</w:t>
            </w:r>
            <w:r w:rsidRPr="00DC033C">
              <w:rPr>
                <w:color w:val="auto"/>
              </w:rPr>
              <w:t xml:space="preserve"> </w:t>
            </w:r>
            <w:r>
              <w:rPr>
                <w:color w:val="auto"/>
              </w:rPr>
              <w:t>profesní způsobilosti</w:t>
            </w:r>
            <w:r w:rsidRPr="00DC033C">
              <w:rPr>
                <w:color w:val="auto"/>
              </w:rPr>
              <w:t xml:space="preserve"> </w:t>
            </w:r>
            <w:r w:rsidRPr="008D115E">
              <w:t xml:space="preserve">musí prokazovat splnění požadovaného kritéria způsobilosti nejpozději v době 3 měsíců přede dnem zahájení </w:t>
            </w:r>
            <w:r w:rsidR="00680CA3">
              <w:t>výběrového</w:t>
            </w:r>
            <w:r w:rsidRPr="008D115E">
              <w:t xml:space="preserve"> řízení</w:t>
            </w:r>
            <w:r w:rsidRPr="00DC033C">
              <w:rPr>
                <w:color w:val="auto"/>
              </w:rPr>
              <w:t xml:space="preserve">. Základní </w:t>
            </w:r>
            <w:r>
              <w:rPr>
                <w:color w:val="auto"/>
              </w:rPr>
              <w:t xml:space="preserve">způsobilost </w:t>
            </w:r>
            <w:r w:rsidRPr="00DC033C">
              <w:rPr>
                <w:color w:val="auto"/>
              </w:rPr>
              <w:t xml:space="preserve">a profesní </w:t>
            </w:r>
            <w:r>
              <w:rPr>
                <w:color w:val="auto"/>
              </w:rPr>
              <w:t>způsobilost</w:t>
            </w:r>
            <w:r w:rsidRPr="00DC033C">
              <w:rPr>
                <w:color w:val="auto"/>
              </w:rPr>
              <w:t xml:space="preserve"> dle bodu 2 písm</w:t>
            </w:r>
            <w:r w:rsidRPr="00231807">
              <w:rPr>
                <w:color w:val="auto"/>
              </w:rPr>
              <w:t xml:space="preserve">. a) </w:t>
            </w:r>
            <w:r>
              <w:rPr>
                <w:color w:val="auto"/>
              </w:rPr>
              <w:t>tohoto článku</w:t>
            </w:r>
            <w:r w:rsidRPr="00231807">
              <w:rPr>
                <w:color w:val="auto"/>
              </w:rPr>
              <w:t xml:space="preserve"> nemohou být prokázány prostřednictvím </w:t>
            </w:r>
            <w:r>
              <w:rPr>
                <w:color w:val="auto"/>
              </w:rPr>
              <w:t>poddodavatele.</w:t>
            </w:r>
          </w:p>
          <w:p w:rsidR="00415C03" w:rsidP="00C61C88" w:rsidRDefault="00CF1BD5" w14:paraId="245286B4" w14:textId="53811FBE">
            <w:pPr>
              <w:pStyle w:val="Tabulkatext"/>
              <w:spacing w:before="0" w:after="0"/>
              <w:jc w:val="both"/>
              <w:rPr>
                <w:color w:val="auto"/>
              </w:rPr>
            </w:pPr>
            <w:r w:rsidRPr="0083052D">
              <w:rPr>
                <w:color w:val="auto"/>
              </w:rPr>
              <w:t xml:space="preserve">Pokud po předložení dokladů nebo prohlášení o kvalifikaci dojde v průběhu </w:t>
            </w:r>
            <w:r w:rsidR="00680CA3">
              <w:rPr>
                <w:color w:val="auto"/>
              </w:rPr>
              <w:t>výběrového</w:t>
            </w:r>
            <w:r w:rsidRPr="0083052D">
              <w:rPr>
                <w:color w:val="auto"/>
              </w:rPr>
              <w:t xml:space="preserve"> řízení ke změně kvalifikace účastníka </w:t>
            </w:r>
            <w:r w:rsidR="00680CA3">
              <w:rPr>
                <w:color w:val="auto"/>
              </w:rPr>
              <w:t>výběrového</w:t>
            </w:r>
            <w:r w:rsidRPr="0083052D">
              <w:rPr>
                <w:color w:val="auto"/>
              </w:rPr>
              <w:t xml:space="preserve"> řízení, je účastník </w:t>
            </w:r>
            <w:r w:rsidR="00680CA3">
              <w:rPr>
                <w:color w:val="auto"/>
              </w:rPr>
              <w:t>výběrového</w:t>
            </w:r>
            <w:r w:rsidRPr="0083052D">
              <w:rPr>
                <w:color w:val="auto"/>
              </w:rPr>
              <w:t xml:space="preserve"> řízení povinen tuto změnu zadavateli do 5 pracovních dnů</w:t>
            </w:r>
            <w:r w:rsidR="00415C03">
              <w:rPr>
                <w:color w:val="auto"/>
              </w:rPr>
              <w:t xml:space="preserve"> před touto změnou</w:t>
            </w:r>
            <w:r w:rsidRPr="0083052D">
              <w:rPr>
                <w:color w:val="auto"/>
              </w:rPr>
              <w:t xml:space="preserve"> oznámit a do </w:t>
            </w:r>
            <w:r w:rsidR="00415C03">
              <w:rPr>
                <w:color w:val="auto"/>
              </w:rPr>
              <w:t>5</w:t>
            </w:r>
            <w:r w:rsidRPr="0083052D" w:rsidR="00415C03">
              <w:rPr>
                <w:color w:val="auto"/>
              </w:rPr>
              <w:t xml:space="preserve"> </w:t>
            </w:r>
            <w:r w:rsidRPr="0083052D">
              <w:rPr>
                <w:color w:val="auto"/>
              </w:rPr>
              <w:t xml:space="preserve">pracovních dnů od oznámení této změny předložit nové doklady nebo prohlášení ke kvalifikaci; zadavatel může tyto lhůty prodloužit nebo prominout jejich zmeškání. Povinnost podle věty první účastníku </w:t>
            </w:r>
            <w:r w:rsidR="00680CA3">
              <w:rPr>
                <w:color w:val="auto"/>
              </w:rPr>
              <w:t>výběrového</w:t>
            </w:r>
            <w:r w:rsidRPr="0083052D">
              <w:rPr>
                <w:color w:val="auto"/>
              </w:rPr>
              <w:t xml:space="preserve"> řízení nevzniká, pokud je kvalifikace změněna takovým způsobem, že</w:t>
            </w:r>
            <w:r>
              <w:rPr>
                <w:color w:val="auto"/>
              </w:rPr>
              <w:t xml:space="preserve"> </w:t>
            </w:r>
          </w:p>
          <w:p w:rsidR="00415C03" w:rsidP="00C61C88" w:rsidRDefault="00CF1BD5" w14:paraId="0D067458" w14:textId="77777777">
            <w:pPr>
              <w:pStyle w:val="Tabulkatext"/>
              <w:spacing w:before="0" w:after="0"/>
              <w:jc w:val="both"/>
              <w:rPr>
                <w:color w:val="auto"/>
              </w:rPr>
            </w:pPr>
            <w:r w:rsidRPr="0083052D">
              <w:rPr>
                <w:color w:val="auto"/>
              </w:rPr>
              <w:t>a)</w:t>
            </w:r>
            <w:r w:rsidR="00415C03">
              <w:rPr>
                <w:color w:val="auto"/>
              </w:rPr>
              <w:t xml:space="preserve"> </w:t>
            </w:r>
            <w:r w:rsidRPr="0083052D">
              <w:rPr>
                <w:color w:val="auto"/>
              </w:rPr>
              <w:t>podmínky kvalifikace jsou nadále splně</w:t>
            </w:r>
            <w:r>
              <w:rPr>
                <w:color w:val="auto"/>
              </w:rPr>
              <w:t xml:space="preserve">ny; </w:t>
            </w:r>
          </w:p>
          <w:p w:rsidR="00415C03" w:rsidP="00C61C88" w:rsidRDefault="00CF1BD5" w14:paraId="4BAA1C59" w14:textId="77777777">
            <w:pPr>
              <w:pStyle w:val="Tabulkatext"/>
              <w:spacing w:before="0" w:after="0"/>
              <w:jc w:val="both"/>
              <w:rPr>
                <w:color w:val="auto"/>
              </w:rPr>
            </w:pPr>
            <w:r w:rsidRPr="0083052D">
              <w:rPr>
                <w:color w:val="auto"/>
              </w:rPr>
              <w:t>b)</w:t>
            </w:r>
            <w:r>
              <w:rPr>
                <w:color w:val="auto"/>
              </w:rPr>
              <w:t xml:space="preserve"> </w:t>
            </w:r>
            <w:r w:rsidRPr="0083052D">
              <w:rPr>
                <w:color w:val="auto"/>
              </w:rPr>
              <w:t xml:space="preserve">nedošlo k ovlivnění kritérií pro snížení počtu účastníků </w:t>
            </w:r>
            <w:r w:rsidR="00680CA3">
              <w:rPr>
                <w:color w:val="auto"/>
              </w:rPr>
              <w:t>výběrového</w:t>
            </w:r>
            <w:r w:rsidRPr="0083052D">
              <w:rPr>
                <w:color w:val="auto"/>
              </w:rPr>
              <w:t xml:space="preserve"> řízení nebo nabídek a</w:t>
            </w:r>
            <w:r>
              <w:rPr>
                <w:color w:val="auto"/>
              </w:rPr>
              <w:t xml:space="preserve"> </w:t>
            </w:r>
          </w:p>
          <w:p w:rsidR="00CF1BD5" w:rsidP="00C61C88" w:rsidRDefault="00CF1BD5" w14:paraId="580E6E01" w14:textId="77777777">
            <w:pPr>
              <w:pStyle w:val="Tabulkatext"/>
              <w:spacing w:before="0" w:after="0"/>
              <w:jc w:val="both"/>
            </w:pPr>
            <w:r w:rsidRPr="0083052D">
              <w:rPr>
                <w:color w:val="auto"/>
              </w:rPr>
              <w:t>c)</w:t>
            </w:r>
            <w:r>
              <w:rPr>
                <w:color w:val="auto"/>
              </w:rPr>
              <w:t xml:space="preserve"> </w:t>
            </w:r>
            <w:r w:rsidRPr="0083052D">
              <w:rPr>
                <w:color w:val="auto"/>
              </w:rPr>
              <w:t>nedošlo k ovlivnění kritérií hodnocení nabídek</w:t>
            </w:r>
            <w:r>
              <w:rPr>
                <w:color w:val="auto"/>
              </w:rPr>
              <w:t>.</w:t>
            </w:r>
          </w:p>
          <w:p w:rsidR="00CF1BD5" w:rsidP="00C61C88" w:rsidRDefault="00CF1BD5" w14:paraId="3C9EF6E1" w14:textId="77777777">
            <w:pPr>
              <w:pStyle w:val="Tabulkatext"/>
              <w:spacing w:before="0" w:after="0"/>
              <w:jc w:val="both"/>
            </w:pPr>
            <w:r w:rsidRPr="00D7492F">
              <w:t>Namísto předložení dokumentů požadovaných zadavatelem je dodavatel oprávněn prokázat svou kvalifikaci výpisem ze seznamu kvalifikovaných dodavatelů (obdobně podle § 228 zákona o veřejných zakázkách) nebo certifikátem vydaným v rámci systému certifikovaných dodavatelů (obdobně podle § 239 zákona č. 134/2016 Sb.).</w:t>
            </w:r>
          </w:p>
          <w:p w:rsidRPr="00E50090" w:rsidR="00E14E40" w:rsidP="00C61C88" w:rsidRDefault="00E14E40" w14:paraId="3971D966" w14:textId="77777777">
            <w:pPr>
              <w:pStyle w:val="Tabulkatext"/>
              <w:rPr>
                <w:i/>
              </w:rPr>
            </w:pPr>
          </w:p>
        </w:tc>
      </w:tr>
      <w:tr w:rsidRPr="00E50090" w:rsidR="00E14E40" w:rsidTr="00415C03" w14:paraId="0F51CD7A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C61C88" w:rsidRDefault="00E14E40" w14:paraId="302B7C71" w14:textId="77777777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lastRenderedPageBreak/>
              <w:t>Podmínky a požadavky na zpracování nabídky</w:t>
            </w:r>
          </w:p>
        </w:tc>
      </w:tr>
      <w:tr w:rsidRPr="00E50090" w:rsidR="00E14E40" w:rsidTr="00415C03" w14:paraId="253A177F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D72FAF" w:rsidR="00D85E2C" w:rsidP="00C61C88" w:rsidRDefault="00D85E2C" w14:paraId="50446D4D" w14:textId="77777777">
            <w:pPr>
              <w:pStyle w:val="Tabulkatext"/>
              <w:rPr>
                <w:b/>
              </w:rPr>
            </w:pPr>
            <w:r w:rsidRPr="00D72FAF">
              <w:rPr>
                <w:b/>
              </w:rPr>
              <w:lastRenderedPageBreak/>
              <w:t>Závazné požadavky zadavatele:</w:t>
            </w:r>
          </w:p>
          <w:p w:rsidR="00D85E2C" w:rsidP="00C61C88" w:rsidRDefault="00D85E2C" w14:paraId="6C2214B6" w14:textId="77777777">
            <w:pPr>
              <w:pStyle w:val="Tabulkatext"/>
            </w:pPr>
            <w:r>
              <w:t>Informace a údaje uvedené v jednotlivých částech této výzvy a v přílohách výzvy vymezují závazné požadavky zadavatele na plnění zakázky.</w:t>
            </w:r>
          </w:p>
          <w:p w:rsidRPr="007F7CE8" w:rsidR="00D85E2C" w:rsidP="00C61C88" w:rsidRDefault="00D85E2C" w14:paraId="72817FFA" w14:textId="77777777">
            <w:pPr>
              <w:pStyle w:val="Tabulkatext"/>
            </w:pPr>
            <w:r>
              <w:t xml:space="preserve">Tyto požadavky je </w:t>
            </w:r>
            <w:r>
              <w:rPr>
                <w:color w:val="auto"/>
              </w:rPr>
              <w:t>účastník</w:t>
            </w:r>
            <w:r w:rsidRPr="00DC033C">
              <w:rPr>
                <w:color w:val="auto"/>
              </w:rPr>
              <w:t xml:space="preserve"> </w:t>
            </w:r>
            <w:r>
              <w:t xml:space="preserve">povinen plně a bezvýhradně respektovat při zpracování své nabídky a ve své nabídce je akceptovat. Neakceptování požadavků zadavatele uvedených v této výzvě a v jejích přílohách či změny obchodních podmínek budou považovány za nesplnění výzvy s následkem vyloučení </w:t>
            </w:r>
            <w:r w:rsidRPr="007F7CE8">
              <w:rPr>
                <w:color w:val="auto"/>
              </w:rPr>
              <w:t xml:space="preserve">účastníka </w:t>
            </w:r>
            <w:r>
              <w:t>z další účasti ve výběrovém řízení.</w:t>
            </w:r>
          </w:p>
          <w:p w:rsidRPr="007F7CE8" w:rsidR="00D85E2C" w:rsidP="00C61C88" w:rsidRDefault="00D85E2C" w14:paraId="6D178F61" w14:textId="77777777">
            <w:pPr>
              <w:pStyle w:val="Tabulkatext"/>
              <w:keepNext/>
            </w:pPr>
            <w:r w:rsidRPr="007F7CE8">
              <w:t>Předmět zakázky musí být proveden plně v souladu s platnými právními předpisy a technickými normami.</w:t>
            </w:r>
          </w:p>
          <w:p w:rsidR="00D85E2C" w:rsidP="00C61C88" w:rsidRDefault="00D85E2C" w14:paraId="3BE47C4B" w14:textId="77777777">
            <w:pPr>
              <w:pStyle w:val="Tabulkatext"/>
              <w:keepNext/>
            </w:pPr>
            <w:r w:rsidRPr="007F7CE8">
              <w:t>Nabídka bude řádně čitelná</w:t>
            </w:r>
            <w:r>
              <w:t xml:space="preserve">, bez škrtů a přepisů. </w:t>
            </w:r>
          </w:p>
          <w:p w:rsidR="00D85E2C" w:rsidP="00C61C88" w:rsidRDefault="00D85E2C" w14:paraId="47810D0E" w14:textId="77777777">
            <w:pPr>
              <w:pStyle w:val="Tabulkatext"/>
              <w:keepNext/>
            </w:pPr>
            <w:r>
              <w:t xml:space="preserve">Nabídka </w:t>
            </w:r>
            <w:r>
              <w:rPr>
                <w:color w:val="auto"/>
              </w:rPr>
              <w:t>účastníka</w:t>
            </w:r>
            <w:r>
              <w:t xml:space="preserve"> musí plně respektovat podmínky stanovené v této výzvě.</w:t>
            </w:r>
          </w:p>
          <w:p w:rsidR="00D85E2C" w:rsidP="00C61C88" w:rsidRDefault="00D85E2C" w14:paraId="3CDEBAB0" w14:textId="77777777">
            <w:pPr>
              <w:pStyle w:val="Tabulkatext"/>
              <w:keepNext/>
            </w:pPr>
            <w:r>
              <w:t xml:space="preserve">Účastník, který podal nabídku ve výběrovém řízení, nesmí být současně poddodavatelem, jehož prostřednictvím jiný </w:t>
            </w:r>
            <w:r>
              <w:rPr>
                <w:color w:val="auto"/>
              </w:rPr>
              <w:t>účastník</w:t>
            </w:r>
            <w:r>
              <w:t xml:space="preserve"> v tomtéž výběrovém řízení prokazuje kvalifikaci.</w:t>
            </w:r>
          </w:p>
          <w:p w:rsidR="00D85E2C" w:rsidP="00C61C88" w:rsidRDefault="00D85E2C" w14:paraId="47ACBB4B" w14:textId="765DCB55">
            <w:pPr>
              <w:pStyle w:val="Tabulkatext"/>
              <w:keepNext/>
            </w:pPr>
            <w:r>
              <w:t xml:space="preserve">Pokud </w:t>
            </w:r>
            <w:r>
              <w:rPr>
                <w:color w:val="auto"/>
              </w:rPr>
              <w:t>účastník</w:t>
            </w:r>
            <w:r>
              <w:t xml:space="preserve"> podá více nabídek samostatně nebo společně s dalšími </w:t>
            </w:r>
            <w:r>
              <w:rPr>
                <w:color w:val="auto"/>
              </w:rPr>
              <w:t>účastníky</w:t>
            </w:r>
            <w:r>
              <w:t xml:space="preserve">, nebo je poddodavatelem, jehož prostřednictvím jiný </w:t>
            </w:r>
            <w:r>
              <w:rPr>
                <w:color w:val="auto"/>
              </w:rPr>
              <w:t>účastník</w:t>
            </w:r>
            <w:r>
              <w:t xml:space="preserve"> v tomtéž </w:t>
            </w:r>
            <w:r w:rsidR="00EF50A5">
              <w:t>výběrovém</w:t>
            </w:r>
            <w:r>
              <w:t xml:space="preserve"> řízení prokazuje kvalifikaci, zadavatel všechny nabídky podané takovým </w:t>
            </w:r>
            <w:r>
              <w:rPr>
                <w:color w:val="auto"/>
              </w:rPr>
              <w:t>účastníkem</w:t>
            </w:r>
            <w:r>
              <w:t xml:space="preserve"> vyřadí. Účastníka, jehož nabídka byla vyřazena, zadavatel bezodkladně vyloučí z účasti </w:t>
            </w:r>
            <w:r w:rsidR="00EF50A5">
              <w:t xml:space="preserve">ve výběrovém </w:t>
            </w:r>
            <w:proofErr w:type="gramStart"/>
            <w:r>
              <w:t>řízení.</w:t>
            </w:r>
            <w:r w:rsidR="00C863CC">
              <w:t xml:space="preserve"> </w:t>
            </w:r>
            <w:r w:rsidR="00E7728A">
              <w:t>b Zadavatel</w:t>
            </w:r>
            <w:proofErr w:type="gramEnd"/>
            <w:r w:rsidR="00E7728A">
              <w:t xml:space="preserve"> vyrozumí dodavatele, kterého vyloučil, o tomto kroku do 5 pracovních dnů od této skutečnosti oznámením na portálu www.esfcr.cz </w:t>
            </w:r>
          </w:p>
          <w:p w:rsidR="00725D79" w:rsidP="00C61C88" w:rsidRDefault="00725D79" w14:paraId="08E8C850" w14:textId="77777777">
            <w:pPr>
              <w:pStyle w:val="Tabulkatext"/>
              <w:keepNext/>
              <w:rPr>
                <w:b/>
              </w:rPr>
            </w:pPr>
          </w:p>
          <w:p w:rsidRPr="001A693B" w:rsidR="00D85E2C" w:rsidP="00C61C88" w:rsidRDefault="00D85E2C" w14:paraId="7C8AA7FB" w14:textId="77777777">
            <w:pPr>
              <w:pStyle w:val="Tabulkatext"/>
              <w:keepNext/>
              <w:rPr>
                <w:b/>
              </w:rPr>
            </w:pPr>
            <w:r w:rsidRPr="001A693B">
              <w:rPr>
                <w:b/>
              </w:rPr>
              <w:t xml:space="preserve">Zadavatel požaduje, aby nabídka </w:t>
            </w:r>
            <w:r w:rsidRPr="006C2A0E">
              <w:rPr>
                <w:b/>
              </w:rPr>
              <w:t xml:space="preserve">účastníka </w:t>
            </w:r>
            <w:r w:rsidRPr="001A693B">
              <w:rPr>
                <w:b/>
              </w:rPr>
              <w:t>byla předložena v následující struktuře:</w:t>
            </w:r>
          </w:p>
          <w:p w:rsidRPr="007F7CE8" w:rsidR="00D85E2C" w:rsidP="00C61C88" w:rsidRDefault="00D85E2C" w14:paraId="6E5B40D1" w14:textId="77777777">
            <w:pPr>
              <w:pStyle w:val="Tabulkatext"/>
              <w:keepNext/>
              <w:numPr>
                <w:ilvl w:val="0"/>
                <w:numId w:val="48"/>
              </w:numPr>
              <w:ind w:left="924" w:hanging="357"/>
            </w:pPr>
            <w:r>
              <w:t xml:space="preserve">Krycí list nabídky včetně prohlášení o </w:t>
            </w:r>
            <w:r w:rsidRPr="007F7CE8">
              <w:t>vázanosti výzvou dle přílohy č. 1 této výzvy;</w:t>
            </w:r>
          </w:p>
          <w:p w:rsidR="00D85E2C" w:rsidP="00C61C88" w:rsidRDefault="00D85E2C" w14:paraId="3DD27CD9" w14:textId="77777777">
            <w:pPr>
              <w:pStyle w:val="Tabulkatext"/>
              <w:keepNext/>
              <w:numPr>
                <w:ilvl w:val="0"/>
                <w:numId w:val="48"/>
              </w:numPr>
              <w:ind w:left="924" w:hanging="357"/>
            </w:pPr>
            <w:r w:rsidRPr="007F7CE8">
              <w:t>nabídková cena v níže uvedené struk</w:t>
            </w:r>
            <w:r>
              <w:t>tuře;</w:t>
            </w:r>
          </w:p>
          <w:p w:rsidR="00D85E2C" w:rsidP="00C61C88" w:rsidRDefault="00D85E2C" w14:paraId="4F0C7277" w14:textId="77777777">
            <w:pPr>
              <w:pStyle w:val="Tabulkatext"/>
              <w:keepNext/>
              <w:numPr>
                <w:ilvl w:val="0"/>
                <w:numId w:val="48"/>
              </w:numPr>
              <w:ind w:left="924" w:hanging="357"/>
            </w:pPr>
            <w:r>
              <w:t xml:space="preserve">dokumenty prokazující splnění základní způsobilosti, profesní způsobilosti a technické kvalifikace; </w:t>
            </w:r>
          </w:p>
          <w:p w:rsidR="00EF50A5" w:rsidP="00C61C88" w:rsidRDefault="00D85E2C" w14:paraId="50444E8D" w14:textId="1C615772">
            <w:pPr>
              <w:pStyle w:val="Tabulkatext"/>
              <w:keepNext/>
              <w:numPr>
                <w:ilvl w:val="0"/>
                <w:numId w:val="48"/>
              </w:numPr>
              <w:ind w:left="924" w:hanging="357"/>
            </w:pPr>
            <w:r>
              <w:t xml:space="preserve">ostatní údaje a dokumenty (řazení dle uvážení </w:t>
            </w:r>
            <w:r>
              <w:rPr>
                <w:color w:val="auto"/>
              </w:rPr>
              <w:t>účastníka</w:t>
            </w:r>
            <w:r w:rsidR="00EF50A5">
              <w:t>);</w:t>
            </w:r>
          </w:p>
          <w:p w:rsidRPr="00EF50A5" w:rsidR="00E14E40" w:rsidP="00C61C88" w:rsidRDefault="00EF50A5" w14:paraId="6786460C" w14:textId="77777777">
            <w:pPr>
              <w:pStyle w:val="Tabulkatext"/>
              <w:keepNext/>
              <w:numPr>
                <w:ilvl w:val="0"/>
                <w:numId w:val="48"/>
              </w:numPr>
              <w:ind w:left="924" w:hanging="357"/>
            </w:pPr>
            <w:r>
              <w:t>návrh smlouvy podeps</w:t>
            </w:r>
            <w:r w:rsidRPr="00EF50A5">
              <w:t>aný</w:t>
            </w:r>
            <w:r w:rsidRPr="00EF50A5" w:rsidR="00D85E2C">
              <w:t xml:space="preserve"> osobou oprávněnou jednat jménem či za </w:t>
            </w:r>
            <w:r w:rsidRPr="00EF50A5" w:rsidR="00D85E2C">
              <w:rPr>
                <w:color w:val="auto"/>
              </w:rPr>
              <w:t>účastníka</w:t>
            </w:r>
            <w:r w:rsidRPr="00EF50A5" w:rsidR="00D85E2C">
              <w:t xml:space="preserve"> (v počtu vyhotovení dle návrhu smlouvy).</w:t>
            </w:r>
          </w:p>
        </w:tc>
      </w:tr>
      <w:tr w:rsidRPr="00E50090" w:rsidR="005C6C32" w:rsidTr="00415C03" w14:paraId="48F8782C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C61C88" w:rsidRDefault="005C6C32" w14:paraId="40A43482" w14:textId="77777777">
            <w:pPr>
              <w:pStyle w:val="Tabulkatext"/>
              <w:keepNext/>
              <w:rPr>
                <w:i/>
              </w:rPr>
            </w:pPr>
            <w:r w:rsidRPr="00E50090">
              <w:rPr>
                <w:b/>
                <w:bCs/>
              </w:rPr>
              <w:t>Požadavek na způsob zpracování nabídkové ceny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EF50A5" w:rsidP="00C61C88" w:rsidRDefault="00EF50A5" w14:paraId="767F431A" w14:textId="77777777">
            <w:pPr>
              <w:pStyle w:val="Tabulkatext"/>
              <w:jc w:val="both"/>
            </w:pPr>
            <w:r>
              <w:t xml:space="preserve">Účastník stanoví celkovou nabídkovou cenu za kompletní realizaci zakázky v souladu s touto výzvou. Nabídková cena bude uvedena absolutní </w:t>
            </w:r>
            <w:r w:rsidRPr="001D5705">
              <w:t>částkou v českých korunách bez DPH, výše DPH a celkovou cenou v</w:t>
            </w:r>
            <w:r>
              <w:t>četně DPH.</w:t>
            </w:r>
          </w:p>
          <w:p w:rsidR="00EF50A5" w:rsidP="00C61C88" w:rsidRDefault="00EF50A5" w14:paraId="0B3E4186" w14:textId="77777777">
            <w:pPr>
              <w:pStyle w:val="Tabulkatext"/>
              <w:jc w:val="both"/>
            </w:pPr>
            <w:r>
              <w:t xml:space="preserve">Nabídková </w:t>
            </w:r>
            <w:r w:rsidRPr="007F7CE8">
              <w:t>cena bude zahrnovat veškeré náklady nezbytné k řádnému, úplnému a kvalitnímu plnění předmětu zakázky včetně všech rizik a vlivů souvisejících s plněním předmětu zakázky. Součástí nabídkové ceny jsou veškeré náklady potřebné na zajištění školení (zejména náklady na odměnu pro lektora, jeho dopravu, ubytování, stravu apod.). Nabídková cena je konečná a není přípustné ji v průběhu realizace zakázky</w:t>
            </w:r>
            <w:r w:rsidRPr="00C1459E">
              <w:t xml:space="preserve"> navyšovat</w:t>
            </w:r>
            <w:r>
              <w:t>.</w:t>
            </w:r>
          </w:p>
          <w:p w:rsidR="00EF50A5" w:rsidP="00C61C88" w:rsidRDefault="00EF50A5" w14:paraId="6E645591" w14:textId="77777777">
            <w:pPr>
              <w:pStyle w:val="Tabulkatext"/>
              <w:jc w:val="both"/>
            </w:pPr>
            <w:r>
              <w:t>Nabídková cena může být dále měněna pouze v souvislosti se změnou sazby DPH. V tomto případě bude nabídková cena upravenou podle výše sazeb DPH platných v době vzniku zdanitelného plnění.</w:t>
            </w:r>
          </w:p>
          <w:p w:rsidRPr="00E50090" w:rsidR="00EF50A5" w:rsidP="00C61C88" w:rsidRDefault="00EF50A5" w14:paraId="1A339C1B" w14:textId="77777777">
            <w:pPr>
              <w:pStyle w:val="Tabulkatext"/>
              <w:keepNext/>
              <w:jc w:val="both"/>
              <w:rPr>
                <w:i/>
              </w:rPr>
            </w:pPr>
            <w:r>
              <w:t>Účastník je povinen zpracovat svou nabídkovou cenu do návrhu smlouvy.</w:t>
            </w:r>
          </w:p>
        </w:tc>
      </w:tr>
      <w:tr w:rsidRPr="00E50090" w:rsidR="005C6C32" w:rsidTr="00415C03" w14:paraId="6ADC5B88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C61C88" w:rsidRDefault="005C6C32" w14:paraId="7F270AF2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</w:t>
            </w:r>
            <w:r w:rsidRPr="00E50090" w:rsidR="00E14E40">
              <w:rPr>
                <w:b/>
                <w:bCs/>
              </w:rPr>
              <w:t>davek na písemnou formu nabídky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EF50A5" w:rsidP="00C61C88" w:rsidRDefault="00EF50A5" w14:paraId="67493EF9" w14:textId="3E1C7013">
            <w:pPr>
              <w:pStyle w:val="Tabulkatext"/>
              <w:jc w:val="both"/>
            </w:pPr>
            <w:r w:rsidRPr="001163A2">
              <w:t>Nabídka musí být zadavateli podána v listinné podobě v řádně uzavřené obálce označené názvem zakázky a nápisem „</w:t>
            </w:r>
            <w:r w:rsidRPr="00BD0492">
              <w:rPr>
                <w:b/>
              </w:rPr>
              <w:t>Neotevírat</w:t>
            </w:r>
            <w:r>
              <w:rPr>
                <w:b/>
              </w:rPr>
              <w:t xml:space="preserve"> – Zefektivnění činnosti orgánů města Modřice – služby </w:t>
            </w:r>
            <w:r w:rsidRPr="00EF50A5">
              <w:rPr>
                <w:b/>
              </w:rPr>
              <w:t>–</w:t>
            </w:r>
            <w:r w:rsidR="004C61A7">
              <w:rPr>
                <w:b/>
              </w:rPr>
              <w:t xml:space="preserve"> </w:t>
            </w:r>
            <w:r w:rsidR="00AB2E3B">
              <w:rPr>
                <w:b/>
              </w:rPr>
              <w:t>personální audit</w:t>
            </w:r>
            <w:r w:rsidRPr="00EF50A5">
              <w:rPr>
                <w:b/>
              </w:rPr>
              <w:t>“</w:t>
            </w:r>
            <w:r w:rsidR="008D4258">
              <w:rPr>
                <w:b/>
              </w:rPr>
              <w:t xml:space="preserve"> </w:t>
            </w:r>
            <w:r w:rsidRPr="001163A2">
              <w:t xml:space="preserve">na níž je uvedena kontaktní adresa </w:t>
            </w:r>
            <w:r>
              <w:t>účastníka.</w:t>
            </w:r>
          </w:p>
          <w:p w:rsidR="00EF50A5" w:rsidP="00C61C88" w:rsidRDefault="00EF50A5" w14:paraId="0001D7A3" w14:textId="77777777">
            <w:pPr>
              <w:pStyle w:val="Tabulkatext"/>
              <w:jc w:val="both"/>
            </w:pPr>
            <w:r w:rsidRPr="001163A2">
              <w:t xml:space="preserve">Veškeré součásti nabídky musí být poskytnuty v jedné obálce. Všechny listy nabídky budou navzájem pevně spojeny či sešity </w:t>
            </w:r>
            <w:r w:rsidRPr="001163A2">
              <w:lastRenderedPageBreak/>
              <w:t xml:space="preserve">tak, aby byly dostatečně zabezpečeny před jejich vyjmutím z nabídky. </w:t>
            </w:r>
          </w:p>
          <w:p w:rsidR="00610CF1" w:rsidP="00C61C88" w:rsidRDefault="00610CF1" w14:paraId="61BA4162" w14:textId="77777777">
            <w:pPr>
              <w:pStyle w:val="Tabulkatext"/>
              <w:jc w:val="both"/>
              <w:rPr>
                <w:b/>
                <w:highlight w:val="yellow"/>
              </w:rPr>
            </w:pPr>
          </w:p>
          <w:p w:rsidR="00EF50A5" w:rsidP="00C61C88" w:rsidRDefault="00EF50A5" w14:paraId="416B3D25" w14:textId="57C1BE95">
            <w:pPr>
              <w:pStyle w:val="Tabulkatext"/>
              <w:jc w:val="both"/>
            </w:pPr>
            <w:r w:rsidRPr="00610CF1">
              <w:rPr>
                <w:b/>
              </w:rPr>
              <w:t>Zadavatel jako součást</w:t>
            </w:r>
            <w:r w:rsidRPr="00610CF1" w:rsidR="00043BD7">
              <w:rPr>
                <w:b/>
              </w:rPr>
              <w:t xml:space="preserve"> výzvy předkládá </w:t>
            </w:r>
            <w:r w:rsidRPr="00610CF1" w:rsidR="006F7C27">
              <w:rPr>
                <w:b/>
              </w:rPr>
              <w:t xml:space="preserve">návrh obchodních podmínek formou návrhu </w:t>
            </w:r>
            <w:r w:rsidRPr="00610CF1" w:rsidR="00043BD7">
              <w:rPr>
                <w:b/>
              </w:rPr>
              <w:t xml:space="preserve">smlouvy </w:t>
            </w:r>
            <w:r w:rsidRPr="00610CF1" w:rsidR="00AC3CD2">
              <w:rPr>
                <w:b/>
              </w:rPr>
              <w:t>(příloha č. 3)</w:t>
            </w:r>
            <w:r w:rsidRPr="00610CF1">
              <w:rPr>
                <w:b/>
              </w:rPr>
              <w:t>, který je pro účastníka závazný.</w:t>
            </w:r>
            <w:r w:rsidRPr="00610CF1">
              <w:t xml:space="preserve"> Účastník doplní do návrhu smlouvy o realizaci projektu identifikační a kontaktní údaje v požadovaném rozsahu a další údaje stanovené zadavatelem (údaje v textu vyznačené údajem „DOPLNIT“).</w:t>
            </w:r>
            <w:r w:rsidR="00043BD7">
              <w:t xml:space="preserve"> </w:t>
            </w:r>
          </w:p>
          <w:p w:rsidR="00610CF1" w:rsidP="00C61C88" w:rsidRDefault="00610CF1" w14:paraId="4A159566" w14:textId="77777777">
            <w:pPr>
              <w:pStyle w:val="Tabulkatext"/>
              <w:jc w:val="both"/>
            </w:pPr>
          </w:p>
          <w:p w:rsidR="00EF50A5" w:rsidP="00C61C88" w:rsidRDefault="00EF50A5" w14:paraId="3911458B" w14:textId="77777777">
            <w:pPr>
              <w:pStyle w:val="Tabulkatext"/>
              <w:jc w:val="both"/>
            </w:pPr>
            <w:r w:rsidRPr="001163A2">
              <w:t xml:space="preserve">Veškeré doklady či prohlášení, u nichž je vyžadován podpis </w:t>
            </w:r>
            <w:r>
              <w:t>účastníka</w:t>
            </w:r>
            <w:r w:rsidRPr="001163A2">
              <w:t xml:space="preserve">, musí být podepsány statutárním zástupcem </w:t>
            </w:r>
            <w:r>
              <w:t>účastníka</w:t>
            </w:r>
            <w:r w:rsidRPr="001163A2">
              <w:t xml:space="preserve"> oprávněným jednat za </w:t>
            </w:r>
            <w:r>
              <w:t>účastníka</w:t>
            </w:r>
            <w:r w:rsidRPr="001163A2">
              <w:t xml:space="preserve"> dle obchodního rejstříku či obdobné evidence nebo</w:t>
            </w:r>
            <w:r w:rsidR="00AB2E3B">
              <w:t xml:space="preserve"> jinou</w:t>
            </w:r>
            <w:r w:rsidRPr="001163A2">
              <w:t xml:space="preserve"> osobou oprávněnou jednat za </w:t>
            </w:r>
            <w:r>
              <w:t>účastníka</w:t>
            </w:r>
            <w:r w:rsidRPr="001163A2">
              <w:t xml:space="preserve">. Pokud bude </w:t>
            </w:r>
            <w:r>
              <w:t>účastníka</w:t>
            </w:r>
            <w:r w:rsidRPr="001163A2">
              <w:t xml:space="preserve"> zastupovat zmocněnec na základě plné moci, musí být v nabídce předložena plná moc v originále, nebo v úředně ověřené kopii</w:t>
            </w:r>
            <w:r>
              <w:t>.</w:t>
            </w:r>
          </w:p>
          <w:p w:rsidR="00610CF1" w:rsidP="00C61C88" w:rsidRDefault="00610CF1" w14:paraId="66A5B704" w14:textId="77777777">
            <w:pPr>
              <w:pStyle w:val="Tabulkatext"/>
              <w:jc w:val="both"/>
              <w:rPr>
                <w:b/>
              </w:rPr>
            </w:pPr>
          </w:p>
          <w:p w:rsidRPr="00AC3CD2" w:rsidR="00DA7A8F" w:rsidP="004C61A7" w:rsidRDefault="00EF50A5" w14:paraId="7E6B0644" w14:textId="3EB93D69">
            <w:pPr>
              <w:pStyle w:val="Tabulkatext"/>
              <w:jc w:val="both"/>
              <w:rPr>
                <w:b/>
                <w:i/>
              </w:rPr>
            </w:pPr>
            <w:r w:rsidRPr="00AC3CD2">
              <w:rPr>
                <w:b/>
              </w:rPr>
              <w:t xml:space="preserve">Účastník </w:t>
            </w:r>
            <w:r w:rsidR="004C61A7">
              <w:rPr>
                <w:b/>
              </w:rPr>
              <w:t xml:space="preserve">k nabídce připojí </w:t>
            </w:r>
            <w:r w:rsidRPr="00AC3CD2">
              <w:rPr>
                <w:b/>
              </w:rPr>
              <w:t xml:space="preserve">CD </w:t>
            </w:r>
            <w:r w:rsidR="004C61A7">
              <w:rPr>
                <w:b/>
              </w:rPr>
              <w:t xml:space="preserve">s fotokopií kompletní nabídky </w:t>
            </w:r>
            <w:r w:rsidRPr="00AC3CD2">
              <w:rPr>
                <w:b/>
              </w:rPr>
              <w:t>ve formátu „.</w:t>
            </w:r>
            <w:proofErr w:type="spellStart"/>
            <w:r w:rsidRPr="00AC3CD2">
              <w:rPr>
                <w:b/>
              </w:rPr>
              <w:t>pdf</w:t>
            </w:r>
            <w:proofErr w:type="spellEnd"/>
            <w:r w:rsidRPr="00AC3CD2">
              <w:rPr>
                <w:b/>
              </w:rPr>
              <w:t xml:space="preserve">“ a to tak, že obsahem CD budou </w:t>
            </w:r>
            <w:proofErr w:type="spellStart"/>
            <w:r w:rsidRPr="00AC3CD2">
              <w:rPr>
                <w:b/>
              </w:rPr>
              <w:t>skeny</w:t>
            </w:r>
            <w:proofErr w:type="spellEnd"/>
            <w:r w:rsidRPr="00AC3CD2">
              <w:rPr>
                <w:b/>
              </w:rPr>
              <w:t xml:space="preserve"> všech listů nabídky tak, jak je podávána (tj. naskenovaná kopie nabídky a návrhu smlouvy i s podpisy).</w:t>
            </w:r>
          </w:p>
        </w:tc>
      </w:tr>
      <w:tr w:rsidRPr="00E50090" w:rsidR="00DA7A8F" w:rsidTr="00415C03" w14:paraId="77FDF0A8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DA7A8F" w:rsidP="00C61C88" w:rsidRDefault="00DA7A8F" w14:paraId="22B061ED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 xml:space="preserve">Požadavek na uvedení kontaktní osoby </w:t>
            </w:r>
            <w:r w:rsidRPr="00E50090" w:rsidR="00667155"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DA7A8F" w:rsidP="00C61C88" w:rsidRDefault="00C61C88" w14:paraId="63A97BC4" w14:textId="77777777">
            <w:pPr>
              <w:pStyle w:val="Tabulkatext"/>
              <w:rPr>
                <w:i/>
              </w:rPr>
            </w:pPr>
            <w:r>
              <w:t>Účastník</w:t>
            </w:r>
            <w:r w:rsidRPr="001163A2">
              <w:t xml:space="preserve"> ve své nabídce uvede kontaktní osobu ve věci zakázky, její telefon a e-mailovou adresu</w:t>
            </w:r>
            <w:r>
              <w:t>.</w:t>
            </w:r>
          </w:p>
        </w:tc>
      </w:tr>
      <w:tr w:rsidRPr="00E50090" w:rsidR="005C6C32" w:rsidTr="00415C03" w14:paraId="4BC74301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C61C88" w:rsidRDefault="005C6C32" w14:paraId="640650CB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</w:rPr>
              <w:t>Požadavek na jednu nabídku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Del="002D0D04" w:rsidP="00C61C88" w:rsidRDefault="00C61C88" w14:paraId="61566E03" w14:textId="77777777">
            <w:pPr>
              <w:pStyle w:val="Tabulkatext"/>
              <w:rPr>
                <w:i/>
              </w:rPr>
            </w:pPr>
            <w:r w:rsidRPr="00E1419E">
              <w:t xml:space="preserve">Každý </w:t>
            </w:r>
            <w:r>
              <w:t>účastník</w:t>
            </w:r>
            <w:r w:rsidRPr="00E1419E">
              <w:t xml:space="preserve"> může podat pouze jednu nabídku</w:t>
            </w:r>
            <w:r>
              <w:t>.</w:t>
            </w:r>
          </w:p>
        </w:tc>
      </w:tr>
      <w:tr w:rsidRPr="00E50090" w:rsidR="005C6C32" w:rsidTr="00415C03" w14:paraId="758A39A1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C61C88" w:rsidRDefault="005F6058" w14:paraId="36625601" w14:textId="77777777">
            <w:pPr>
              <w:pStyle w:val="Tabulkatext"/>
              <w:rPr>
                <w:b/>
              </w:rPr>
            </w:pPr>
            <w:r>
              <w:rPr>
                <w:b/>
              </w:rPr>
              <w:t>Vysvětlení zadávacích podmínek</w:t>
            </w:r>
          </w:p>
        </w:tc>
      </w:tr>
      <w:tr w:rsidRPr="00E50090" w:rsidR="00E14E40" w:rsidTr="00415C03" w14:paraId="4FAB1B88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C61C88" w:rsidP="00C61C88" w:rsidRDefault="00C61C88" w14:paraId="52D1CA73" w14:textId="77777777">
            <w:pPr>
              <w:pStyle w:val="Tabulkatext"/>
            </w:pPr>
            <w:r>
              <w:t>Účastník</w:t>
            </w:r>
            <w:r w:rsidRPr="0052019C">
              <w:t xml:space="preserve"> je oprávněn po zadavateli požadovat písemně dodatečné informace (odpovědi na dotaz) ohledně zadávané zakázky</w:t>
            </w:r>
            <w:r w:rsidR="006F7C27">
              <w:t xml:space="preserve"> formou žádosti o vysvětlení zadávací dokumentace</w:t>
            </w:r>
            <w:r w:rsidRPr="0052019C">
              <w:t>. Písemná žádost musí být zadavateli doručena nejpozději 4 pracovní dny před uply</w:t>
            </w:r>
            <w:r>
              <w:t>nutím lhůty pro podání nabídek.</w:t>
            </w:r>
          </w:p>
          <w:p w:rsidR="00C61C88" w:rsidP="00C61C88" w:rsidRDefault="00C61C88" w14:paraId="55508C72" w14:textId="77777777">
            <w:pPr>
              <w:pStyle w:val="Tabulkatext"/>
            </w:pPr>
            <w:r>
              <w:t xml:space="preserve">Zadavatel odešle </w:t>
            </w:r>
            <w:r w:rsidR="006F7C27">
              <w:t>vysvětlení zadávací dokumentace</w:t>
            </w:r>
            <w:r>
              <w:t>, případně související dokumenty, nejpozději do 2 pracovních dnů po doručení žádosti dle předchozího odstavce.</w:t>
            </w:r>
          </w:p>
          <w:p w:rsidRPr="00E50090" w:rsidR="00E14E40" w:rsidP="006F7C27" w:rsidRDefault="00C61C88" w14:paraId="0E28D61F" w14:textId="77777777">
            <w:pPr>
              <w:pStyle w:val="Tabulkatext"/>
              <w:rPr>
                <w:i/>
              </w:rPr>
            </w:pPr>
            <w:r w:rsidRPr="0085466D">
              <w:t xml:space="preserve">Zadavatel může poskytnout </w:t>
            </w:r>
            <w:r>
              <w:t>účastníkům</w:t>
            </w:r>
            <w:r w:rsidRPr="0085466D">
              <w:t xml:space="preserve"> </w:t>
            </w:r>
            <w:r w:rsidR="006F7C27">
              <w:t>vysvětlení zadávací dokumentace</w:t>
            </w:r>
            <w:r w:rsidRPr="0085466D">
              <w:t xml:space="preserve"> i bez předchozí žádosti</w:t>
            </w:r>
            <w:r>
              <w:t xml:space="preserve">. </w:t>
            </w:r>
          </w:p>
        </w:tc>
      </w:tr>
      <w:tr w:rsidRPr="00E50090" w:rsidR="00E14E40" w:rsidTr="00415C03" w14:paraId="6C906945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E14E40" w:rsidP="00C61C88" w:rsidRDefault="00E14E40" w14:paraId="724C1A0D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Další požadavky na zpracování nabídky</w:t>
            </w:r>
          </w:p>
        </w:tc>
      </w:tr>
      <w:tr w:rsidRPr="00E50090" w:rsidR="00E14E40" w:rsidTr="00415C03" w14:paraId="66FDF5BB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C94FED" w:rsidR="00C61C88" w:rsidP="00C61C88" w:rsidRDefault="00C61C88" w14:paraId="7B236257" w14:textId="77777777">
            <w:pPr>
              <w:pStyle w:val="Tabulkatext"/>
            </w:pPr>
            <w:r w:rsidRPr="00FE3975">
              <w:t xml:space="preserve">Zadavatel nepřipouští variantní řešení nabídek a nabídky obsahující plnění nad rámec </w:t>
            </w:r>
            <w:r w:rsidRPr="00C94FED">
              <w:t>požadovaného ve výzvě.</w:t>
            </w:r>
          </w:p>
          <w:p w:rsidRPr="00C94FED" w:rsidR="00C61C88" w:rsidP="00C61C88" w:rsidRDefault="00C61C88" w14:paraId="1780A190" w14:textId="354C90D1">
            <w:pPr>
              <w:pStyle w:val="Tabulkatext"/>
            </w:pPr>
            <w:r w:rsidRPr="00C94FED">
              <w:t>.</w:t>
            </w:r>
          </w:p>
          <w:p w:rsidRPr="00F253A6" w:rsidR="00C61C88" w:rsidP="00C61C88" w:rsidRDefault="00C61C88" w14:paraId="3CC2D1D4" w14:textId="77777777">
            <w:pPr>
              <w:pStyle w:val="Tabulkatext"/>
            </w:pPr>
            <w:r w:rsidRPr="00C94FED">
              <w:t xml:space="preserve">Vybraný </w:t>
            </w:r>
            <w:r>
              <w:t>dodavatel</w:t>
            </w:r>
            <w:r w:rsidRPr="00C94FED">
              <w:t xml:space="preserve"> si musí být vědom, že je dle § 2 písm. e) zákona č. 320/2001 Sb., o finanční kontrole ve veřejné správě, ve znění pozdějších předpisů, osobou povinnou spolupůsobit při výkonu finanční kontroly. Uvedená povinnost se vztahuje i na všechny </w:t>
            </w:r>
            <w:r>
              <w:t>poddodavatele</w:t>
            </w:r>
            <w:r w:rsidRPr="00C94FED">
              <w:t>, pomocí kterých</w:t>
            </w:r>
            <w:r w:rsidRPr="00F253A6">
              <w:t xml:space="preserve"> bude vybraný </w:t>
            </w:r>
            <w:r>
              <w:t>dodavatel</w:t>
            </w:r>
            <w:r w:rsidRPr="00F253A6">
              <w:t xml:space="preserve"> plnit určitou část zakázky, nebo který poskytne vybranému </w:t>
            </w:r>
            <w:r>
              <w:t>dodavateli</w:t>
            </w:r>
            <w:r w:rsidRPr="00F253A6">
              <w:t xml:space="preserve"> k plnění zakázky určité věci či práva a bude obsahem smlouvy uzavřené s vybraným </w:t>
            </w:r>
            <w:r>
              <w:t>dodavatelem</w:t>
            </w:r>
            <w:r w:rsidRPr="00F253A6">
              <w:t>.</w:t>
            </w:r>
          </w:p>
          <w:p w:rsidRPr="00F253A6" w:rsidR="00C61C88" w:rsidP="00C61C88" w:rsidRDefault="00C61C88" w14:paraId="18F8748E" w14:textId="77777777">
            <w:pPr>
              <w:pStyle w:val="Tabulkatext"/>
            </w:pPr>
            <w:r w:rsidRPr="00F253A6">
              <w:t xml:space="preserve">Veškerá komunikace mezi zadavatelem a </w:t>
            </w:r>
            <w:r>
              <w:t>účastníky</w:t>
            </w:r>
            <w:r w:rsidRPr="00F253A6">
              <w:t xml:space="preserve"> bude probíhat pouze a jedině písemnou formou (vč. komunikace e-mailem) prostřednictvím kontaktní osoby pro výběrové řízení, a to pouze v českém jazyce.</w:t>
            </w:r>
          </w:p>
          <w:p w:rsidR="00C61C88" w:rsidP="00C61C88" w:rsidRDefault="00C61C88" w14:paraId="0E9C2A74" w14:textId="77777777">
            <w:pPr>
              <w:pStyle w:val="Tabulkatext"/>
            </w:pPr>
            <w:r w:rsidRPr="00F253A6">
              <w:t xml:space="preserve">Zadávací lhůta (lhůta, po kterou je zájemce svou nabídkou vázán) činí </w:t>
            </w:r>
            <w:r>
              <w:t>60</w:t>
            </w:r>
            <w:r w:rsidRPr="00F253A6">
              <w:t xml:space="preserve"> dnů a začíná běžet okamžikem skončení lhůty pro podání nabídek. Po skončení lhůty pro podání nabídek až do uplynutí zadávací lhůty, jsou nabídky podané </w:t>
            </w:r>
            <w:r>
              <w:t>účastníky</w:t>
            </w:r>
            <w:r w:rsidRPr="00F253A6">
              <w:t xml:space="preserve"> ve lhůtě pro podání nabídek, ve smyslu ustanovení § 1736 občanského zákoníku, neodvolatelnými.</w:t>
            </w:r>
          </w:p>
          <w:p w:rsidRPr="00F253A6" w:rsidR="00C61C88" w:rsidP="00C61C88" w:rsidRDefault="00C61C88" w14:paraId="181566D4" w14:textId="77777777">
            <w:pPr>
              <w:pStyle w:val="Tabulkatext"/>
            </w:pPr>
            <w:r>
              <w:lastRenderedPageBreak/>
              <w:t>Předložením nabídky v tomto výběrovém řízení berou účastníci bez výhrad na vědomí, že v případě zrušení výběrového řízení, či neuzavření smlouvy s vybraným dodavatelem, nevzniká žádnému z účastníků nárok na náhradu škody ani úhradu jakýchkoliv nákladů souvisejících s účastí účastníků v tomto výběrovém řízení a ustanovení § 1729 občanského zákoníku se tak, v souladu s ustanovením § 1 odst. 2 občanského zákoníku, na toto výběrové řízení neaplikuje.</w:t>
            </w:r>
          </w:p>
          <w:p w:rsidRPr="00C61C88" w:rsidR="00E14E40" w:rsidP="00C61C88" w:rsidRDefault="00C61C88" w14:paraId="08169FD2" w14:textId="77777777">
            <w:pPr>
              <w:pStyle w:val="Tabulkatext"/>
            </w:pPr>
            <w:r w:rsidRPr="00F253A6">
              <w:t xml:space="preserve">Náklady účasti ve výběrovém řízení nese </w:t>
            </w:r>
            <w:r>
              <w:t>účastník</w:t>
            </w:r>
            <w:r w:rsidRPr="00F253A6">
              <w:t>.</w:t>
            </w:r>
          </w:p>
        </w:tc>
      </w:tr>
      <w:tr w:rsidRPr="00E50090" w:rsidR="005C6C32" w:rsidTr="00415C03" w14:paraId="69F12849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C61C88" w:rsidRDefault="00630E04" w14:paraId="37C8FAD9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>Zadávací řízení se řídí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75777D" w:rsidRDefault="00C61C88" w14:paraId="344C3099" w14:textId="5DE01FCF">
            <w:pPr>
              <w:pStyle w:val="Tabulkatext"/>
              <w:rPr>
                <w:u w:val="single"/>
              </w:rPr>
            </w:pPr>
            <w:r w:rsidRPr="0097786B">
              <w:t xml:space="preserve">Obecnou částí pravidel pro žadatele a příjemce v rámci Operačního programu </w:t>
            </w:r>
            <w:r w:rsidRPr="00E90A62">
              <w:t xml:space="preserve">Zaměstnanost (vydání č. </w:t>
            </w:r>
            <w:r w:rsidR="0075777D">
              <w:t>6</w:t>
            </w:r>
            <w:r w:rsidRPr="00E90A62">
              <w:t xml:space="preserve">, datum účinnosti od 1. </w:t>
            </w:r>
            <w:r w:rsidR="0075777D">
              <w:t>5</w:t>
            </w:r>
            <w:r w:rsidRPr="00E90A62">
              <w:t>. 201</w:t>
            </w:r>
            <w:r w:rsidR="0075777D">
              <w:t>7</w:t>
            </w:r>
            <w:r w:rsidRPr="00E90A62">
              <w:t>). Na toto vý</w:t>
            </w:r>
            <w:r w:rsidRPr="0097786B">
              <w:t>běrové řízení se neaplikují ustanovení zákona č. 134/2016 Sb., o zadávání veřejných zakázek</w:t>
            </w:r>
            <w:r w:rsidR="00AB2E3B">
              <w:t>, s výjimkou ustanovení, na které se zadavatel výslovně odkazuje ve Výzvě k podání nabídek</w:t>
            </w:r>
            <w:r w:rsidRPr="0097786B">
              <w:t>.</w:t>
            </w:r>
          </w:p>
        </w:tc>
      </w:tr>
      <w:tr w:rsidRPr="00E50090" w:rsidR="005C6C32" w:rsidTr="00415C03" w14:paraId="0C283EC3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C61C88" w:rsidRDefault="005C6C32" w14:paraId="63A35607" w14:textId="77777777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Dodavatelé budou vyrozumívání o výsledku</w:t>
            </w:r>
            <w:r w:rsidRPr="00E50090" w:rsidR="009A66A1">
              <w:rPr>
                <w:b/>
                <w:bCs/>
              </w:rPr>
              <w:t>,</w:t>
            </w:r>
            <w:r w:rsidRPr="00E50090">
              <w:rPr>
                <w:b/>
                <w:bCs/>
              </w:rPr>
              <w:t xml:space="preserve"> resp. zrušení zadávacího řízení a o příp. vyloučení nabídky prostřednictvím uveřejnění informace na portálu </w:t>
            </w:r>
            <w:hyperlink w:history="true" r:id="rId9">
              <w:r w:rsidRPr="00E50090" w:rsidR="00BB0C81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>
              <w:rPr>
                <w:b/>
                <w:bCs/>
              </w:rPr>
              <w:t xml:space="preserve"> pod výše u</w:t>
            </w:r>
            <w:r w:rsidRPr="00E50090" w:rsidR="00BB0C81">
              <w:rPr>
                <w:b/>
                <w:bCs/>
              </w:rPr>
              <w:t>vedeným názvem veřejné zakázky.</w:t>
            </w:r>
          </w:p>
        </w:tc>
      </w:tr>
    </w:tbl>
    <w:p w:rsidR="005C6C32" w:rsidP="00D92737" w:rsidRDefault="005C6C32" w14:paraId="7EFC67BF" w14:textId="7777777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6445B9" w:rsidTr="006F7C27" w14:paraId="380CBC63" w14:textId="77777777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6445B9" w:rsidP="00D92737" w:rsidRDefault="006445B9" w14:paraId="34251155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6445B9" w:rsidP="00D92737" w:rsidRDefault="002B6D14" w14:paraId="0D16C8F7" w14:textId="21F84BCC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Modřicích</w:t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746544">
              <w:rPr>
                <w:rFonts w:ascii="Arial" w:hAnsi="Arial" w:cs="Arial"/>
                <w:sz w:val="20"/>
                <w:szCs w:val="20"/>
              </w:rPr>
              <w:t xml:space="preserve"> 24. 7. 2017</w:t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ab/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ab/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6445B9" w:rsidP="00D92737" w:rsidRDefault="006445B9" w14:paraId="3E28727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6445B9" w:rsidP="00D92737" w:rsidRDefault="006445B9" w14:paraId="30BC04B1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6445B9" w:rsidP="00D92737" w:rsidRDefault="006445B9" w14:paraId="5BA403BF" w14:textId="77777777">
      <w:pPr>
        <w:rPr>
          <w:rFonts w:ascii="Arial" w:hAnsi="Arial" w:cs="Arial"/>
          <w:sz w:val="16"/>
          <w:szCs w:val="16"/>
        </w:rPr>
      </w:pPr>
    </w:p>
    <w:p w:rsidR="00C61C88" w:rsidP="00C61C88" w:rsidRDefault="00C61C88" w14:paraId="3E3091CD" w14:textId="77777777">
      <w:pPr>
        <w:spacing w:after="0"/>
        <w:rPr>
          <w:rFonts w:ascii="Arial" w:hAnsi="Arial" w:eastAsia="Times New Roman" w:cs="Arial"/>
          <w:color w:val="auto"/>
          <w:sz w:val="20"/>
          <w:lang w:eastAsia="cs-CZ"/>
        </w:rPr>
      </w:pPr>
      <w:r>
        <w:rPr>
          <w:rFonts w:ascii="Arial" w:hAnsi="Arial" w:eastAsia="Times New Roman" w:cs="Arial"/>
          <w:color w:val="auto"/>
          <w:sz w:val="20"/>
          <w:lang w:eastAsia="cs-CZ"/>
        </w:rPr>
        <w:t>Přílohy Výzvy:</w:t>
      </w:r>
    </w:p>
    <w:p w:rsidR="00C61C88" w:rsidP="00C61C88" w:rsidRDefault="00C61C88" w14:paraId="68563006" w14:textId="77777777">
      <w:pPr>
        <w:spacing w:after="0"/>
        <w:rPr>
          <w:rFonts w:ascii="Arial" w:hAnsi="Arial" w:eastAsia="Times New Roman" w:cs="Arial"/>
          <w:color w:val="auto"/>
          <w:sz w:val="20"/>
          <w:lang w:eastAsia="cs-CZ"/>
        </w:rPr>
      </w:pPr>
    </w:p>
    <w:p w:rsidRPr="00BB6F26" w:rsidR="00C61C88" w:rsidP="004B00EF" w:rsidRDefault="00C61C88" w14:paraId="4D7D4C1E" w14:textId="4BE2150F">
      <w:pPr>
        <w:spacing w:after="0"/>
        <w:jc w:val="left"/>
        <w:rPr>
          <w:rFonts w:ascii="Arial" w:hAnsi="Arial" w:eastAsia="Times New Roman" w:cs="Arial"/>
          <w:color w:val="auto"/>
          <w:sz w:val="20"/>
          <w:lang w:eastAsia="cs-CZ"/>
        </w:rPr>
      </w:pPr>
      <w:r w:rsidRPr="00BB6F26">
        <w:rPr>
          <w:rFonts w:ascii="Arial" w:hAnsi="Arial" w:eastAsia="Times New Roman" w:cs="Arial"/>
          <w:color w:val="auto"/>
          <w:sz w:val="20"/>
          <w:lang w:eastAsia="cs-CZ"/>
        </w:rPr>
        <w:t>Příloha č. 1 – Krycí list</w:t>
      </w:r>
      <w:r w:rsidRPr="00BB6F26" w:rsidR="005765AD">
        <w:rPr>
          <w:rFonts w:ascii="Arial" w:hAnsi="Arial" w:eastAsia="Times New Roman" w:cs="Arial"/>
          <w:color w:val="auto"/>
          <w:sz w:val="20"/>
          <w:lang w:eastAsia="cs-CZ"/>
        </w:rPr>
        <w:t xml:space="preserve"> nabídky </w:t>
      </w:r>
    </w:p>
    <w:p w:rsidRPr="00BB6F26" w:rsidR="00C61C88" w:rsidP="004B00EF" w:rsidRDefault="00C61C88" w14:paraId="0F730ECD" w14:textId="77777777">
      <w:pPr>
        <w:spacing w:after="0"/>
        <w:jc w:val="left"/>
        <w:rPr>
          <w:rFonts w:ascii="Arial" w:hAnsi="Arial" w:eastAsia="Times New Roman" w:cs="Arial"/>
          <w:color w:val="auto"/>
          <w:sz w:val="20"/>
          <w:lang w:eastAsia="cs-CZ"/>
        </w:rPr>
      </w:pPr>
      <w:r w:rsidRPr="00BB6F26">
        <w:rPr>
          <w:rFonts w:ascii="Arial" w:hAnsi="Arial" w:eastAsia="Times New Roman" w:cs="Arial"/>
          <w:color w:val="auto"/>
          <w:sz w:val="20"/>
          <w:lang w:eastAsia="cs-CZ"/>
        </w:rPr>
        <w:t>Příloha č. 2 – Čestné prohlášení - základní způsobilost</w:t>
      </w:r>
    </w:p>
    <w:p w:rsidRPr="00BB6F26" w:rsidR="00C61C88" w:rsidP="004B00EF" w:rsidRDefault="00C61C88" w14:paraId="4C0B8FBC" w14:textId="1BB78267">
      <w:pPr>
        <w:spacing w:after="0"/>
        <w:jc w:val="left"/>
        <w:rPr>
          <w:rFonts w:ascii="Arial" w:hAnsi="Arial" w:eastAsia="Times New Roman" w:cs="Arial"/>
          <w:color w:val="auto"/>
          <w:sz w:val="20"/>
          <w:lang w:eastAsia="cs-CZ"/>
        </w:rPr>
      </w:pPr>
      <w:r w:rsidRPr="00BB6F26">
        <w:rPr>
          <w:rFonts w:ascii="Arial" w:hAnsi="Arial" w:eastAsia="Times New Roman" w:cs="Arial"/>
          <w:color w:val="auto"/>
          <w:sz w:val="20"/>
          <w:lang w:eastAsia="cs-CZ"/>
        </w:rPr>
        <w:t>Příloha č. 3 – Návrh smlouvy</w:t>
      </w:r>
      <w:r w:rsidRPr="00BB6F26" w:rsidR="00AC3CD2">
        <w:rPr>
          <w:rFonts w:ascii="Arial" w:hAnsi="Arial" w:eastAsia="Times New Roman" w:cs="Arial"/>
          <w:color w:val="auto"/>
          <w:sz w:val="20"/>
          <w:lang w:eastAsia="cs-CZ"/>
        </w:rPr>
        <w:t xml:space="preserve"> </w:t>
      </w:r>
    </w:p>
    <w:p w:rsidRPr="00BB6F26" w:rsidR="00AB2E3B" w:rsidP="004B00EF" w:rsidRDefault="00AB2E3B" w14:paraId="1A7FD6EE" w14:textId="77777777">
      <w:pPr>
        <w:spacing w:after="0"/>
        <w:jc w:val="left"/>
        <w:rPr>
          <w:rFonts w:ascii="Arial" w:hAnsi="Arial" w:eastAsia="Times New Roman" w:cs="Arial"/>
          <w:color w:val="auto"/>
          <w:sz w:val="20"/>
          <w:lang w:eastAsia="cs-CZ"/>
        </w:rPr>
      </w:pPr>
      <w:r>
        <w:rPr>
          <w:rFonts w:ascii="Arial" w:hAnsi="Arial" w:eastAsia="Times New Roman" w:cs="Arial"/>
          <w:color w:val="auto"/>
          <w:sz w:val="20"/>
          <w:lang w:eastAsia="cs-CZ"/>
        </w:rPr>
        <w:t>Příloha č. 4 - neobsazeno</w:t>
      </w:r>
    </w:p>
    <w:p w:rsidRPr="00BB6F26" w:rsidR="004B26FD" w:rsidP="004B00EF" w:rsidRDefault="004B26FD" w14:paraId="35651784" w14:textId="77777777">
      <w:pPr>
        <w:spacing w:after="0"/>
        <w:jc w:val="left"/>
        <w:rPr>
          <w:rFonts w:ascii="Arial" w:hAnsi="Arial" w:eastAsia="Times New Roman" w:cs="Arial"/>
          <w:color w:val="auto"/>
          <w:sz w:val="20"/>
          <w:lang w:eastAsia="cs-CZ"/>
        </w:rPr>
      </w:pPr>
      <w:r w:rsidRPr="00BB6F26">
        <w:rPr>
          <w:rFonts w:ascii="Arial" w:hAnsi="Arial" w:eastAsia="Times New Roman" w:cs="Arial"/>
          <w:color w:val="auto"/>
          <w:sz w:val="20"/>
          <w:lang w:eastAsia="cs-CZ"/>
        </w:rPr>
        <w:t xml:space="preserve">Příloha č. 5 </w:t>
      </w:r>
      <w:r w:rsidRPr="00BB6F26" w:rsidR="00A14E61">
        <w:rPr>
          <w:rFonts w:ascii="Arial" w:hAnsi="Arial" w:eastAsia="Times New Roman" w:cs="Arial"/>
          <w:color w:val="auto"/>
          <w:sz w:val="20"/>
          <w:lang w:eastAsia="cs-CZ"/>
        </w:rPr>
        <w:t>–</w:t>
      </w:r>
      <w:r w:rsidRPr="00BB6F26">
        <w:rPr>
          <w:rFonts w:ascii="Arial" w:hAnsi="Arial" w:eastAsia="Times New Roman" w:cs="Arial"/>
          <w:color w:val="auto"/>
          <w:sz w:val="20"/>
          <w:lang w:eastAsia="cs-CZ"/>
        </w:rPr>
        <w:t xml:space="preserve"> </w:t>
      </w:r>
      <w:r w:rsidRPr="00BB6F26" w:rsidR="00304509">
        <w:rPr>
          <w:rFonts w:ascii="Arial" w:hAnsi="Arial" w:eastAsia="Times New Roman" w:cs="Arial"/>
          <w:color w:val="auto"/>
          <w:sz w:val="20"/>
          <w:lang w:eastAsia="cs-CZ"/>
        </w:rPr>
        <w:t xml:space="preserve">Předloha seznamu významných služeb provedených dodavatelem </w:t>
      </w:r>
    </w:p>
    <w:p w:rsidRPr="00BB6F26" w:rsidR="00610CF1" w:rsidP="004B00EF" w:rsidRDefault="00610CF1" w14:paraId="0243FF7E" w14:textId="77777777">
      <w:pPr>
        <w:spacing w:after="0"/>
        <w:jc w:val="left"/>
        <w:rPr>
          <w:rFonts w:ascii="Arial" w:hAnsi="Arial" w:eastAsia="Times New Roman" w:cs="Arial"/>
          <w:color w:val="auto"/>
          <w:sz w:val="20"/>
          <w:lang w:eastAsia="cs-CZ"/>
        </w:rPr>
      </w:pPr>
    </w:p>
    <w:p w:rsidRPr="00BB6F26" w:rsidR="004B00EF" w:rsidP="00304509" w:rsidRDefault="004B00EF" w14:paraId="05AD44C4" w14:textId="77777777">
      <w:pPr>
        <w:spacing w:after="0"/>
        <w:jc w:val="left"/>
        <w:rPr>
          <w:rFonts w:ascii="Arial" w:hAnsi="Arial" w:eastAsia="Times New Roman" w:cs="Arial"/>
          <w:color w:val="auto"/>
          <w:sz w:val="20"/>
          <w:lang w:eastAsia="cs-CZ"/>
        </w:rPr>
      </w:pPr>
    </w:p>
    <w:p w:rsidRPr="00E50090" w:rsidR="004B00EF" w:rsidP="00C61C88" w:rsidRDefault="004B00EF" w14:paraId="6333CB53" w14:textId="77777777"/>
    <w:p w:rsidRPr="00E50090" w:rsidR="005C6C32" w:rsidP="00D92737" w:rsidRDefault="005C6C32" w14:paraId="550C21DB" w14:textId="77777777"/>
    <w:sectPr w:rsidRPr="00E50090" w:rsidR="005C6C32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40D24" w:rsidP="00744469" w:rsidRDefault="00240D24" w14:paraId="613AB70B" w14:textId="77777777">
      <w:pPr>
        <w:spacing w:after="0"/>
      </w:pPr>
      <w:r>
        <w:separator/>
      </w:r>
    </w:p>
  </w:endnote>
  <w:endnote w:type="continuationSeparator" w:id="0">
    <w:p w:rsidR="00240D24" w:rsidP="00744469" w:rsidRDefault="00240D24" w14:paraId="516E1F2B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D11E6E" w:rsidTr="00830A79" w14:paraId="3FEBE9F2" w14:textId="77777777">
      <w:tc>
        <w:tcPr>
          <w:tcW w:w="5000" w:type="pct"/>
          <w:gridSpan w:val="3"/>
          <w:shd w:val="clear" w:color="auto" w:fill="auto"/>
          <w:vAlign w:val="center"/>
        </w:tcPr>
        <w:p w:rsidR="00D11E6E" w:rsidP="00F543E8" w:rsidRDefault="00D11E6E" w14:paraId="362EE3F4" w14:textId="77777777">
          <w:pPr>
            <w:pStyle w:val="Tabulkazhlav"/>
          </w:pPr>
        </w:p>
      </w:tc>
    </w:tr>
    <w:tr w:rsidR="00D11E6E" w:rsidTr="00830A79" w14:paraId="197EF1E4" w14:textId="77777777">
      <w:tc>
        <w:tcPr>
          <w:tcW w:w="1667" w:type="pct"/>
          <w:shd w:val="clear" w:color="auto" w:fill="auto"/>
          <w:vAlign w:val="center"/>
        </w:tcPr>
        <w:p w:rsidR="00D11E6E" w:rsidP="00E073EC" w:rsidRDefault="00D11E6E" w14:paraId="587ACEBE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D11E6E" w:rsidP="00015461" w:rsidRDefault="00D11E6E" w14:paraId="7A5A2317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D11E6E" w:rsidP="00E073EC" w:rsidRDefault="00D11E6E" w14:paraId="6F0121EA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67C28">
            <w:rPr>
              <w:noProof/>
            </w:rPr>
            <w:t>8</w:t>
          </w:r>
          <w:r>
            <w:fldChar w:fldCharType="end"/>
          </w:r>
          <w:r>
            <w:t xml:space="preserve"> z </w:t>
          </w:r>
          <w:fldSimple w:instr=" NUMPAGES   \* MERGEFORMAT ">
            <w:r w:rsidR="00A67C28">
              <w:rPr>
                <w:noProof/>
              </w:rPr>
              <w:t>8</w:t>
            </w:r>
          </w:fldSimple>
        </w:p>
      </w:tc>
    </w:tr>
  </w:tbl>
  <w:p w:rsidR="00D11E6E" w:rsidRDefault="00D11E6E" w14:paraId="36127040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D11E6E" w:rsidTr="00A34F9E" w14:paraId="10FABD43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D11E6E" w:rsidP="00A34F9E" w:rsidRDefault="00D11E6E" w14:paraId="48DE3DEE" w14:textId="77777777">
          <w:pPr>
            <w:pStyle w:val="Tabulkazhlav"/>
            <w:rPr>
              <w:b w:val="false"/>
            </w:rPr>
          </w:pPr>
        </w:p>
      </w:tc>
    </w:tr>
    <w:tr w:rsidR="00D11E6E" w:rsidTr="00A34F9E" w14:paraId="64AEB6E6" w14:textId="77777777">
      <w:tc>
        <w:tcPr>
          <w:tcW w:w="1667" w:type="pct"/>
          <w:shd w:val="clear" w:color="auto" w:fill="auto"/>
          <w:vAlign w:val="center"/>
        </w:tcPr>
        <w:p w:rsidR="00D11E6E" w:rsidP="006F7C27" w:rsidRDefault="00D11E6E" w14:paraId="7E3B7918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D11E6E" w:rsidP="006F7C27" w:rsidRDefault="00D11E6E" w14:paraId="4AA1920B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D11E6E" w:rsidP="006F7C27" w:rsidRDefault="00D11E6E" w14:paraId="336C8172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:rsidR="00D11E6E" w:rsidRDefault="00D11E6E" w14:paraId="1DAB7025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40D24" w:rsidP="00744469" w:rsidRDefault="00240D24" w14:paraId="46DA1F4C" w14:textId="77777777">
      <w:pPr>
        <w:spacing w:after="0"/>
      </w:pPr>
      <w:r>
        <w:separator/>
      </w:r>
    </w:p>
  </w:footnote>
  <w:footnote w:type="continuationSeparator" w:id="0">
    <w:p w:rsidR="00240D24" w:rsidP="00744469" w:rsidRDefault="00240D24" w14:paraId="564DB6E4" w14:textId="77777777">
      <w:pPr>
        <w:spacing w:after="0"/>
      </w:pPr>
      <w:r>
        <w:continuationSeparator/>
      </w:r>
    </w:p>
  </w:footnote>
  <w:footnote w:id="1">
    <w:p w:rsidR="00D11E6E" w:rsidRDefault="00D11E6E" w14:paraId="7E7D3CEB" w14:textId="77777777">
      <w:pPr>
        <w:pStyle w:val="Textpoznpodarou"/>
      </w:pPr>
      <w:r>
        <w:rPr>
          <w:rStyle w:val="Znakapoznpodarou"/>
        </w:rPr>
        <w:footnoteRef/>
      </w:r>
      <w:r>
        <w:t xml:space="preserve"> Další požadavky mohou být zadavatelem specifikovány v závěrečné části výzvy k podání nabídek.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11E6E" w:rsidRDefault="00D11E6E" w14:paraId="4E0F6244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1E6E" w:rsidRDefault="00D11E6E" w14:paraId="3F39B03B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11E6E" w:rsidRDefault="00D11E6E" w14:paraId="66DCAFE6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1E6E" w:rsidRDefault="00D11E6E" w14:paraId="3B54F19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5.65pt;height:5.65pt" id="_x0000_i1028" o:bullet="t">
        <v:imagedata o:title="ul" r:id="rId1"/>
      </v:shape>
    </w:pict>
  </w:numPicBullet>
  <w:abstractNum w:abstractNumId="0">
    <w:nsid w:val="00B979E8"/>
    <w:multiLevelType w:val="hybridMultilevel"/>
    <w:tmpl w:val="11C61720"/>
    <w:lvl w:ilvl="0" w:tplc="54501A48">
      <w:numFmt w:val="bullet"/>
      <w:lvlText w:val="-"/>
      <w:lvlJc w:val="left"/>
      <w:pPr>
        <w:ind w:left="914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1C3076"/>
    <w:multiLevelType w:val="multilevel"/>
    <w:tmpl w:val="F7F299D6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7" w:hanging="360"/>
      </w:pPr>
      <w:rPr>
        <w:rFonts w:hint="default"/>
        <w:color w:val="080808"/>
      </w:rPr>
    </w:lvl>
    <w:lvl w:ilvl="2">
      <w:start w:val="1"/>
      <w:numFmt w:val="decimal"/>
      <w:isLgl/>
      <w:lvlText w:val="%1.%2.%3"/>
      <w:lvlJc w:val="left"/>
      <w:pPr>
        <w:ind w:left="777" w:hanging="720"/>
      </w:pPr>
      <w:rPr>
        <w:rFonts w:hint="default"/>
        <w:color w:val="080808"/>
      </w:rPr>
    </w:lvl>
    <w:lvl w:ilvl="3">
      <w:start w:val="1"/>
      <w:numFmt w:val="decimal"/>
      <w:isLgl/>
      <w:lvlText w:val="%1.%2.%3.%4"/>
      <w:lvlJc w:val="left"/>
      <w:pPr>
        <w:ind w:left="777" w:hanging="720"/>
      </w:pPr>
      <w:rPr>
        <w:rFonts w:hint="default"/>
        <w:color w:val="080808"/>
      </w:rPr>
    </w:lvl>
    <w:lvl w:ilvl="4">
      <w:start w:val="1"/>
      <w:numFmt w:val="decimal"/>
      <w:isLgl/>
      <w:lvlText w:val="%1.%2.%3.%4.%5"/>
      <w:lvlJc w:val="left"/>
      <w:pPr>
        <w:ind w:left="1137" w:hanging="1080"/>
      </w:pPr>
      <w:rPr>
        <w:rFonts w:hint="default"/>
        <w:color w:val="080808"/>
      </w:rPr>
    </w:lvl>
    <w:lvl w:ilvl="5">
      <w:start w:val="1"/>
      <w:numFmt w:val="decimal"/>
      <w:isLgl/>
      <w:lvlText w:val="%1.%2.%3.%4.%5.%6"/>
      <w:lvlJc w:val="left"/>
      <w:pPr>
        <w:ind w:left="1137" w:hanging="1080"/>
      </w:pPr>
      <w:rPr>
        <w:rFonts w:hint="default"/>
        <w:color w:val="080808"/>
      </w:rPr>
    </w:lvl>
    <w:lvl w:ilvl="6">
      <w:start w:val="1"/>
      <w:numFmt w:val="decimal"/>
      <w:isLgl/>
      <w:lvlText w:val="%1.%2.%3.%4.%5.%6.%7"/>
      <w:lvlJc w:val="left"/>
      <w:pPr>
        <w:ind w:left="1497" w:hanging="1440"/>
      </w:pPr>
      <w:rPr>
        <w:rFonts w:hint="default"/>
        <w:color w:val="080808"/>
      </w:rPr>
    </w:lvl>
    <w:lvl w:ilvl="7">
      <w:start w:val="1"/>
      <w:numFmt w:val="decimal"/>
      <w:isLgl/>
      <w:lvlText w:val="%1.%2.%3.%4.%5.%6.%7.%8"/>
      <w:lvlJc w:val="left"/>
      <w:pPr>
        <w:ind w:left="1497" w:hanging="1440"/>
      </w:pPr>
      <w:rPr>
        <w:rFonts w:hint="default"/>
        <w:color w:val="080808"/>
      </w:rPr>
    </w:lvl>
    <w:lvl w:ilvl="8">
      <w:start w:val="1"/>
      <w:numFmt w:val="decimal"/>
      <w:isLgl/>
      <w:lvlText w:val="%1.%2.%3.%4.%5.%6.%7.%8.%9"/>
      <w:lvlJc w:val="left"/>
      <w:pPr>
        <w:ind w:left="1857" w:hanging="1800"/>
      </w:pPr>
      <w:rPr>
        <w:rFonts w:hint="default"/>
        <w:color w:val="080808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380"/>
    <w:multiLevelType w:val="hybridMultilevel"/>
    <w:tmpl w:val="C7C08C5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7">
    <w:nsid w:val="1AED3995"/>
    <w:multiLevelType w:val="hybridMultilevel"/>
    <w:tmpl w:val="5FFA98BC"/>
    <w:lvl w:ilvl="0" w:tplc="0046B9E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5F72B2E"/>
    <w:multiLevelType w:val="hybridMultilevel"/>
    <w:tmpl w:val="6862F22A"/>
    <w:lvl w:ilvl="0" w:tplc="54501A48">
      <w:numFmt w:val="bullet"/>
      <w:lvlText w:val="-"/>
      <w:lvlJc w:val="left"/>
      <w:pPr>
        <w:ind w:left="914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9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D8C03CD"/>
    <w:multiLevelType w:val="multilevel"/>
    <w:tmpl w:val="F7F299D6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7" w:hanging="360"/>
      </w:pPr>
      <w:rPr>
        <w:rFonts w:hint="default"/>
        <w:color w:val="080808"/>
      </w:rPr>
    </w:lvl>
    <w:lvl w:ilvl="2">
      <w:start w:val="1"/>
      <w:numFmt w:val="decimal"/>
      <w:isLgl/>
      <w:lvlText w:val="%1.%2.%3"/>
      <w:lvlJc w:val="left"/>
      <w:pPr>
        <w:ind w:left="777" w:hanging="720"/>
      </w:pPr>
      <w:rPr>
        <w:rFonts w:hint="default"/>
        <w:color w:val="080808"/>
      </w:rPr>
    </w:lvl>
    <w:lvl w:ilvl="3">
      <w:start w:val="1"/>
      <w:numFmt w:val="decimal"/>
      <w:isLgl/>
      <w:lvlText w:val="%1.%2.%3.%4"/>
      <w:lvlJc w:val="left"/>
      <w:pPr>
        <w:ind w:left="777" w:hanging="720"/>
      </w:pPr>
      <w:rPr>
        <w:rFonts w:hint="default"/>
        <w:color w:val="080808"/>
      </w:rPr>
    </w:lvl>
    <w:lvl w:ilvl="4">
      <w:start w:val="1"/>
      <w:numFmt w:val="decimal"/>
      <w:isLgl/>
      <w:lvlText w:val="%1.%2.%3.%4.%5"/>
      <w:lvlJc w:val="left"/>
      <w:pPr>
        <w:ind w:left="1137" w:hanging="1080"/>
      </w:pPr>
      <w:rPr>
        <w:rFonts w:hint="default"/>
        <w:color w:val="080808"/>
      </w:rPr>
    </w:lvl>
    <w:lvl w:ilvl="5">
      <w:start w:val="1"/>
      <w:numFmt w:val="decimal"/>
      <w:isLgl/>
      <w:lvlText w:val="%1.%2.%3.%4.%5.%6"/>
      <w:lvlJc w:val="left"/>
      <w:pPr>
        <w:ind w:left="1137" w:hanging="1080"/>
      </w:pPr>
      <w:rPr>
        <w:rFonts w:hint="default"/>
        <w:color w:val="080808"/>
      </w:rPr>
    </w:lvl>
    <w:lvl w:ilvl="6">
      <w:start w:val="1"/>
      <w:numFmt w:val="decimal"/>
      <w:isLgl/>
      <w:lvlText w:val="%1.%2.%3.%4.%5.%6.%7"/>
      <w:lvlJc w:val="left"/>
      <w:pPr>
        <w:ind w:left="1497" w:hanging="1440"/>
      </w:pPr>
      <w:rPr>
        <w:rFonts w:hint="default"/>
        <w:color w:val="080808"/>
      </w:rPr>
    </w:lvl>
    <w:lvl w:ilvl="7">
      <w:start w:val="1"/>
      <w:numFmt w:val="decimal"/>
      <w:isLgl/>
      <w:lvlText w:val="%1.%2.%3.%4.%5.%6.%7.%8"/>
      <w:lvlJc w:val="left"/>
      <w:pPr>
        <w:ind w:left="1497" w:hanging="1440"/>
      </w:pPr>
      <w:rPr>
        <w:rFonts w:hint="default"/>
        <w:color w:val="080808"/>
      </w:rPr>
    </w:lvl>
    <w:lvl w:ilvl="8">
      <w:start w:val="1"/>
      <w:numFmt w:val="decimal"/>
      <w:isLgl/>
      <w:lvlText w:val="%1.%2.%3.%4.%5.%6.%7.%8.%9"/>
      <w:lvlJc w:val="left"/>
      <w:pPr>
        <w:ind w:left="1857" w:hanging="1800"/>
      </w:pPr>
      <w:rPr>
        <w:rFonts w:hint="default"/>
        <w:color w:val="080808"/>
      </w:rPr>
    </w:lvl>
  </w:abstractNum>
  <w:abstractNum w:abstractNumId="11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46B3DF8"/>
    <w:multiLevelType w:val="hybridMultilevel"/>
    <w:tmpl w:val="1172ABFA"/>
    <w:lvl w:ilvl="0" w:tplc="C7D4B9B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51B"/>
    <w:multiLevelType w:val="hybridMultilevel"/>
    <w:tmpl w:val="F40CF6A4"/>
    <w:lvl w:ilvl="0" w:tplc="4EEAEC3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FC266F"/>
    <w:multiLevelType w:val="hybridMultilevel"/>
    <w:tmpl w:val="9460BD4E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1BE5618"/>
    <w:multiLevelType w:val="multilevel"/>
    <w:tmpl w:val="F7F299D6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7" w:hanging="360"/>
      </w:pPr>
      <w:rPr>
        <w:rFonts w:hint="default"/>
        <w:color w:val="080808"/>
      </w:rPr>
    </w:lvl>
    <w:lvl w:ilvl="2">
      <w:start w:val="1"/>
      <w:numFmt w:val="decimal"/>
      <w:isLgl/>
      <w:lvlText w:val="%1.%2.%3"/>
      <w:lvlJc w:val="left"/>
      <w:pPr>
        <w:ind w:left="777" w:hanging="720"/>
      </w:pPr>
      <w:rPr>
        <w:rFonts w:hint="default"/>
        <w:color w:val="080808"/>
      </w:rPr>
    </w:lvl>
    <w:lvl w:ilvl="3">
      <w:start w:val="1"/>
      <w:numFmt w:val="decimal"/>
      <w:isLgl/>
      <w:lvlText w:val="%1.%2.%3.%4"/>
      <w:lvlJc w:val="left"/>
      <w:pPr>
        <w:ind w:left="777" w:hanging="720"/>
      </w:pPr>
      <w:rPr>
        <w:rFonts w:hint="default"/>
        <w:color w:val="080808"/>
      </w:rPr>
    </w:lvl>
    <w:lvl w:ilvl="4">
      <w:start w:val="1"/>
      <w:numFmt w:val="decimal"/>
      <w:isLgl/>
      <w:lvlText w:val="%1.%2.%3.%4.%5"/>
      <w:lvlJc w:val="left"/>
      <w:pPr>
        <w:ind w:left="1137" w:hanging="1080"/>
      </w:pPr>
      <w:rPr>
        <w:rFonts w:hint="default"/>
        <w:color w:val="080808"/>
      </w:rPr>
    </w:lvl>
    <w:lvl w:ilvl="5">
      <w:start w:val="1"/>
      <w:numFmt w:val="decimal"/>
      <w:isLgl/>
      <w:lvlText w:val="%1.%2.%3.%4.%5.%6"/>
      <w:lvlJc w:val="left"/>
      <w:pPr>
        <w:ind w:left="1137" w:hanging="1080"/>
      </w:pPr>
      <w:rPr>
        <w:rFonts w:hint="default"/>
        <w:color w:val="080808"/>
      </w:rPr>
    </w:lvl>
    <w:lvl w:ilvl="6">
      <w:start w:val="1"/>
      <w:numFmt w:val="decimal"/>
      <w:isLgl/>
      <w:lvlText w:val="%1.%2.%3.%4.%5.%6.%7"/>
      <w:lvlJc w:val="left"/>
      <w:pPr>
        <w:ind w:left="1497" w:hanging="1440"/>
      </w:pPr>
      <w:rPr>
        <w:rFonts w:hint="default"/>
        <w:color w:val="080808"/>
      </w:rPr>
    </w:lvl>
    <w:lvl w:ilvl="7">
      <w:start w:val="1"/>
      <w:numFmt w:val="decimal"/>
      <w:isLgl/>
      <w:lvlText w:val="%1.%2.%3.%4.%5.%6.%7.%8"/>
      <w:lvlJc w:val="left"/>
      <w:pPr>
        <w:ind w:left="1497" w:hanging="1440"/>
      </w:pPr>
      <w:rPr>
        <w:rFonts w:hint="default"/>
        <w:color w:val="080808"/>
      </w:rPr>
    </w:lvl>
    <w:lvl w:ilvl="8">
      <w:start w:val="1"/>
      <w:numFmt w:val="decimal"/>
      <w:isLgl/>
      <w:lvlText w:val="%1.%2.%3.%4.%5.%6.%7.%8.%9"/>
      <w:lvlJc w:val="left"/>
      <w:pPr>
        <w:ind w:left="1857" w:hanging="1800"/>
      </w:pPr>
      <w:rPr>
        <w:rFonts w:hint="default"/>
        <w:color w:val="080808"/>
      </w:rPr>
    </w:lvl>
  </w:abstractNum>
  <w:abstractNum w:abstractNumId="18">
    <w:nsid w:val="49ED4539"/>
    <w:multiLevelType w:val="hybridMultilevel"/>
    <w:tmpl w:val="4A702E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1E2AFF"/>
    <w:multiLevelType w:val="hybridMultilevel"/>
    <w:tmpl w:val="8A9AB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3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5">
    <w:nsid w:val="577869C3"/>
    <w:multiLevelType w:val="hybridMultilevel"/>
    <w:tmpl w:val="BF0EF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3F2572"/>
    <w:multiLevelType w:val="hybridMultilevel"/>
    <w:tmpl w:val="8ECED684"/>
    <w:lvl w:ilvl="0" w:tplc="EE443E86">
      <w:numFmt w:val="bullet"/>
      <w:lvlText w:val="-"/>
      <w:lvlJc w:val="left"/>
      <w:pPr>
        <w:ind w:left="792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27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8">
    <w:nsid w:val="5E244579"/>
    <w:multiLevelType w:val="hybridMultilevel"/>
    <w:tmpl w:val="ED14CBBC"/>
    <w:lvl w:ilvl="0" w:tplc="81422812">
      <w:start w:val="1"/>
      <w:numFmt w:val="lowerLetter"/>
      <w:lvlText w:val="%1)"/>
      <w:lvlJc w:val="left"/>
      <w:pPr>
        <w:ind w:left="702" w:hanging="64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0">
    <w:nsid w:val="6C704BA8"/>
    <w:multiLevelType w:val="hybridMultilevel"/>
    <w:tmpl w:val="6B1A667E"/>
    <w:lvl w:ilvl="0" w:tplc="54501A48">
      <w:numFmt w:val="bullet"/>
      <w:lvlText w:val="-"/>
      <w:lvlJc w:val="left"/>
      <w:pPr>
        <w:ind w:left="85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6E127F82"/>
    <w:multiLevelType w:val="hybridMultilevel"/>
    <w:tmpl w:val="CD4A44EA"/>
    <w:lvl w:ilvl="0" w:tplc="8A3CB7B0">
      <w:start w:val="1"/>
      <w:numFmt w:val="bullet"/>
      <w:lvlText w:val="-"/>
      <w:lvlJc w:val="left"/>
      <w:pPr>
        <w:ind w:left="777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2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3">
    <w:nsid w:val="792313B1"/>
    <w:multiLevelType w:val="hybridMultilevel"/>
    <w:tmpl w:val="5C5EEFC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9AF12D2"/>
    <w:multiLevelType w:val="hybridMultilevel"/>
    <w:tmpl w:val="AC3CFF78"/>
    <w:lvl w:ilvl="0" w:tplc="35B851E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ADE5B00"/>
    <w:multiLevelType w:val="hybridMultilevel"/>
    <w:tmpl w:val="9D7C3EAC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6">
    <w:nsid w:val="7B4A17FE"/>
    <w:multiLevelType w:val="hybridMultilevel"/>
    <w:tmpl w:val="4D3AFD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D4B9B2">
      <w:numFmt w:val="bullet"/>
      <w:lvlText w:val="-"/>
      <w:lvlJc w:val="left"/>
      <w:pPr>
        <w:ind w:left="1069" w:hanging="360"/>
      </w:pPr>
      <w:rPr>
        <w:rFonts w:hint="default" w:ascii="Arial" w:hAnsi="Arial" w:cs="Arial" w:eastAsiaTheme="minorHAnsi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7CD70C3D"/>
    <w:multiLevelType w:val="hybridMultilevel"/>
    <w:tmpl w:val="92F42DBC"/>
    <w:lvl w:ilvl="0" w:tplc="91ACF9F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3"/>
  </w:num>
  <w:num w:numId="17">
    <w:abstractNumId w:val="11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6"/>
  </w:num>
  <w:num w:numId="22">
    <w:abstractNumId w:val="22"/>
  </w:num>
  <w:num w:numId="23">
    <w:abstractNumId w:val="24"/>
  </w:num>
  <w:num w:numId="24">
    <w:abstractNumId w:val="27"/>
  </w:num>
  <w:num w:numId="25">
    <w:abstractNumId w:val="21"/>
  </w:num>
  <w:num w:numId="26">
    <w:abstractNumId w:val="29"/>
  </w:num>
  <w:num w:numId="27">
    <w:abstractNumId w:val="10"/>
  </w:num>
  <w:num w:numId="28">
    <w:abstractNumId w:val="7"/>
  </w:num>
  <w:num w:numId="29">
    <w:abstractNumId w:val="34"/>
  </w:num>
  <w:num w:numId="30">
    <w:abstractNumId w:val="12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"/>
  </w:num>
  <w:num w:numId="34">
    <w:abstractNumId w:val="5"/>
  </w:num>
  <w:num w:numId="35">
    <w:abstractNumId w:val="12"/>
  </w:num>
  <w:num w:numId="36">
    <w:abstractNumId w:val="36"/>
  </w:num>
  <w:num w:numId="37">
    <w:abstractNumId w:val="0"/>
  </w:num>
  <w:num w:numId="38">
    <w:abstractNumId w:val="33"/>
  </w:num>
  <w:num w:numId="39">
    <w:abstractNumId w:val="37"/>
  </w:num>
  <w:num w:numId="40">
    <w:abstractNumId w:val="30"/>
  </w:num>
  <w:num w:numId="41">
    <w:abstractNumId w:val="8"/>
  </w:num>
  <w:num w:numId="42">
    <w:abstractNumId w:val="35"/>
  </w:num>
  <w:num w:numId="43">
    <w:abstractNumId w:val="28"/>
  </w:num>
  <w:num w:numId="44">
    <w:abstractNumId w:val="15"/>
  </w:num>
  <w:num w:numId="45">
    <w:abstractNumId w:val="14"/>
  </w:num>
  <w:num w:numId="46">
    <w:abstractNumId w:val="17"/>
  </w:num>
  <w:num w:numId="47">
    <w:abstractNumId w:val="3"/>
  </w:num>
  <w:num w:numId="48">
    <w:abstractNumId w:val="31"/>
  </w:num>
  <w:num w:numId="49">
    <w:abstractNumId w:val="26"/>
  </w:num>
  <w:num w:numId="50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05E1"/>
    <w:rsid w:val="00002C80"/>
    <w:rsid w:val="000128A0"/>
    <w:rsid w:val="0001344F"/>
    <w:rsid w:val="00015461"/>
    <w:rsid w:val="000217DF"/>
    <w:rsid w:val="00023023"/>
    <w:rsid w:val="00024C54"/>
    <w:rsid w:val="00035EFD"/>
    <w:rsid w:val="00036E15"/>
    <w:rsid w:val="00040F9B"/>
    <w:rsid w:val="00043BD7"/>
    <w:rsid w:val="00051341"/>
    <w:rsid w:val="000532DA"/>
    <w:rsid w:val="0005396F"/>
    <w:rsid w:val="00055362"/>
    <w:rsid w:val="00057C9B"/>
    <w:rsid w:val="00061CE1"/>
    <w:rsid w:val="00064680"/>
    <w:rsid w:val="00065731"/>
    <w:rsid w:val="00067B65"/>
    <w:rsid w:val="00067F8E"/>
    <w:rsid w:val="00071B9E"/>
    <w:rsid w:val="00073CC8"/>
    <w:rsid w:val="0007595D"/>
    <w:rsid w:val="00077D88"/>
    <w:rsid w:val="00080539"/>
    <w:rsid w:val="00084CE4"/>
    <w:rsid w:val="000A1FE3"/>
    <w:rsid w:val="000B01D5"/>
    <w:rsid w:val="000B25D8"/>
    <w:rsid w:val="000B4DFA"/>
    <w:rsid w:val="000C0FA8"/>
    <w:rsid w:val="000C1B6F"/>
    <w:rsid w:val="000E11BF"/>
    <w:rsid w:val="000E6653"/>
    <w:rsid w:val="000F0056"/>
    <w:rsid w:val="000F5592"/>
    <w:rsid w:val="00106FE4"/>
    <w:rsid w:val="00114B0E"/>
    <w:rsid w:val="00114C16"/>
    <w:rsid w:val="00115651"/>
    <w:rsid w:val="00115DEF"/>
    <w:rsid w:val="00116FD6"/>
    <w:rsid w:val="0011753D"/>
    <w:rsid w:val="00120EF2"/>
    <w:rsid w:val="00121E84"/>
    <w:rsid w:val="00123F66"/>
    <w:rsid w:val="00125718"/>
    <w:rsid w:val="00150FB5"/>
    <w:rsid w:val="001641A3"/>
    <w:rsid w:val="0016441B"/>
    <w:rsid w:val="00165657"/>
    <w:rsid w:val="00165ABC"/>
    <w:rsid w:val="001673AF"/>
    <w:rsid w:val="00174D02"/>
    <w:rsid w:val="001768B3"/>
    <w:rsid w:val="001776A7"/>
    <w:rsid w:val="00177B35"/>
    <w:rsid w:val="001819EE"/>
    <w:rsid w:val="001823BE"/>
    <w:rsid w:val="00184F3F"/>
    <w:rsid w:val="00185596"/>
    <w:rsid w:val="0019341C"/>
    <w:rsid w:val="00194656"/>
    <w:rsid w:val="001967F9"/>
    <w:rsid w:val="0019708B"/>
    <w:rsid w:val="001A735A"/>
    <w:rsid w:val="001B1706"/>
    <w:rsid w:val="001B4C24"/>
    <w:rsid w:val="001B55D7"/>
    <w:rsid w:val="001C08A2"/>
    <w:rsid w:val="001C40F3"/>
    <w:rsid w:val="001D1395"/>
    <w:rsid w:val="001D3B11"/>
    <w:rsid w:val="001D3DFE"/>
    <w:rsid w:val="001D5560"/>
    <w:rsid w:val="001D5B05"/>
    <w:rsid w:val="00201111"/>
    <w:rsid w:val="00202271"/>
    <w:rsid w:val="00204A93"/>
    <w:rsid w:val="0020570D"/>
    <w:rsid w:val="00217789"/>
    <w:rsid w:val="00220697"/>
    <w:rsid w:val="00221802"/>
    <w:rsid w:val="002319F2"/>
    <w:rsid w:val="00233ECC"/>
    <w:rsid w:val="00236F83"/>
    <w:rsid w:val="00240D24"/>
    <w:rsid w:val="00246C9B"/>
    <w:rsid w:val="002475CC"/>
    <w:rsid w:val="00252F26"/>
    <w:rsid w:val="00254E15"/>
    <w:rsid w:val="00265BDF"/>
    <w:rsid w:val="002671A0"/>
    <w:rsid w:val="00273013"/>
    <w:rsid w:val="002740C4"/>
    <w:rsid w:val="002749CD"/>
    <w:rsid w:val="00275D57"/>
    <w:rsid w:val="002777CB"/>
    <w:rsid w:val="00280B82"/>
    <w:rsid w:val="00282E14"/>
    <w:rsid w:val="00283A91"/>
    <w:rsid w:val="0028620C"/>
    <w:rsid w:val="002866E8"/>
    <w:rsid w:val="00287DE2"/>
    <w:rsid w:val="00291A7C"/>
    <w:rsid w:val="002921D1"/>
    <w:rsid w:val="002B03BF"/>
    <w:rsid w:val="002B3FC2"/>
    <w:rsid w:val="002B6D14"/>
    <w:rsid w:val="002B6E2F"/>
    <w:rsid w:val="002C4D5F"/>
    <w:rsid w:val="002C7AF9"/>
    <w:rsid w:val="002D4DD2"/>
    <w:rsid w:val="002D7766"/>
    <w:rsid w:val="002F3FCA"/>
    <w:rsid w:val="00301913"/>
    <w:rsid w:val="00302400"/>
    <w:rsid w:val="00304509"/>
    <w:rsid w:val="00306C59"/>
    <w:rsid w:val="0030789C"/>
    <w:rsid w:val="003127DB"/>
    <w:rsid w:val="00315348"/>
    <w:rsid w:val="0032343E"/>
    <w:rsid w:val="00330790"/>
    <w:rsid w:val="00334D40"/>
    <w:rsid w:val="003377AB"/>
    <w:rsid w:val="00342EB6"/>
    <w:rsid w:val="003527F2"/>
    <w:rsid w:val="00361FFC"/>
    <w:rsid w:val="00362B67"/>
    <w:rsid w:val="003658A4"/>
    <w:rsid w:val="00374883"/>
    <w:rsid w:val="0038447D"/>
    <w:rsid w:val="003851E9"/>
    <w:rsid w:val="00394C90"/>
    <w:rsid w:val="00394E65"/>
    <w:rsid w:val="00397794"/>
    <w:rsid w:val="003A5621"/>
    <w:rsid w:val="003A5981"/>
    <w:rsid w:val="003B1163"/>
    <w:rsid w:val="003B6ABD"/>
    <w:rsid w:val="003B6F5A"/>
    <w:rsid w:val="003C5DF6"/>
    <w:rsid w:val="003C68B9"/>
    <w:rsid w:val="003D13A3"/>
    <w:rsid w:val="003D1849"/>
    <w:rsid w:val="003D44AB"/>
    <w:rsid w:val="003D531B"/>
    <w:rsid w:val="003D575B"/>
    <w:rsid w:val="003E0B2A"/>
    <w:rsid w:val="003E5795"/>
    <w:rsid w:val="003E64E0"/>
    <w:rsid w:val="003E7A0B"/>
    <w:rsid w:val="003F02C5"/>
    <w:rsid w:val="003F69DA"/>
    <w:rsid w:val="00401F05"/>
    <w:rsid w:val="00415C03"/>
    <w:rsid w:val="004162EF"/>
    <w:rsid w:val="0043347E"/>
    <w:rsid w:val="004354DE"/>
    <w:rsid w:val="00435562"/>
    <w:rsid w:val="00440D77"/>
    <w:rsid w:val="004415B1"/>
    <w:rsid w:val="004461FB"/>
    <w:rsid w:val="004548E9"/>
    <w:rsid w:val="00455567"/>
    <w:rsid w:val="00456F87"/>
    <w:rsid w:val="00457DC4"/>
    <w:rsid w:val="004723B6"/>
    <w:rsid w:val="00473510"/>
    <w:rsid w:val="0048365E"/>
    <w:rsid w:val="00483F97"/>
    <w:rsid w:val="00496EF2"/>
    <w:rsid w:val="00497ED7"/>
    <w:rsid w:val="004A6A17"/>
    <w:rsid w:val="004B00EF"/>
    <w:rsid w:val="004B2213"/>
    <w:rsid w:val="004B26FD"/>
    <w:rsid w:val="004B48DE"/>
    <w:rsid w:val="004C4511"/>
    <w:rsid w:val="004C61A7"/>
    <w:rsid w:val="004C6F44"/>
    <w:rsid w:val="004C721F"/>
    <w:rsid w:val="004D4A8C"/>
    <w:rsid w:val="004D6015"/>
    <w:rsid w:val="004D73F0"/>
    <w:rsid w:val="004E5D87"/>
    <w:rsid w:val="004F402C"/>
    <w:rsid w:val="00512C01"/>
    <w:rsid w:val="005278BA"/>
    <w:rsid w:val="00535243"/>
    <w:rsid w:val="00536184"/>
    <w:rsid w:val="00536CEE"/>
    <w:rsid w:val="0055203F"/>
    <w:rsid w:val="00556F01"/>
    <w:rsid w:val="005607B4"/>
    <w:rsid w:val="00567C05"/>
    <w:rsid w:val="00573732"/>
    <w:rsid w:val="005765AD"/>
    <w:rsid w:val="0058644F"/>
    <w:rsid w:val="00591780"/>
    <w:rsid w:val="00597E60"/>
    <w:rsid w:val="005A4363"/>
    <w:rsid w:val="005B1860"/>
    <w:rsid w:val="005B66CA"/>
    <w:rsid w:val="005B7AFA"/>
    <w:rsid w:val="005C19CB"/>
    <w:rsid w:val="005C28D2"/>
    <w:rsid w:val="005C4D32"/>
    <w:rsid w:val="005C6427"/>
    <w:rsid w:val="005C6C32"/>
    <w:rsid w:val="005D114D"/>
    <w:rsid w:val="005D51FF"/>
    <w:rsid w:val="005D7987"/>
    <w:rsid w:val="005E72E4"/>
    <w:rsid w:val="005F464B"/>
    <w:rsid w:val="005F6058"/>
    <w:rsid w:val="00605AF1"/>
    <w:rsid w:val="006073D4"/>
    <w:rsid w:val="00607404"/>
    <w:rsid w:val="00610CF1"/>
    <w:rsid w:val="00615A51"/>
    <w:rsid w:val="0062246E"/>
    <w:rsid w:val="006248FB"/>
    <w:rsid w:val="006249B0"/>
    <w:rsid w:val="00630E04"/>
    <w:rsid w:val="0064006B"/>
    <w:rsid w:val="00640D76"/>
    <w:rsid w:val="006445B9"/>
    <w:rsid w:val="00644627"/>
    <w:rsid w:val="00644B7D"/>
    <w:rsid w:val="00646EC2"/>
    <w:rsid w:val="00647088"/>
    <w:rsid w:val="00653116"/>
    <w:rsid w:val="00657C57"/>
    <w:rsid w:val="00664281"/>
    <w:rsid w:val="00667155"/>
    <w:rsid w:val="00671782"/>
    <w:rsid w:val="006718E7"/>
    <w:rsid w:val="00680CA3"/>
    <w:rsid w:val="0068462F"/>
    <w:rsid w:val="00685750"/>
    <w:rsid w:val="00694A19"/>
    <w:rsid w:val="006A6906"/>
    <w:rsid w:val="006B3320"/>
    <w:rsid w:val="006B4467"/>
    <w:rsid w:val="006B7AD7"/>
    <w:rsid w:val="006C5040"/>
    <w:rsid w:val="006D2EC2"/>
    <w:rsid w:val="006D32A0"/>
    <w:rsid w:val="006D4968"/>
    <w:rsid w:val="006D6F9B"/>
    <w:rsid w:val="006D7FC5"/>
    <w:rsid w:val="006E2542"/>
    <w:rsid w:val="006F1032"/>
    <w:rsid w:val="006F114E"/>
    <w:rsid w:val="006F5787"/>
    <w:rsid w:val="006F7C27"/>
    <w:rsid w:val="006F7E2F"/>
    <w:rsid w:val="007011FE"/>
    <w:rsid w:val="0070198C"/>
    <w:rsid w:val="007021C1"/>
    <w:rsid w:val="00706BD4"/>
    <w:rsid w:val="00714E46"/>
    <w:rsid w:val="007162AB"/>
    <w:rsid w:val="0071660A"/>
    <w:rsid w:val="00720027"/>
    <w:rsid w:val="00725D79"/>
    <w:rsid w:val="00733FB5"/>
    <w:rsid w:val="00734546"/>
    <w:rsid w:val="00737635"/>
    <w:rsid w:val="0074277D"/>
    <w:rsid w:val="00743CC6"/>
    <w:rsid w:val="00744469"/>
    <w:rsid w:val="007450FB"/>
    <w:rsid w:val="0074554A"/>
    <w:rsid w:val="00746544"/>
    <w:rsid w:val="00747312"/>
    <w:rsid w:val="007566EB"/>
    <w:rsid w:val="0075777D"/>
    <w:rsid w:val="00766489"/>
    <w:rsid w:val="00772617"/>
    <w:rsid w:val="00773D72"/>
    <w:rsid w:val="00782D4C"/>
    <w:rsid w:val="00796C01"/>
    <w:rsid w:val="00797E60"/>
    <w:rsid w:val="007A0075"/>
    <w:rsid w:val="007A0327"/>
    <w:rsid w:val="007A6921"/>
    <w:rsid w:val="007B0E97"/>
    <w:rsid w:val="007B1C3C"/>
    <w:rsid w:val="007B4807"/>
    <w:rsid w:val="007B71C8"/>
    <w:rsid w:val="007D0935"/>
    <w:rsid w:val="007D2F0F"/>
    <w:rsid w:val="007E6E16"/>
    <w:rsid w:val="007E732D"/>
    <w:rsid w:val="007E74B2"/>
    <w:rsid w:val="007E7BC3"/>
    <w:rsid w:val="007F59A4"/>
    <w:rsid w:val="008053D8"/>
    <w:rsid w:val="00811F57"/>
    <w:rsid w:val="00814236"/>
    <w:rsid w:val="00815F47"/>
    <w:rsid w:val="008255F6"/>
    <w:rsid w:val="00826CE5"/>
    <w:rsid w:val="00830A79"/>
    <w:rsid w:val="00832A86"/>
    <w:rsid w:val="00844670"/>
    <w:rsid w:val="00846D06"/>
    <w:rsid w:val="00847203"/>
    <w:rsid w:val="00857959"/>
    <w:rsid w:val="00860E25"/>
    <w:rsid w:val="008614FD"/>
    <w:rsid w:val="00862C7E"/>
    <w:rsid w:val="008647AD"/>
    <w:rsid w:val="008647B8"/>
    <w:rsid w:val="008650EB"/>
    <w:rsid w:val="00866B47"/>
    <w:rsid w:val="00867E04"/>
    <w:rsid w:val="00876436"/>
    <w:rsid w:val="008819E7"/>
    <w:rsid w:val="008842D3"/>
    <w:rsid w:val="00884CCD"/>
    <w:rsid w:val="00890D30"/>
    <w:rsid w:val="00890FAA"/>
    <w:rsid w:val="00894185"/>
    <w:rsid w:val="008A136C"/>
    <w:rsid w:val="008B607A"/>
    <w:rsid w:val="008C56D9"/>
    <w:rsid w:val="008C6214"/>
    <w:rsid w:val="008C6C51"/>
    <w:rsid w:val="008C7EB7"/>
    <w:rsid w:val="008D1EA7"/>
    <w:rsid w:val="008D4258"/>
    <w:rsid w:val="008D5160"/>
    <w:rsid w:val="008E0060"/>
    <w:rsid w:val="008E7E21"/>
    <w:rsid w:val="008F7D9B"/>
    <w:rsid w:val="00910732"/>
    <w:rsid w:val="009117F1"/>
    <w:rsid w:val="009121EF"/>
    <w:rsid w:val="00921374"/>
    <w:rsid w:val="009343A7"/>
    <w:rsid w:val="00934A32"/>
    <w:rsid w:val="00942E26"/>
    <w:rsid w:val="00942F74"/>
    <w:rsid w:val="00956795"/>
    <w:rsid w:val="009574F9"/>
    <w:rsid w:val="00960BFE"/>
    <w:rsid w:val="00962FD2"/>
    <w:rsid w:val="00967B24"/>
    <w:rsid w:val="00967D4A"/>
    <w:rsid w:val="00970964"/>
    <w:rsid w:val="009811EC"/>
    <w:rsid w:val="00982BBD"/>
    <w:rsid w:val="009A3FFC"/>
    <w:rsid w:val="009A66A1"/>
    <w:rsid w:val="009A7345"/>
    <w:rsid w:val="009A755D"/>
    <w:rsid w:val="009B16A5"/>
    <w:rsid w:val="009B5088"/>
    <w:rsid w:val="009C0865"/>
    <w:rsid w:val="009C14C5"/>
    <w:rsid w:val="009C1CDE"/>
    <w:rsid w:val="009C6048"/>
    <w:rsid w:val="009C6899"/>
    <w:rsid w:val="009C71CB"/>
    <w:rsid w:val="009D16C1"/>
    <w:rsid w:val="009D6602"/>
    <w:rsid w:val="009E18B8"/>
    <w:rsid w:val="009E1C91"/>
    <w:rsid w:val="009E26ED"/>
    <w:rsid w:val="009E592B"/>
    <w:rsid w:val="009F5793"/>
    <w:rsid w:val="00A05864"/>
    <w:rsid w:val="00A076EC"/>
    <w:rsid w:val="00A12C9F"/>
    <w:rsid w:val="00A13675"/>
    <w:rsid w:val="00A136DC"/>
    <w:rsid w:val="00A14E61"/>
    <w:rsid w:val="00A15D10"/>
    <w:rsid w:val="00A16328"/>
    <w:rsid w:val="00A2195F"/>
    <w:rsid w:val="00A23B67"/>
    <w:rsid w:val="00A338EB"/>
    <w:rsid w:val="00A33A3D"/>
    <w:rsid w:val="00A3456E"/>
    <w:rsid w:val="00A34F9E"/>
    <w:rsid w:val="00A36264"/>
    <w:rsid w:val="00A476A5"/>
    <w:rsid w:val="00A47B09"/>
    <w:rsid w:val="00A508D4"/>
    <w:rsid w:val="00A601DD"/>
    <w:rsid w:val="00A67723"/>
    <w:rsid w:val="00A67C28"/>
    <w:rsid w:val="00A719C5"/>
    <w:rsid w:val="00A7761D"/>
    <w:rsid w:val="00A87668"/>
    <w:rsid w:val="00AA3E99"/>
    <w:rsid w:val="00AA4D9C"/>
    <w:rsid w:val="00AA6F23"/>
    <w:rsid w:val="00AA7DCD"/>
    <w:rsid w:val="00AB2C1E"/>
    <w:rsid w:val="00AB2E3B"/>
    <w:rsid w:val="00AC3356"/>
    <w:rsid w:val="00AC3CD2"/>
    <w:rsid w:val="00AD04D6"/>
    <w:rsid w:val="00AD1E73"/>
    <w:rsid w:val="00AD6C29"/>
    <w:rsid w:val="00AE140A"/>
    <w:rsid w:val="00AF7207"/>
    <w:rsid w:val="00B04C20"/>
    <w:rsid w:val="00B11883"/>
    <w:rsid w:val="00B30DD1"/>
    <w:rsid w:val="00B311D6"/>
    <w:rsid w:val="00B3216D"/>
    <w:rsid w:val="00B32C5C"/>
    <w:rsid w:val="00B41E46"/>
    <w:rsid w:val="00B50733"/>
    <w:rsid w:val="00B539D6"/>
    <w:rsid w:val="00B56267"/>
    <w:rsid w:val="00B56786"/>
    <w:rsid w:val="00B57C7F"/>
    <w:rsid w:val="00B70C0C"/>
    <w:rsid w:val="00B74534"/>
    <w:rsid w:val="00B82A5C"/>
    <w:rsid w:val="00B832C0"/>
    <w:rsid w:val="00B90AFE"/>
    <w:rsid w:val="00B921E9"/>
    <w:rsid w:val="00B9435E"/>
    <w:rsid w:val="00B96C68"/>
    <w:rsid w:val="00BA0F0F"/>
    <w:rsid w:val="00BA40A6"/>
    <w:rsid w:val="00BA5CD3"/>
    <w:rsid w:val="00BB0C81"/>
    <w:rsid w:val="00BB5E24"/>
    <w:rsid w:val="00BB64F1"/>
    <w:rsid w:val="00BB6F26"/>
    <w:rsid w:val="00BD26E4"/>
    <w:rsid w:val="00BD5598"/>
    <w:rsid w:val="00BD772C"/>
    <w:rsid w:val="00BD7864"/>
    <w:rsid w:val="00BE5DCC"/>
    <w:rsid w:val="00BF63C5"/>
    <w:rsid w:val="00C014AB"/>
    <w:rsid w:val="00C1026C"/>
    <w:rsid w:val="00C17714"/>
    <w:rsid w:val="00C22A08"/>
    <w:rsid w:val="00C26A71"/>
    <w:rsid w:val="00C40BA4"/>
    <w:rsid w:val="00C43C56"/>
    <w:rsid w:val="00C453BB"/>
    <w:rsid w:val="00C53240"/>
    <w:rsid w:val="00C53C1A"/>
    <w:rsid w:val="00C54BB9"/>
    <w:rsid w:val="00C61C88"/>
    <w:rsid w:val="00C70F57"/>
    <w:rsid w:val="00C72443"/>
    <w:rsid w:val="00C7248E"/>
    <w:rsid w:val="00C77820"/>
    <w:rsid w:val="00C858E8"/>
    <w:rsid w:val="00C863CC"/>
    <w:rsid w:val="00C920D4"/>
    <w:rsid w:val="00CA0AE0"/>
    <w:rsid w:val="00CA7549"/>
    <w:rsid w:val="00CB527F"/>
    <w:rsid w:val="00CD05F2"/>
    <w:rsid w:val="00CD39B3"/>
    <w:rsid w:val="00CD4548"/>
    <w:rsid w:val="00CD7331"/>
    <w:rsid w:val="00CD7A0B"/>
    <w:rsid w:val="00CE2B93"/>
    <w:rsid w:val="00CE6FA4"/>
    <w:rsid w:val="00CE70CC"/>
    <w:rsid w:val="00CE7956"/>
    <w:rsid w:val="00CF0D5F"/>
    <w:rsid w:val="00CF1AEC"/>
    <w:rsid w:val="00CF1BC0"/>
    <w:rsid w:val="00CF1BD5"/>
    <w:rsid w:val="00D019D4"/>
    <w:rsid w:val="00D02889"/>
    <w:rsid w:val="00D02999"/>
    <w:rsid w:val="00D03867"/>
    <w:rsid w:val="00D07979"/>
    <w:rsid w:val="00D117E6"/>
    <w:rsid w:val="00D11E6E"/>
    <w:rsid w:val="00D41F67"/>
    <w:rsid w:val="00D43324"/>
    <w:rsid w:val="00D53C2C"/>
    <w:rsid w:val="00D54410"/>
    <w:rsid w:val="00D54F61"/>
    <w:rsid w:val="00D55B22"/>
    <w:rsid w:val="00D64059"/>
    <w:rsid w:val="00D643DA"/>
    <w:rsid w:val="00D6700A"/>
    <w:rsid w:val="00D67A6C"/>
    <w:rsid w:val="00D7444F"/>
    <w:rsid w:val="00D7542C"/>
    <w:rsid w:val="00D75506"/>
    <w:rsid w:val="00D85E2C"/>
    <w:rsid w:val="00D90F1D"/>
    <w:rsid w:val="00D91795"/>
    <w:rsid w:val="00D91F9F"/>
    <w:rsid w:val="00D92737"/>
    <w:rsid w:val="00D94736"/>
    <w:rsid w:val="00DA54E9"/>
    <w:rsid w:val="00DA7A8F"/>
    <w:rsid w:val="00DB2526"/>
    <w:rsid w:val="00DB3EA3"/>
    <w:rsid w:val="00DB40C5"/>
    <w:rsid w:val="00DB4A5D"/>
    <w:rsid w:val="00DC2596"/>
    <w:rsid w:val="00DC32CF"/>
    <w:rsid w:val="00DC370F"/>
    <w:rsid w:val="00DC42F7"/>
    <w:rsid w:val="00DC558E"/>
    <w:rsid w:val="00DC6BF7"/>
    <w:rsid w:val="00DE2047"/>
    <w:rsid w:val="00DE5795"/>
    <w:rsid w:val="00DF0076"/>
    <w:rsid w:val="00DF203B"/>
    <w:rsid w:val="00E00503"/>
    <w:rsid w:val="00E023EB"/>
    <w:rsid w:val="00E073EC"/>
    <w:rsid w:val="00E14E40"/>
    <w:rsid w:val="00E15150"/>
    <w:rsid w:val="00E201FD"/>
    <w:rsid w:val="00E20828"/>
    <w:rsid w:val="00E3257E"/>
    <w:rsid w:val="00E41B38"/>
    <w:rsid w:val="00E4229E"/>
    <w:rsid w:val="00E44390"/>
    <w:rsid w:val="00E45CF5"/>
    <w:rsid w:val="00E47BC5"/>
    <w:rsid w:val="00E47E46"/>
    <w:rsid w:val="00E50090"/>
    <w:rsid w:val="00E539B2"/>
    <w:rsid w:val="00E66055"/>
    <w:rsid w:val="00E7153A"/>
    <w:rsid w:val="00E7728A"/>
    <w:rsid w:val="00E80555"/>
    <w:rsid w:val="00E81664"/>
    <w:rsid w:val="00E8702F"/>
    <w:rsid w:val="00E90E13"/>
    <w:rsid w:val="00E915D8"/>
    <w:rsid w:val="00E93351"/>
    <w:rsid w:val="00E97892"/>
    <w:rsid w:val="00EA17D9"/>
    <w:rsid w:val="00EA3530"/>
    <w:rsid w:val="00EA35B3"/>
    <w:rsid w:val="00EA7659"/>
    <w:rsid w:val="00EB09E4"/>
    <w:rsid w:val="00EB1223"/>
    <w:rsid w:val="00EB1A20"/>
    <w:rsid w:val="00EB3B2E"/>
    <w:rsid w:val="00EB62F1"/>
    <w:rsid w:val="00EB6DC3"/>
    <w:rsid w:val="00EC1687"/>
    <w:rsid w:val="00EC5F4E"/>
    <w:rsid w:val="00ED7068"/>
    <w:rsid w:val="00EE03D0"/>
    <w:rsid w:val="00EE4900"/>
    <w:rsid w:val="00EE4BE0"/>
    <w:rsid w:val="00EF50A5"/>
    <w:rsid w:val="00EF6852"/>
    <w:rsid w:val="00EF7059"/>
    <w:rsid w:val="00F11E84"/>
    <w:rsid w:val="00F14015"/>
    <w:rsid w:val="00F15FCA"/>
    <w:rsid w:val="00F16673"/>
    <w:rsid w:val="00F25FB9"/>
    <w:rsid w:val="00F30CA9"/>
    <w:rsid w:val="00F332DB"/>
    <w:rsid w:val="00F37E18"/>
    <w:rsid w:val="00F43215"/>
    <w:rsid w:val="00F4441B"/>
    <w:rsid w:val="00F543E8"/>
    <w:rsid w:val="00F61DB6"/>
    <w:rsid w:val="00F63673"/>
    <w:rsid w:val="00F65B8C"/>
    <w:rsid w:val="00F65D86"/>
    <w:rsid w:val="00F65E1C"/>
    <w:rsid w:val="00F91466"/>
    <w:rsid w:val="00F91844"/>
    <w:rsid w:val="00F9194D"/>
    <w:rsid w:val="00F93BD5"/>
    <w:rsid w:val="00F93BE0"/>
    <w:rsid w:val="00FA388B"/>
    <w:rsid w:val="00FA3BD7"/>
    <w:rsid w:val="00FA407C"/>
    <w:rsid w:val="00FA5583"/>
    <w:rsid w:val="00FA5BE7"/>
    <w:rsid w:val="00FA5DA8"/>
    <w:rsid w:val="00FB2D45"/>
    <w:rsid w:val="00FB60CE"/>
    <w:rsid w:val="00FC0AE3"/>
    <w:rsid w:val="00FC2407"/>
    <w:rsid w:val="00FC4FB9"/>
    <w:rsid w:val="00FC604A"/>
    <w:rsid w:val="00FC7F62"/>
    <w:rsid w:val="00FD750F"/>
    <w:rsid w:val="00FE1471"/>
    <w:rsid w:val="00FE3C6C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9B49749"/>
  <w15:docId w15:val="{66AFD2D0-8E12-47F1-810E-077E50EE29C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hword" w:customStyle="true">
    <w:name w:val="h_word"/>
    <w:basedOn w:val="Standardnpsmoodstavce"/>
    <w:rsid w:val="002C7AF9"/>
  </w:style>
  <w:style w:type="paragraph" w:styleId="Normlnweb">
    <w:name w:val="Normal (Web)"/>
    <w:basedOn w:val="Normln"/>
    <w:uiPriority w:val="99"/>
    <w:semiHidden/>
    <w:unhideWhenUsed/>
    <w:rsid w:val="00EF7059"/>
    <w:pPr>
      <w:spacing w:before="100" w:beforeAutospacing="true" w:after="100" w:afterAutospacing="true"/>
      <w:jc w:val="left"/>
    </w:pPr>
    <w:rPr>
      <w:rFonts w:ascii="Times New Roman" w:hAnsi="Times New Roman" w:cs="Times New Roman"/>
      <w:color w:val="auto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607B4"/>
    <w:pPr>
      <w:spacing w:after="0" w:line="240" w:lineRule="auto"/>
    </w:pPr>
    <w:rPr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366199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28516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447574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50463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264276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62075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60146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35374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86343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zakazky@dea.cz" Type="http://schemas.openxmlformats.org/officeDocument/2006/relationships/hyperlink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06194C8-5AEA-4823-B034-A3B067844DA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8</properties:Pages>
  <properties:Words>3252</properties:Words>
  <properties:Characters>19188</properties:Characters>
  <properties:Lines>159</properties:Lines>
  <properties:Paragraphs>44</properties:Paragraphs>
  <properties:TotalTime>32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22396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2017-07-03T11:46:00Z</dcterms:created>
  <dc:creator/>
  <cp:lastModifiedBy/>
  <dcterms:modified xmlns:xsi="http://www.w3.org/2001/XMLSchema-instance" xsi:type="dcterms:W3CDTF">2017-07-24T12:11:00Z</dcterms:modified>
  <cp:revision>11</cp:revision>
  <dc:title/>
</cp:coreProperties>
</file>