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3FD6" w:rsidRDefault="00EA3FD6" w:rsidP="002477C4">
      <w:pPr>
        <w:jc w:val="center"/>
        <w:rPr>
          <w:rFonts w:cstheme="minorHAnsi"/>
          <w:b/>
          <w:sz w:val="24"/>
          <w:szCs w:val="24"/>
          <w:u w:val="single"/>
        </w:rPr>
      </w:pPr>
    </w:p>
    <w:p w:rsidR="00C418E8" w:rsidRPr="00EA3FD6" w:rsidRDefault="00DC1674" w:rsidP="002477C4">
      <w:pPr>
        <w:jc w:val="center"/>
        <w:rPr>
          <w:rFonts w:ascii="Arial" w:hAnsi="Arial" w:cs="Arial"/>
          <w:b/>
          <w:u w:val="single"/>
        </w:rPr>
      </w:pPr>
      <w:r w:rsidRPr="00EA3FD6">
        <w:rPr>
          <w:rFonts w:ascii="Arial" w:hAnsi="Arial" w:cs="Arial"/>
          <w:b/>
          <w:u w:val="single"/>
        </w:rPr>
        <w:t>Příloha č.</w:t>
      </w:r>
      <w:r w:rsidR="00EA3FD6" w:rsidRPr="00EA3FD6">
        <w:rPr>
          <w:rFonts w:ascii="Arial" w:hAnsi="Arial" w:cs="Arial"/>
          <w:b/>
          <w:u w:val="single"/>
        </w:rPr>
        <w:t xml:space="preserve"> </w:t>
      </w:r>
      <w:r w:rsidR="00445D26">
        <w:rPr>
          <w:rFonts w:ascii="Arial" w:hAnsi="Arial" w:cs="Arial"/>
          <w:b/>
          <w:u w:val="single"/>
        </w:rPr>
        <w:t>10</w:t>
      </w:r>
      <w:r w:rsidR="00916FA6" w:rsidRPr="00EA3FD6">
        <w:rPr>
          <w:rFonts w:ascii="Arial" w:hAnsi="Arial" w:cs="Arial"/>
          <w:b/>
          <w:u w:val="single"/>
        </w:rPr>
        <w:t xml:space="preserve"> Výroční zprávy OP LZZ 2011</w:t>
      </w:r>
    </w:p>
    <w:p w:rsidR="00916FA6" w:rsidRPr="00EA3FD6" w:rsidRDefault="00916FA6" w:rsidP="00DC5891">
      <w:pPr>
        <w:jc w:val="center"/>
        <w:rPr>
          <w:rFonts w:ascii="Arial" w:hAnsi="Arial" w:cs="Arial"/>
          <w:b/>
          <w:i/>
        </w:rPr>
      </w:pPr>
      <w:r w:rsidRPr="00EA3FD6">
        <w:rPr>
          <w:rFonts w:ascii="Arial" w:hAnsi="Arial" w:cs="Arial"/>
          <w:b/>
          <w:i/>
        </w:rPr>
        <w:t xml:space="preserve">Případová studie </w:t>
      </w:r>
      <w:r w:rsidR="001963C5" w:rsidRPr="00EA3FD6">
        <w:rPr>
          <w:rFonts w:ascii="Arial" w:hAnsi="Arial" w:cs="Arial"/>
          <w:b/>
          <w:i/>
        </w:rPr>
        <w:t xml:space="preserve">v oblasti podpory </w:t>
      </w:r>
      <w:r w:rsidR="00DC1674" w:rsidRPr="00EA3FD6">
        <w:rPr>
          <w:rFonts w:ascii="Arial" w:hAnsi="Arial" w:cs="Arial"/>
          <w:b/>
          <w:i/>
        </w:rPr>
        <w:t>4</w:t>
      </w:r>
      <w:r w:rsidR="001963C5" w:rsidRPr="00EA3FD6">
        <w:rPr>
          <w:rFonts w:ascii="Arial" w:hAnsi="Arial" w:cs="Arial"/>
          <w:b/>
          <w:i/>
        </w:rPr>
        <w:t>.1</w:t>
      </w:r>
      <w:r w:rsidRPr="00EA3FD6">
        <w:rPr>
          <w:rFonts w:ascii="Arial" w:hAnsi="Arial" w:cs="Arial"/>
          <w:b/>
          <w:i/>
        </w:rPr>
        <w:t xml:space="preserve"> </w:t>
      </w:r>
      <w:r w:rsidR="001963C5" w:rsidRPr="00EA3FD6">
        <w:rPr>
          <w:rFonts w:ascii="Arial" w:hAnsi="Arial" w:cs="Arial"/>
          <w:b/>
          <w:i/>
        </w:rPr>
        <w:t>Posilování institucionální kapacity a efektivnosti veřejné správy</w:t>
      </w:r>
    </w:p>
    <w:p w:rsidR="00DC1674" w:rsidRPr="00EA3FD6" w:rsidRDefault="00DC1674" w:rsidP="00916FA6">
      <w:pPr>
        <w:jc w:val="both"/>
        <w:rPr>
          <w:rFonts w:ascii="Arial" w:eastAsia="Times New Roman" w:hAnsi="Arial" w:cs="Arial"/>
          <w:b/>
        </w:rPr>
      </w:pPr>
    </w:p>
    <w:tbl>
      <w:tblPr>
        <w:tblStyle w:val="Mkatabulky"/>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single" w:sz="6" w:space="0" w:color="1F497D" w:themeColor="text2"/>
          <w:insideV w:val="single" w:sz="6" w:space="0" w:color="1F497D" w:themeColor="text2"/>
        </w:tblBorders>
        <w:tblLook w:val="04A0" w:firstRow="1" w:lastRow="0" w:firstColumn="1" w:lastColumn="0" w:noHBand="0" w:noVBand="1"/>
      </w:tblPr>
      <w:tblGrid>
        <w:gridCol w:w="3070"/>
        <w:gridCol w:w="3071"/>
        <w:gridCol w:w="3071"/>
      </w:tblGrid>
      <w:tr w:rsidR="002477C4" w:rsidRPr="00EA3FD6" w:rsidTr="008634AD">
        <w:trPr>
          <w:trHeight w:val="262"/>
        </w:trPr>
        <w:tc>
          <w:tcPr>
            <w:tcW w:w="3070" w:type="dxa"/>
            <w:tcBorders>
              <w:top w:val="single" w:sz="18" w:space="0" w:color="1F497D" w:themeColor="text2"/>
              <w:left w:val="single" w:sz="18" w:space="0" w:color="1F497D" w:themeColor="text2"/>
              <w:bottom w:val="single" w:sz="6" w:space="0" w:color="1F497D" w:themeColor="text2"/>
              <w:right w:val="single" w:sz="6" w:space="0" w:color="1F497D" w:themeColor="text2"/>
            </w:tcBorders>
            <w:shd w:val="clear" w:color="auto" w:fill="CCFFCC"/>
            <w:hideMark/>
          </w:tcPr>
          <w:p w:rsidR="002477C4" w:rsidRPr="00EA3FD6" w:rsidRDefault="002477C4">
            <w:pPr>
              <w:rPr>
                <w:rFonts w:ascii="Arial" w:hAnsi="Arial" w:cs="Arial"/>
                <w:b/>
              </w:rPr>
            </w:pPr>
            <w:r w:rsidRPr="00EA3FD6">
              <w:rPr>
                <w:rFonts w:ascii="Arial" w:hAnsi="Arial" w:cs="Arial"/>
                <w:b/>
              </w:rPr>
              <w:t>NÁZEV A ČÍSLO PROJEKTU</w:t>
            </w:r>
          </w:p>
        </w:tc>
        <w:tc>
          <w:tcPr>
            <w:tcW w:w="6142" w:type="dxa"/>
            <w:gridSpan w:val="2"/>
            <w:tcBorders>
              <w:top w:val="single" w:sz="18" w:space="0" w:color="1F497D" w:themeColor="text2"/>
              <w:left w:val="single" w:sz="6" w:space="0" w:color="1F497D" w:themeColor="text2"/>
              <w:bottom w:val="single" w:sz="6" w:space="0" w:color="1F497D" w:themeColor="text2"/>
              <w:right w:val="single" w:sz="18" w:space="0" w:color="1F497D" w:themeColor="text2"/>
            </w:tcBorders>
            <w:shd w:val="clear" w:color="auto" w:fill="CCFFCC"/>
            <w:hideMark/>
          </w:tcPr>
          <w:p w:rsidR="002477C4" w:rsidRPr="00EA3FD6" w:rsidRDefault="002477C4">
            <w:pPr>
              <w:tabs>
                <w:tab w:val="left" w:pos="2127"/>
              </w:tabs>
              <w:rPr>
                <w:rFonts w:ascii="Arial" w:hAnsi="Arial" w:cs="Arial"/>
                <w:b/>
                <w:lang w:eastAsia="ar-SA"/>
              </w:rPr>
            </w:pPr>
            <w:r w:rsidRPr="00EA3FD6">
              <w:rPr>
                <w:rFonts w:ascii="Arial" w:hAnsi="Arial" w:cs="Arial"/>
                <w:b/>
                <w:lang w:eastAsia="ar-SA"/>
              </w:rPr>
              <w:t xml:space="preserve">Optimalizace bezpečnostních procesů v prostředí Magistrátu města Ostravy </w:t>
            </w:r>
          </w:p>
        </w:tc>
      </w:tr>
      <w:tr w:rsidR="002477C4" w:rsidRPr="00EA3FD6" w:rsidTr="008634A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rPr>
                <w:rFonts w:ascii="Arial" w:eastAsia="Times New Roman" w:hAnsi="Arial" w:cs="Arial"/>
                <w:lang w:eastAsia="ar-SA"/>
              </w:rPr>
            </w:pPr>
            <w:r w:rsidRPr="00EA3FD6">
              <w:rPr>
                <w:rFonts w:ascii="Arial" w:eastAsia="Times New Roman" w:hAnsi="Arial" w:cs="Arial"/>
                <w:lang w:eastAsia="ar-SA"/>
              </w:rPr>
              <w:t>Číslo projektu</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CZ.1.04/4.1.01/53.00028</w:t>
            </w:r>
          </w:p>
        </w:tc>
      </w:tr>
      <w:tr w:rsidR="002477C4" w:rsidRPr="00EA3FD6" w:rsidTr="008634A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rPr>
                <w:rFonts w:ascii="Arial" w:eastAsia="Times New Roman" w:hAnsi="Arial" w:cs="Arial"/>
                <w:lang w:eastAsia="ar-SA"/>
              </w:rPr>
            </w:pPr>
            <w:r w:rsidRPr="00EA3FD6">
              <w:rPr>
                <w:rFonts w:ascii="Arial" w:eastAsia="Times New Roman" w:hAnsi="Arial" w:cs="Arial"/>
                <w:lang w:eastAsia="ar-SA"/>
              </w:rPr>
              <w:t>Výše rozpočtu (Kč); % dotace</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7F5F32">
            <w:pPr>
              <w:tabs>
                <w:tab w:val="left" w:pos="2127"/>
              </w:tabs>
              <w:rPr>
                <w:rFonts w:ascii="Arial" w:hAnsi="Arial" w:cs="Arial"/>
                <w:lang w:eastAsia="ar-SA"/>
              </w:rPr>
            </w:pPr>
            <w:r w:rsidRPr="00EA3FD6">
              <w:rPr>
                <w:rFonts w:ascii="Arial" w:hAnsi="Arial" w:cs="Arial"/>
                <w:lang w:eastAsia="ar-SA"/>
              </w:rPr>
              <w:t>7.611.916,80,- Kč; 100 %</w:t>
            </w:r>
          </w:p>
        </w:tc>
      </w:tr>
      <w:tr w:rsidR="002477C4" w:rsidRPr="00EA3FD6" w:rsidTr="008634A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rPr>
                <w:rFonts w:ascii="Arial" w:eastAsia="Times New Roman" w:hAnsi="Arial" w:cs="Arial"/>
                <w:lang w:eastAsia="ar-SA"/>
              </w:rPr>
            </w:pPr>
            <w:r w:rsidRPr="00EA3FD6">
              <w:rPr>
                <w:rFonts w:ascii="Arial" w:eastAsia="Times New Roman" w:hAnsi="Arial" w:cs="Arial"/>
                <w:lang w:eastAsia="ar-SA"/>
              </w:rPr>
              <w:t>Termín realizace projektu</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1. 6. 2010 - 30. 9. 2011</w:t>
            </w:r>
          </w:p>
        </w:tc>
      </w:tr>
      <w:tr w:rsidR="002477C4" w:rsidRPr="00EA3FD6" w:rsidTr="008634AD">
        <w:trPr>
          <w:trHeight w:val="262"/>
        </w:trPr>
        <w:tc>
          <w:tcPr>
            <w:tcW w:w="3070" w:type="dxa"/>
            <w:tcBorders>
              <w:top w:val="single" w:sz="6" w:space="0" w:color="1F497D" w:themeColor="text2"/>
              <w:left w:val="single" w:sz="18" w:space="0" w:color="1F497D" w:themeColor="text2"/>
              <w:bottom w:val="single" w:sz="18" w:space="0" w:color="1F497D" w:themeColor="text2"/>
              <w:right w:val="single" w:sz="6" w:space="0" w:color="1F497D" w:themeColor="text2"/>
            </w:tcBorders>
            <w:shd w:val="clear" w:color="auto" w:fill="FFFF99"/>
            <w:hideMark/>
          </w:tcPr>
          <w:p w:rsidR="002477C4" w:rsidRPr="00EA3FD6" w:rsidRDefault="002477C4">
            <w:pPr>
              <w:rPr>
                <w:rFonts w:ascii="Arial" w:eastAsia="Times New Roman" w:hAnsi="Arial" w:cs="Arial"/>
                <w:lang w:eastAsia="ar-SA"/>
              </w:rPr>
            </w:pPr>
            <w:r w:rsidRPr="00EA3FD6">
              <w:rPr>
                <w:rFonts w:ascii="Arial" w:eastAsia="Times New Roman" w:hAnsi="Arial" w:cs="Arial"/>
                <w:lang w:eastAsia="ar-SA"/>
              </w:rPr>
              <w:t>Územní dopady projektu</w:t>
            </w:r>
          </w:p>
        </w:tc>
        <w:tc>
          <w:tcPr>
            <w:tcW w:w="6142" w:type="dxa"/>
            <w:gridSpan w:val="2"/>
            <w:tcBorders>
              <w:top w:val="single" w:sz="6" w:space="0" w:color="1F497D" w:themeColor="text2"/>
              <w:left w:val="single" w:sz="6" w:space="0" w:color="1F497D" w:themeColor="text2"/>
              <w:bottom w:val="single" w:sz="18" w:space="0" w:color="1F497D" w:themeColor="text2"/>
              <w:right w:val="single" w:sz="18"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Statutární město Ostrava</w:t>
            </w:r>
          </w:p>
        </w:tc>
      </w:tr>
      <w:tr w:rsidR="002477C4" w:rsidRPr="00EA3FD6" w:rsidTr="008634AD">
        <w:trPr>
          <w:trHeight w:val="262"/>
        </w:trPr>
        <w:tc>
          <w:tcPr>
            <w:tcW w:w="3070" w:type="dxa"/>
            <w:tcBorders>
              <w:top w:val="single" w:sz="18"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rPr>
                <w:rFonts w:ascii="Arial" w:eastAsia="Times New Roman" w:hAnsi="Arial" w:cs="Arial"/>
                <w:b/>
                <w:lang w:eastAsia="ar-SA"/>
              </w:rPr>
            </w:pPr>
            <w:r w:rsidRPr="00EA3FD6">
              <w:rPr>
                <w:rFonts w:ascii="Arial" w:hAnsi="Arial" w:cs="Arial"/>
                <w:b/>
              </w:rPr>
              <w:t>Název subjektu</w:t>
            </w:r>
            <w:r w:rsidRPr="00EA3FD6">
              <w:rPr>
                <w:rFonts w:ascii="Arial" w:eastAsia="Times New Roman" w:hAnsi="Arial" w:cs="Arial"/>
                <w:b/>
                <w:lang w:eastAsia="ar-SA"/>
              </w:rPr>
              <w:t xml:space="preserve"> </w:t>
            </w:r>
          </w:p>
        </w:tc>
        <w:tc>
          <w:tcPr>
            <w:tcW w:w="6142" w:type="dxa"/>
            <w:gridSpan w:val="2"/>
            <w:tcBorders>
              <w:top w:val="single" w:sz="18"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2477C4">
            <w:pPr>
              <w:tabs>
                <w:tab w:val="left" w:pos="2127"/>
              </w:tabs>
              <w:rPr>
                <w:rFonts w:ascii="Arial" w:hAnsi="Arial" w:cs="Arial"/>
                <w:b/>
                <w:lang w:eastAsia="ar-SA"/>
              </w:rPr>
            </w:pPr>
            <w:r w:rsidRPr="00EA3FD6">
              <w:rPr>
                <w:rFonts w:ascii="Arial" w:hAnsi="Arial" w:cs="Arial"/>
                <w:b/>
                <w:lang w:eastAsia="ar-SA"/>
              </w:rPr>
              <w:t>Statutární město Ostrava</w:t>
            </w:r>
          </w:p>
        </w:tc>
      </w:tr>
      <w:tr w:rsidR="002477C4" w:rsidRPr="00EA3FD6" w:rsidTr="008634A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rPr>
                <w:rFonts w:ascii="Arial" w:eastAsia="Times New Roman" w:hAnsi="Arial" w:cs="Arial"/>
                <w:lang w:eastAsia="ar-SA"/>
              </w:rPr>
            </w:pPr>
            <w:r w:rsidRPr="00EA3FD6">
              <w:rPr>
                <w:rFonts w:ascii="Arial" w:eastAsia="Times New Roman" w:hAnsi="Arial" w:cs="Arial"/>
                <w:lang w:eastAsia="ar-SA"/>
              </w:rPr>
              <w:t>Oblast působnosti subjektu</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Statutární město Ostrava</w:t>
            </w:r>
          </w:p>
        </w:tc>
      </w:tr>
      <w:tr w:rsidR="002477C4" w:rsidRPr="00EA3FD6" w:rsidTr="008634AD">
        <w:trPr>
          <w:trHeight w:val="262"/>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rPr>
                <w:rFonts w:ascii="Arial" w:hAnsi="Arial" w:cs="Arial"/>
                <w:lang w:eastAsia="ar-SA"/>
              </w:rPr>
            </w:pPr>
            <w:r w:rsidRPr="00EA3FD6">
              <w:rPr>
                <w:rFonts w:ascii="Arial" w:eastAsia="Times New Roman" w:hAnsi="Arial" w:cs="Arial"/>
                <w:lang w:eastAsia="ar-SA"/>
              </w:rPr>
              <w:t xml:space="preserve">Adresa  </w:t>
            </w:r>
            <w:r w:rsidRPr="00EA3FD6">
              <w:rPr>
                <w:rFonts w:ascii="Arial" w:hAnsi="Arial" w:cs="Arial"/>
                <w:lang w:eastAsia="ar-SA"/>
              </w:rPr>
              <w:t xml:space="preserve">    </w:t>
            </w:r>
          </w:p>
        </w:tc>
        <w:tc>
          <w:tcPr>
            <w:tcW w:w="6142" w:type="dxa"/>
            <w:gridSpan w:val="2"/>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Prokešovo náměstí 8, 729 30 Ostrava</w:t>
            </w:r>
          </w:p>
        </w:tc>
      </w:tr>
      <w:tr w:rsidR="002477C4" w:rsidRPr="00EA3FD6" w:rsidTr="008634AD">
        <w:trPr>
          <w:trHeight w:val="262"/>
        </w:trPr>
        <w:tc>
          <w:tcPr>
            <w:tcW w:w="3070" w:type="dxa"/>
            <w:tcBorders>
              <w:top w:val="single" w:sz="6" w:space="0" w:color="1F497D" w:themeColor="text2"/>
              <w:left w:val="single" w:sz="18" w:space="0" w:color="1F497D" w:themeColor="text2"/>
              <w:bottom w:val="single" w:sz="18" w:space="0" w:color="1F497D" w:themeColor="text2"/>
              <w:right w:val="single" w:sz="6" w:space="0" w:color="1F497D" w:themeColor="text2"/>
            </w:tcBorders>
            <w:shd w:val="clear" w:color="auto" w:fill="FFFF99"/>
            <w:hideMark/>
          </w:tcPr>
          <w:p w:rsidR="002477C4" w:rsidRPr="00EA3FD6" w:rsidRDefault="002477C4">
            <w:pPr>
              <w:rPr>
                <w:rFonts w:ascii="Arial" w:hAnsi="Arial" w:cs="Arial"/>
              </w:rPr>
            </w:pPr>
            <w:r w:rsidRPr="00EA3FD6">
              <w:rPr>
                <w:rFonts w:ascii="Arial" w:hAnsi="Arial" w:cs="Arial"/>
                <w:lang w:eastAsia="ar-SA"/>
              </w:rPr>
              <w:t xml:space="preserve">Projektový manažer      </w:t>
            </w:r>
          </w:p>
        </w:tc>
        <w:tc>
          <w:tcPr>
            <w:tcW w:w="6142" w:type="dxa"/>
            <w:gridSpan w:val="2"/>
            <w:tcBorders>
              <w:top w:val="single" w:sz="6" w:space="0" w:color="1F497D" w:themeColor="text2"/>
              <w:left w:val="single" w:sz="6" w:space="0" w:color="1F497D" w:themeColor="text2"/>
              <w:bottom w:val="single" w:sz="18" w:space="0" w:color="1F497D" w:themeColor="text2"/>
              <w:right w:val="single" w:sz="18"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Ing. Petra Sojková</w:t>
            </w:r>
          </w:p>
        </w:tc>
      </w:tr>
      <w:tr w:rsidR="002477C4" w:rsidRPr="00EA3FD6" w:rsidTr="008634AD">
        <w:trPr>
          <w:trHeight w:val="262"/>
        </w:trPr>
        <w:tc>
          <w:tcPr>
            <w:tcW w:w="3070" w:type="dxa"/>
            <w:tcBorders>
              <w:top w:val="single" w:sz="18"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tabs>
                <w:tab w:val="left" w:pos="2127"/>
              </w:tabs>
              <w:rPr>
                <w:rFonts w:ascii="Arial" w:hAnsi="Arial" w:cs="Arial"/>
                <w:b/>
                <w:lang w:eastAsia="ar-SA"/>
              </w:rPr>
            </w:pPr>
            <w:r w:rsidRPr="00EA3FD6">
              <w:rPr>
                <w:rFonts w:ascii="Arial" w:hAnsi="Arial" w:cs="Arial"/>
                <w:b/>
                <w:lang w:eastAsia="ar-SA"/>
              </w:rPr>
              <w:t>Přehled terénního šetření</w:t>
            </w:r>
          </w:p>
        </w:tc>
        <w:tc>
          <w:tcPr>
            <w:tcW w:w="3071" w:type="dxa"/>
            <w:tcBorders>
              <w:top w:val="single" w:sz="18" w:space="0" w:color="1F497D" w:themeColor="text2"/>
              <w:left w:val="single" w:sz="6" w:space="0" w:color="1F497D" w:themeColor="text2"/>
              <w:bottom w:val="single" w:sz="6" w:space="0" w:color="1F497D" w:themeColor="text2"/>
              <w:right w:val="single" w:sz="6" w:space="0" w:color="1F497D" w:themeColor="text2"/>
            </w:tcBorders>
          </w:tcPr>
          <w:p w:rsidR="002477C4" w:rsidRPr="00EA3FD6" w:rsidRDefault="002477C4">
            <w:pPr>
              <w:tabs>
                <w:tab w:val="left" w:pos="2127"/>
              </w:tabs>
              <w:rPr>
                <w:rFonts w:ascii="Arial" w:hAnsi="Arial" w:cs="Arial"/>
                <w:lang w:eastAsia="ar-SA"/>
              </w:rPr>
            </w:pPr>
          </w:p>
        </w:tc>
        <w:tc>
          <w:tcPr>
            <w:tcW w:w="3071" w:type="dxa"/>
            <w:tcBorders>
              <w:top w:val="single" w:sz="18" w:space="0" w:color="1F497D" w:themeColor="text2"/>
              <w:left w:val="single" w:sz="6" w:space="0" w:color="1F497D" w:themeColor="text2"/>
              <w:bottom w:val="single" w:sz="6" w:space="0" w:color="1F497D" w:themeColor="text2"/>
              <w:right w:val="single" w:sz="18" w:space="0" w:color="1F497D" w:themeColor="text2"/>
            </w:tcBorders>
          </w:tcPr>
          <w:p w:rsidR="002477C4" w:rsidRPr="00EA3FD6" w:rsidRDefault="002477C4">
            <w:pPr>
              <w:tabs>
                <w:tab w:val="left" w:pos="2127"/>
              </w:tabs>
              <w:rPr>
                <w:rFonts w:ascii="Arial" w:hAnsi="Arial" w:cs="Arial"/>
                <w:b/>
                <w:lang w:eastAsia="ar-SA"/>
              </w:rPr>
            </w:pPr>
          </w:p>
        </w:tc>
      </w:tr>
      <w:tr w:rsidR="002477C4" w:rsidRPr="00EA3FD6" w:rsidTr="008634AD">
        <w:trPr>
          <w:trHeight w:val="260"/>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tabs>
                <w:tab w:val="left" w:pos="2127"/>
              </w:tabs>
              <w:rPr>
                <w:rFonts w:ascii="Arial" w:hAnsi="Arial" w:cs="Arial"/>
                <w:b/>
                <w:lang w:eastAsia="ar-SA"/>
              </w:rPr>
            </w:pPr>
            <w:r w:rsidRPr="00EA3FD6">
              <w:rPr>
                <w:rFonts w:ascii="Arial" w:eastAsia="Times New Roman" w:hAnsi="Arial" w:cs="Arial"/>
                <w:lang w:eastAsia="ar-SA"/>
              </w:rPr>
              <w:t>Individuální rozhovory</w:t>
            </w:r>
          </w:p>
        </w:tc>
        <w:tc>
          <w:tcPr>
            <w:tcW w:w="3071" w:type="dxa"/>
            <w:tcBorders>
              <w:top w:val="single" w:sz="6" w:space="0" w:color="1F497D" w:themeColor="text2"/>
              <w:left w:val="single" w:sz="6" w:space="0" w:color="1F497D" w:themeColor="text2"/>
              <w:bottom w:val="single" w:sz="6" w:space="0" w:color="1F497D" w:themeColor="text2"/>
              <w:right w:val="single" w:sz="6" w:space="0" w:color="1F497D" w:themeColor="text2"/>
            </w:tcBorders>
            <w:hideMark/>
          </w:tcPr>
          <w:p w:rsidR="002477C4" w:rsidRPr="00EA3FD6" w:rsidRDefault="002477C4">
            <w:pPr>
              <w:tabs>
                <w:tab w:val="left" w:pos="2127"/>
              </w:tabs>
              <w:rPr>
                <w:rFonts w:ascii="Arial" w:hAnsi="Arial" w:cs="Arial"/>
                <w:b/>
                <w:lang w:eastAsia="ar-SA"/>
              </w:rPr>
            </w:pPr>
          </w:p>
        </w:tc>
        <w:tc>
          <w:tcPr>
            <w:tcW w:w="3071" w:type="dxa"/>
            <w:tcBorders>
              <w:top w:val="single" w:sz="6" w:space="0" w:color="1F497D" w:themeColor="text2"/>
              <w:left w:val="single" w:sz="6" w:space="0" w:color="1F497D" w:themeColor="text2"/>
              <w:bottom w:val="single" w:sz="6" w:space="0" w:color="1F497D" w:themeColor="text2"/>
              <w:right w:val="single" w:sz="18" w:space="0" w:color="1F497D" w:themeColor="text2"/>
            </w:tcBorders>
          </w:tcPr>
          <w:p w:rsidR="002477C4" w:rsidRPr="00EA3FD6" w:rsidRDefault="002477C4">
            <w:pPr>
              <w:tabs>
                <w:tab w:val="left" w:pos="2127"/>
              </w:tabs>
              <w:rPr>
                <w:rFonts w:ascii="Arial" w:hAnsi="Arial" w:cs="Arial"/>
                <w:b/>
                <w:lang w:eastAsia="ar-SA"/>
              </w:rPr>
            </w:pPr>
          </w:p>
        </w:tc>
      </w:tr>
      <w:tr w:rsidR="002477C4" w:rsidRPr="00EA3FD6" w:rsidTr="008634AD">
        <w:trPr>
          <w:trHeight w:val="260"/>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tabs>
                <w:tab w:val="left" w:pos="2127"/>
              </w:tabs>
              <w:rPr>
                <w:rFonts w:ascii="Arial" w:hAnsi="Arial" w:cs="Arial"/>
                <w:b/>
                <w:lang w:eastAsia="ar-SA"/>
              </w:rPr>
            </w:pPr>
            <w:r w:rsidRPr="00EA3FD6">
              <w:rPr>
                <w:rFonts w:ascii="Arial" w:eastAsia="Times New Roman" w:hAnsi="Arial" w:cs="Arial"/>
                <w:lang w:eastAsia="ar-SA"/>
              </w:rPr>
              <w:t>Vztah k projektu</w:t>
            </w:r>
          </w:p>
        </w:tc>
        <w:tc>
          <w:tcPr>
            <w:tcW w:w="3071" w:type="dxa"/>
            <w:tcBorders>
              <w:top w:val="single" w:sz="6" w:space="0" w:color="1F497D" w:themeColor="text2"/>
              <w:left w:val="single" w:sz="6" w:space="0" w:color="1F497D" w:themeColor="text2"/>
              <w:bottom w:val="single" w:sz="6" w:space="0" w:color="1F497D" w:themeColor="text2"/>
              <w:right w:val="single" w:sz="6"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 xml:space="preserve">Projektová manažerka </w:t>
            </w:r>
          </w:p>
        </w:tc>
        <w:tc>
          <w:tcPr>
            <w:tcW w:w="3071" w:type="dxa"/>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Koordinátor projektu</w:t>
            </w:r>
          </w:p>
        </w:tc>
      </w:tr>
      <w:tr w:rsidR="002477C4" w:rsidRPr="00EA3FD6" w:rsidTr="008634AD">
        <w:trPr>
          <w:trHeight w:val="260"/>
        </w:trPr>
        <w:tc>
          <w:tcPr>
            <w:tcW w:w="3070" w:type="dxa"/>
            <w:tcBorders>
              <w:top w:val="single" w:sz="6" w:space="0" w:color="1F497D" w:themeColor="text2"/>
              <w:left w:val="single" w:sz="18" w:space="0" w:color="1F497D" w:themeColor="text2"/>
              <w:bottom w:val="single" w:sz="6" w:space="0" w:color="1F497D" w:themeColor="text2"/>
              <w:right w:val="single" w:sz="6" w:space="0" w:color="1F497D" w:themeColor="text2"/>
            </w:tcBorders>
            <w:shd w:val="clear" w:color="auto" w:fill="FFFF99"/>
            <w:hideMark/>
          </w:tcPr>
          <w:p w:rsidR="002477C4" w:rsidRPr="00EA3FD6" w:rsidRDefault="002477C4">
            <w:pPr>
              <w:tabs>
                <w:tab w:val="left" w:pos="2127"/>
              </w:tabs>
              <w:rPr>
                <w:rFonts w:ascii="Arial" w:hAnsi="Arial" w:cs="Arial"/>
                <w:b/>
                <w:lang w:eastAsia="ar-SA"/>
              </w:rPr>
            </w:pPr>
            <w:r w:rsidRPr="00EA3FD6">
              <w:rPr>
                <w:rFonts w:ascii="Arial" w:eastAsia="Times New Roman" w:hAnsi="Arial" w:cs="Arial"/>
                <w:lang w:eastAsia="ar-SA"/>
              </w:rPr>
              <w:t xml:space="preserve">Datum terénního </w:t>
            </w:r>
            <w:r w:rsidRPr="00EA3FD6">
              <w:rPr>
                <w:rFonts w:ascii="Arial" w:hAnsi="Arial" w:cs="Arial"/>
                <w:lang w:eastAsia="ar-SA"/>
              </w:rPr>
              <w:t>šetření</w:t>
            </w:r>
          </w:p>
        </w:tc>
        <w:tc>
          <w:tcPr>
            <w:tcW w:w="3071" w:type="dxa"/>
            <w:tcBorders>
              <w:top w:val="single" w:sz="6" w:space="0" w:color="1F497D" w:themeColor="text2"/>
              <w:left w:val="single" w:sz="6" w:space="0" w:color="1F497D" w:themeColor="text2"/>
              <w:bottom w:val="single" w:sz="6" w:space="0" w:color="1F497D" w:themeColor="text2"/>
              <w:right w:val="single" w:sz="6" w:space="0" w:color="1F497D" w:themeColor="text2"/>
            </w:tcBorders>
            <w:hideMark/>
          </w:tcPr>
          <w:p w:rsidR="002477C4" w:rsidRPr="00EA3FD6" w:rsidRDefault="002477C4">
            <w:pPr>
              <w:tabs>
                <w:tab w:val="left" w:pos="2127"/>
              </w:tabs>
              <w:rPr>
                <w:rFonts w:ascii="Arial" w:hAnsi="Arial" w:cs="Arial"/>
                <w:lang w:eastAsia="ar-SA"/>
              </w:rPr>
            </w:pPr>
            <w:r w:rsidRPr="00EA3FD6">
              <w:rPr>
                <w:rFonts w:ascii="Arial" w:hAnsi="Arial" w:cs="Arial"/>
                <w:lang w:eastAsia="ar-SA"/>
              </w:rPr>
              <w:t>9. 3. 2012</w:t>
            </w:r>
          </w:p>
        </w:tc>
        <w:tc>
          <w:tcPr>
            <w:tcW w:w="3071" w:type="dxa"/>
            <w:tcBorders>
              <w:top w:val="single" w:sz="6" w:space="0" w:color="1F497D" w:themeColor="text2"/>
              <w:left w:val="single" w:sz="6" w:space="0" w:color="1F497D" w:themeColor="text2"/>
              <w:bottom w:val="single" w:sz="6" w:space="0" w:color="1F497D" w:themeColor="text2"/>
              <w:right w:val="single" w:sz="18" w:space="0" w:color="1F497D" w:themeColor="text2"/>
            </w:tcBorders>
            <w:hideMark/>
          </w:tcPr>
          <w:p w:rsidR="002477C4" w:rsidRPr="00EA3FD6" w:rsidRDefault="002477C4">
            <w:pPr>
              <w:tabs>
                <w:tab w:val="left" w:pos="2127"/>
              </w:tabs>
              <w:rPr>
                <w:rFonts w:ascii="Arial" w:hAnsi="Arial" w:cs="Arial"/>
                <w:b/>
                <w:lang w:eastAsia="ar-SA"/>
              </w:rPr>
            </w:pPr>
            <w:r w:rsidRPr="00EA3FD6">
              <w:rPr>
                <w:rFonts w:ascii="Arial" w:hAnsi="Arial" w:cs="Arial"/>
                <w:lang w:eastAsia="ar-SA"/>
              </w:rPr>
              <w:t>9. 3. 2012</w:t>
            </w:r>
          </w:p>
        </w:tc>
      </w:tr>
      <w:tr w:rsidR="002477C4" w:rsidRPr="00EA3FD6" w:rsidTr="008634AD">
        <w:trPr>
          <w:trHeight w:val="260"/>
        </w:trPr>
        <w:tc>
          <w:tcPr>
            <w:tcW w:w="3070" w:type="dxa"/>
            <w:tcBorders>
              <w:top w:val="single" w:sz="6" w:space="0" w:color="1F497D" w:themeColor="text2"/>
              <w:left w:val="single" w:sz="18" w:space="0" w:color="1F497D" w:themeColor="text2"/>
              <w:bottom w:val="single" w:sz="18" w:space="0" w:color="1F497D" w:themeColor="text2"/>
              <w:right w:val="single" w:sz="6" w:space="0" w:color="1F497D" w:themeColor="text2"/>
            </w:tcBorders>
            <w:shd w:val="clear" w:color="auto" w:fill="FFFF99"/>
            <w:hideMark/>
          </w:tcPr>
          <w:p w:rsidR="002477C4" w:rsidRPr="00EA3FD6" w:rsidRDefault="002477C4">
            <w:pPr>
              <w:tabs>
                <w:tab w:val="left" w:pos="2127"/>
              </w:tabs>
              <w:rPr>
                <w:rFonts w:ascii="Arial" w:eastAsia="Times New Roman" w:hAnsi="Arial" w:cs="Arial"/>
                <w:b/>
                <w:lang w:eastAsia="ar-SA"/>
              </w:rPr>
            </w:pPr>
            <w:r w:rsidRPr="00EA3FD6">
              <w:rPr>
                <w:rFonts w:ascii="Arial" w:eastAsia="Times New Roman" w:hAnsi="Arial" w:cs="Arial"/>
                <w:b/>
                <w:lang w:eastAsia="ar-SA"/>
              </w:rPr>
              <w:t>Dotazníkové šetření</w:t>
            </w:r>
          </w:p>
        </w:tc>
        <w:tc>
          <w:tcPr>
            <w:tcW w:w="6142" w:type="dxa"/>
            <w:gridSpan w:val="2"/>
            <w:tcBorders>
              <w:top w:val="single" w:sz="6" w:space="0" w:color="1F497D" w:themeColor="text2"/>
              <w:left w:val="single" w:sz="6" w:space="0" w:color="1F497D" w:themeColor="text2"/>
              <w:bottom w:val="single" w:sz="18" w:space="0" w:color="1F497D" w:themeColor="text2"/>
              <w:right w:val="single" w:sz="18" w:space="0" w:color="1F497D" w:themeColor="text2"/>
            </w:tcBorders>
            <w:hideMark/>
          </w:tcPr>
          <w:p w:rsidR="002477C4" w:rsidRPr="00EA3FD6" w:rsidRDefault="002477C4">
            <w:pPr>
              <w:tabs>
                <w:tab w:val="left" w:pos="2127"/>
              </w:tabs>
              <w:rPr>
                <w:rFonts w:ascii="Arial" w:hAnsi="Arial" w:cs="Arial"/>
                <w:b/>
                <w:lang w:eastAsia="ar-SA"/>
              </w:rPr>
            </w:pPr>
            <w:r w:rsidRPr="00EA3FD6">
              <w:rPr>
                <w:rFonts w:ascii="Arial" w:hAnsi="Arial" w:cs="Arial"/>
              </w:rPr>
              <w:t xml:space="preserve">Dotazníkovým šetřením byli osloveni zaměstnanci MMO, kteří prošli školením v rámci projektu. Celkem osloveno 12 zaměstnanců, návratnost dotazníku 75 %. </w:t>
            </w:r>
          </w:p>
        </w:tc>
      </w:tr>
    </w:tbl>
    <w:p w:rsidR="00C418E8" w:rsidRPr="00EA3FD6" w:rsidRDefault="00C418E8" w:rsidP="00916FA6">
      <w:pPr>
        <w:jc w:val="both"/>
        <w:rPr>
          <w:rFonts w:ascii="Arial" w:eastAsia="Times New Roman" w:hAnsi="Arial" w:cs="Arial"/>
          <w:b/>
        </w:rPr>
      </w:pPr>
    </w:p>
    <w:p w:rsidR="00DA7EBC" w:rsidRPr="00EA3FD6" w:rsidRDefault="00DA7EBC" w:rsidP="00C418E8">
      <w:pPr>
        <w:pStyle w:val="Styl1"/>
        <w:spacing w:before="120" w:after="0"/>
        <w:rPr>
          <w:rFonts w:ascii="Arial" w:hAnsi="Arial" w:cs="Arial"/>
          <w:color w:val="000000"/>
          <w:sz w:val="22"/>
          <w:szCs w:val="22"/>
          <w:u w:val="none"/>
        </w:rPr>
      </w:pPr>
      <w:r w:rsidRPr="00EA3FD6">
        <w:rPr>
          <w:rFonts w:ascii="Arial" w:hAnsi="Arial" w:cs="Arial"/>
          <w:color w:val="000000"/>
          <w:sz w:val="22"/>
          <w:szCs w:val="22"/>
          <w:u w:val="none"/>
        </w:rPr>
        <w:t>Výchozí situace</w:t>
      </w:r>
    </w:p>
    <w:p w:rsidR="00DA7EBC" w:rsidRPr="00EA3FD6" w:rsidRDefault="00DA7EBC" w:rsidP="00C418E8">
      <w:pPr>
        <w:spacing w:before="120" w:after="0"/>
        <w:jc w:val="both"/>
        <w:rPr>
          <w:rFonts w:ascii="Arial" w:eastAsia="Times New Roman" w:hAnsi="Arial" w:cs="Arial"/>
        </w:rPr>
      </w:pPr>
      <w:r w:rsidRPr="00EA3FD6">
        <w:rPr>
          <w:rFonts w:ascii="Arial" w:eastAsia="Times New Roman" w:hAnsi="Arial" w:cs="Arial"/>
        </w:rPr>
        <w:t xml:space="preserve">V současné době se akcentuje potřeba úřadů veřejné správy a samosprávy na zdokonalování zabezpečení dat a vnitřních procesů. Tato potřeba vychází především ze zvýšeného rizika možnosti napadání systémů hackery a je tedy nutné přijmou opatření, která tato rizika minimalizují. </w:t>
      </w:r>
    </w:p>
    <w:p w:rsidR="00DA7EBC" w:rsidRPr="00EA3FD6" w:rsidRDefault="00DA7EBC" w:rsidP="00C418E8">
      <w:pPr>
        <w:spacing w:before="120" w:after="0"/>
        <w:jc w:val="both"/>
        <w:rPr>
          <w:rFonts w:ascii="Arial" w:eastAsia="Times New Roman" w:hAnsi="Arial" w:cs="Arial"/>
        </w:rPr>
      </w:pPr>
      <w:r w:rsidRPr="00EA3FD6">
        <w:rPr>
          <w:rFonts w:ascii="Arial" w:eastAsia="Times New Roman" w:hAnsi="Arial" w:cs="Arial"/>
        </w:rPr>
        <w:t>Projekt je realizován s cílem snížení bezpečnostních rizik v prostředí Magistrátu města Ostravy (MMO), zefektivnění procesního řízení v oblasti bezpečnosti na MMO a zvýšení informovanosti cílové skupiny o problematice bezpečnostních procesů na MMO.</w:t>
      </w:r>
    </w:p>
    <w:p w:rsidR="00DA7EBC" w:rsidRPr="00EA3FD6" w:rsidRDefault="00DA7EBC" w:rsidP="00C418E8">
      <w:pPr>
        <w:spacing w:before="120" w:after="0"/>
        <w:jc w:val="both"/>
        <w:rPr>
          <w:rFonts w:ascii="Arial" w:eastAsia="Times New Roman" w:hAnsi="Arial" w:cs="Arial"/>
        </w:rPr>
      </w:pPr>
      <w:r w:rsidRPr="00EA3FD6">
        <w:rPr>
          <w:rFonts w:ascii="Arial" w:eastAsia="Times New Roman" w:hAnsi="Arial" w:cs="Arial"/>
        </w:rPr>
        <w:t>Obsahové zaměření projektu vychází z:</w:t>
      </w:r>
    </w:p>
    <w:p w:rsidR="00DA7EBC" w:rsidRPr="00EA3FD6" w:rsidRDefault="00DA7EBC" w:rsidP="00C418E8">
      <w:pPr>
        <w:pStyle w:val="Odstavecseseznamem"/>
        <w:numPr>
          <w:ilvl w:val="0"/>
          <w:numId w:val="8"/>
        </w:numPr>
        <w:spacing w:before="120" w:beforeAutospacing="0" w:after="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 xml:space="preserve">implementace Smart </w:t>
      </w:r>
      <w:proofErr w:type="spellStart"/>
      <w:r w:rsidRPr="00EA3FD6">
        <w:rPr>
          <w:rFonts w:ascii="Arial" w:hAnsi="Arial" w:cs="Arial"/>
          <w:sz w:val="22"/>
          <w:szCs w:val="22"/>
          <w:lang w:eastAsia="ar-SA"/>
        </w:rPr>
        <w:t>Administration</w:t>
      </w:r>
      <w:proofErr w:type="spellEnd"/>
      <w:r w:rsidRPr="00EA3FD6">
        <w:rPr>
          <w:rFonts w:ascii="Arial" w:hAnsi="Arial" w:cs="Arial"/>
          <w:sz w:val="22"/>
          <w:szCs w:val="22"/>
          <w:lang w:eastAsia="ar-SA"/>
        </w:rPr>
        <w:t xml:space="preserve"> ve veřejném sektoru (elektronizace dat si vynucuje zvýšené nároky na bezpečnost procesů)</w:t>
      </w:r>
    </w:p>
    <w:p w:rsidR="00DA7EBC" w:rsidRPr="00EA3FD6" w:rsidRDefault="00DA7EBC" w:rsidP="00C418E8">
      <w:pPr>
        <w:pStyle w:val="Odstavecseseznamem"/>
        <w:numPr>
          <w:ilvl w:val="0"/>
          <w:numId w:val="8"/>
        </w:numPr>
        <w:spacing w:before="120" w:beforeAutospacing="0" w:after="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výstupů z interního auditu MMO,</w:t>
      </w:r>
    </w:p>
    <w:p w:rsidR="00DA7EBC" w:rsidRPr="00EA3FD6" w:rsidRDefault="00DA7EBC" w:rsidP="00C418E8">
      <w:pPr>
        <w:pStyle w:val="Odstavecseseznamem"/>
        <w:numPr>
          <w:ilvl w:val="0"/>
          <w:numId w:val="8"/>
        </w:numPr>
        <w:spacing w:before="120" w:beforeAutospacing="0" w:after="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legislativních požadavků,</w:t>
      </w:r>
    </w:p>
    <w:p w:rsidR="00DA7EBC" w:rsidRPr="00EA3FD6" w:rsidRDefault="00DA7EBC" w:rsidP="00C418E8">
      <w:pPr>
        <w:pStyle w:val="Odstavecseseznamem"/>
        <w:numPr>
          <w:ilvl w:val="0"/>
          <w:numId w:val="8"/>
        </w:numPr>
        <w:spacing w:before="120" w:beforeAutospacing="0" w:after="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identifikovaných bezpečnostních hrozeb.</w:t>
      </w:r>
    </w:p>
    <w:p w:rsidR="00DA7EBC" w:rsidRPr="00EA3FD6" w:rsidRDefault="00DA7EBC" w:rsidP="00C418E8">
      <w:pPr>
        <w:spacing w:before="120" w:after="0"/>
        <w:jc w:val="both"/>
        <w:rPr>
          <w:rFonts w:ascii="Arial" w:eastAsia="Times New Roman" w:hAnsi="Arial" w:cs="Arial"/>
        </w:rPr>
      </w:pPr>
    </w:p>
    <w:p w:rsidR="00DA7EBC" w:rsidRPr="00EA3FD6" w:rsidRDefault="00DA7EBC" w:rsidP="00C418E8">
      <w:pPr>
        <w:pStyle w:val="Styl1"/>
        <w:spacing w:before="120" w:after="0"/>
        <w:rPr>
          <w:rFonts w:ascii="Arial" w:hAnsi="Arial" w:cs="Arial"/>
          <w:color w:val="000000"/>
          <w:sz w:val="22"/>
          <w:szCs w:val="22"/>
          <w:u w:val="none"/>
        </w:rPr>
      </w:pPr>
      <w:r w:rsidRPr="00EA3FD6">
        <w:rPr>
          <w:rFonts w:ascii="Arial" w:hAnsi="Arial" w:cs="Arial"/>
          <w:color w:val="000000"/>
          <w:sz w:val="22"/>
          <w:szCs w:val="22"/>
          <w:u w:val="none"/>
        </w:rPr>
        <w:lastRenderedPageBreak/>
        <w:t xml:space="preserve">Cíl projektu </w:t>
      </w:r>
    </w:p>
    <w:p w:rsidR="00DA7EBC" w:rsidRPr="00EA3FD6" w:rsidRDefault="00DA7EBC" w:rsidP="00C418E8">
      <w:pPr>
        <w:spacing w:before="120" w:after="0"/>
        <w:jc w:val="both"/>
        <w:rPr>
          <w:rFonts w:ascii="Arial" w:hAnsi="Arial" w:cs="Arial"/>
        </w:rPr>
      </w:pPr>
      <w:r w:rsidRPr="00EA3FD6">
        <w:rPr>
          <w:rFonts w:ascii="Arial" w:eastAsia="Times New Roman" w:hAnsi="Arial" w:cs="Arial"/>
        </w:rPr>
        <w:t>Předmětem projektu je zmapování a popis stávajícího s</w:t>
      </w:r>
      <w:r w:rsidR="00443054" w:rsidRPr="00EA3FD6">
        <w:rPr>
          <w:rFonts w:ascii="Arial" w:eastAsia="Times New Roman" w:hAnsi="Arial" w:cs="Arial"/>
        </w:rPr>
        <w:t>ystému bezpečnostních procesů v </w:t>
      </w:r>
      <w:r w:rsidRPr="00EA3FD6">
        <w:rPr>
          <w:rFonts w:ascii="Arial" w:eastAsia="Times New Roman" w:hAnsi="Arial" w:cs="Arial"/>
        </w:rPr>
        <w:t>podmínkách Magistrátu města Ostravy (MMO), jednotlivých městsk</w:t>
      </w:r>
      <w:r w:rsidR="00443054" w:rsidRPr="00EA3FD6">
        <w:rPr>
          <w:rFonts w:ascii="Arial" w:eastAsia="Times New Roman" w:hAnsi="Arial" w:cs="Arial"/>
        </w:rPr>
        <w:t>ých obvodů (MO) a zřizovaných a </w:t>
      </w:r>
      <w:r w:rsidRPr="00EA3FD6">
        <w:rPr>
          <w:rFonts w:ascii="Arial" w:eastAsia="Times New Roman" w:hAnsi="Arial" w:cs="Arial"/>
        </w:rPr>
        <w:t xml:space="preserve">zakládaných organizací statutárního města Ostrava (SMO). Cílem projektu je zajištění bezpečnosti toku dat a informací na MMO, MO a ve zřizovaných a zakládaných </w:t>
      </w:r>
      <w:r w:rsidR="00443054" w:rsidRPr="00EA3FD6">
        <w:rPr>
          <w:rFonts w:ascii="Arial" w:eastAsia="Times New Roman" w:hAnsi="Arial" w:cs="Arial"/>
        </w:rPr>
        <w:t>organizacích SMO, což souvisí s </w:t>
      </w:r>
      <w:r w:rsidRPr="00EA3FD6">
        <w:rPr>
          <w:rFonts w:ascii="Arial" w:eastAsia="Times New Roman" w:hAnsi="Arial" w:cs="Arial"/>
        </w:rPr>
        <w:t xml:space="preserve">procesní optimalizací úřadu. </w:t>
      </w:r>
    </w:p>
    <w:p w:rsidR="00DA7EBC" w:rsidRPr="00EA3FD6" w:rsidRDefault="00DA7EBC" w:rsidP="00C418E8">
      <w:pPr>
        <w:spacing w:before="120" w:after="0"/>
        <w:jc w:val="both"/>
        <w:rPr>
          <w:rFonts w:ascii="Arial" w:eastAsia="Times New Roman" w:hAnsi="Arial" w:cs="Arial"/>
        </w:rPr>
      </w:pPr>
      <w:r w:rsidRPr="00EA3FD6">
        <w:rPr>
          <w:rFonts w:ascii="Arial" w:eastAsia="Times New Roman" w:hAnsi="Arial" w:cs="Arial"/>
        </w:rPr>
        <w:t>Mezi dílčí cíle projektu patří především:</w:t>
      </w:r>
    </w:p>
    <w:p w:rsidR="00DA7EBC" w:rsidRPr="00EA3FD6" w:rsidRDefault="00DA7EBC" w:rsidP="00C418E8">
      <w:pPr>
        <w:pStyle w:val="Odstavecseseznamem"/>
        <w:numPr>
          <w:ilvl w:val="0"/>
          <w:numId w:val="8"/>
        </w:numPr>
        <w:spacing w:before="120" w:beforeAutospacing="0" w:after="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optimalizace zdrojů pro potřeby zajištění bezpečnosti procesů,</w:t>
      </w:r>
    </w:p>
    <w:p w:rsidR="00DA7EBC" w:rsidRPr="00EA3FD6" w:rsidRDefault="00DA7EBC" w:rsidP="00C418E8">
      <w:pPr>
        <w:pStyle w:val="Odstavecseseznamem"/>
        <w:numPr>
          <w:ilvl w:val="0"/>
          <w:numId w:val="8"/>
        </w:numPr>
        <w:spacing w:before="120" w:beforeAutospacing="0" w:after="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formulace doporučení pro standardizaci dat a komunikačních vazeb.</w:t>
      </w:r>
    </w:p>
    <w:p w:rsidR="00DA7EBC" w:rsidRPr="00EA3FD6" w:rsidRDefault="00DA7EBC" w:rsidP="00C418E8">
      <w:pPr>
        <w:spacing w:before="120" w:after="0"/>
        <w:jc w:val="both"/>
        <w:rPr>
          <w:rFonts w:ascii="Arial" w:eastAsia="Times New Roman" w:hAnsi="Arial" w:cs="Arial"/>
        </w:rPr>
      </w:pPr>
      <w:r w:rsidRPr="00EA3FD6">
        <w:rPr>
          <w:rFonts w:ascii="Arial" w:eastAsia="Times New Roman" w:hAnsi="Arial" w:cs="Arial"/>
        </w:rPr>
        <w:t xml:space="preserve">Projekt je tedy zaměřen na nastavení optimální funkčnosti procesů v návaznosti na zvýšení jejich bezpečnosti, což je jedním z klíčových požadavků stávajícího systému toku informací a dat na MMO. </w:t>
      </w:r>
    </w:p>
    <w:p w:rsidR="00DA7EBC" w:rsidRPr="00EA3FD6" w:rsidRDefault="00DA7EBC" w:rsidP="00C418E8">
      <w:pPr>
        <w:spacing w:before="120" w:after="0"/>
        <w:jc w:val="both"/>
        <w:rPr>
          <w:rFonts w:ascii="Arial" w:eastAsia="Times New Roman" w:hAnsi="Arial" w:cs="Arial"/>
        </w:rPr>
      </w:pPr>
    </w:p>
    <w:p w:rsidR="00DA7EBC" w:rsidRPr="00EA3FD6" w:rsidRDefault="00DA7EBC" w:rsidP="00C418E8">
      <w:pPr>
        <w:pStyle w:val="Styl1"/>
        <w:spacing w:before="120" w:after="0"/>
        <w:rPr>
          <w:rFonts w:ascii="Arial" w:hAnsi="Arial" w:cs="Arial"/>
          <w:color w:val="000000"/>
          <w:sz w:val="22"/>
          <w:szCs w:val="22"/>
          <w:u w:val="none"/>
        </w:rPr>
      </w:pPr>
      <w:r w:rsidRPr="00EA3FD6">
        <w:rPr>
          <w:rFonts w:ascii="Arial" w:hAnsi="Arial" w:cs="Arial"/>
          <w:color w:val="000000"/>
          <w:sz w:val="22"/>
          <w:szCs w:val="22"/>
          <w:u w:val="none"/>
        </w:rPr>
        <w:t>Cílové skupiny projektu</w:t>
      </w:r>
    </w:p>
    <w:p w:rsidR="00DA7EBC" w:rsidRPr="00EA3FD6" w:rsidRDefault="00DA7EBC" w:rsidP="00C418E8">
      <w:pPr>
        <w:spacing w:before="120" w:after="0"/>
        <w:jc w:val="both"/>
        <w:rPr>
          <w:rFonts w:ascii="Arial" w:eastAsia="Times New Roman" w:hAnsi="Arial" w:cs="Arial"/>
        </w:rPr>
      </w:pPr>
      <w:r w:rsidRPr="00EA3FD6">
        <w:rPr>
          <w:rFonts w:ascii="Arial" w:eastAsia="Times New Roman" w:hAnsi="Arial" w:cs="Arial"/>
        </w:rPr>
        <w:t>Územní samosprávné celky a úřady samosprávných celků, jejich orgány a jimi zřízené nebo založené organizace a jejich zaměstnanci. Zaměstnanci odborů MMO, městských obvodů, organizací zakládaných a zřizovaných MMO, jejichž pracovní náplň v nějakém ohledu souvisí s bezpečností na MMO (tj. prioritně: tajemníci městských úřadů MMO, vedoucí odborů MMO, vedoucí oddělení MMO, projektový tým).</w:t>
      </w:r>
    </w:p>
    <w:p w:rsidR="00DA7EBC" w:rsidRPr="00EA3FD6" w:rsidRDefault="00DA7EBC" w:rsidP="00C418E8">
      <w:pPr>
        <w:spacing w:before="120" w:after="0"/>
        <w:jc w:val="both"/>
        <w:rPr>
          <w:rFonts w:ascii="Arial" w:eastAsia="Times New Roman" w:hAnsi="Arial" w:cs="Arial"/>
        </w:rPr>
      </w:pPr>
    </w:p>
    <w:p w:rsidR="00DA7EBC" w:rsidRPr="00EA3FD6" w:rsidRDefault="00DA7EBC" w:rsidP="00C418E8">
      <w:pPr>
        <w:pStyle w:val="Styl1"/>
        <w:spacing w:before="120" w:after="0"/>
        <w:rPr>
          <w:rFonts w:ascii="Arial" w:hAnsi="Arial" w:cs="Arial"/>
          <w:color w:val="000000"/>
          <w:sz w:val="22"/>
          <w:szCs w:val="22"/>
          <w:u w:val="none"/>
        </w:rPr>
      </w:pPr>
      <w:r w:rsidRPr="00EA3FD6">
        <w:rPr>
          <w:rFonts w:ascii="Arial" w:hAnsi="Arial" w:cs="Arial"/>
          <w:color w:val="000000"/>
          <w:sz w:val="22"/>
          <w:szCs w:val="22"/>
          <w:u w:val="none"/>
        </w:rPr>
        <w:t>Aktivity projektu</w:t>
      </w:r>
    </w:p>
    <w:p w:rsidR="00FF3048" w:rsidRPr="00EA3FD6" w:rsidRDefault="00DA7EBC" w:rsidP="00FF3048">
      <w:pPr>
        <w:spacing w:before="120" w:after="0"/>
        <w:jc w:val="both"/>
        <w:rPr>
          <w:rFonts w:ascii="Arial" w:eastAsia="Times New Roman" w:hAnsi="Arial" w:cs="Arial"/>
        </w:rPr>
      </w:pPr>
      <w:r w:rsidRPr="00EA3FD6">
        <w:rPr>
          <w:rFonts w:ascii="Arial" w:eastAsia="Times New Roman" w:hAnsi="Arial" w:cs="Arial"/>
        </w:rPr>
        <w:t>Níže jsou popsány aktivity projektu, přičemž aktivita, která byla dle vyjádření respondentů rozhovorů a dotazníkového šetření nejvýznamnější pro naplnění cílů projektu, je v textu podtržena.</w:t>
      </w:r>
    </w:p>
    <w:p w:rsidR="00FF3048" w:rsidRPr="00EA3FD6" w:rsidRDefault="00FF3048" w:rsidP="00FF3048">
      <w:pPr>
        <w:spacing w:before="120" w:after="0"/>
        <w:ind w:left="567" w:hanging="567"/>
        <w:jc w:val="both"/>
        <w:rPr>
          <w:rFonts w:ascii="Arial" w:eastAsia="Times New Roman" w:hAnsi="Arial" w:cs="Arial"/>
        </w:rPr>
      </w:pPr>
      <w:r w:rsidRPr="00EA3FD6">
        <w:rPr>
          <w:rFonts w:ascii="Arial" w:eastAsia="Times New Roman" w:hAnsi="Arial" w:cs="Arial"/>
          <w:b/>
        </w:rPr>
        <w:t>Analýza bezpečnostních rizik pro jednotlivá pracoviště a činnosti úřadu</w:t>
      </w:r>
      <w:r w:rsidR="00443054" w:rsidRPr="00EA3FD6">
        <w:rPr>
          <w:rFonts w:ascii="Arial" w:eastAsia="Times New Roman" w:hAnsi="Arial" w:cs="Arial"/>
        </w:rPr>
        <w:t>, v rámci které došlo k </w:t>
      </w:r>
      <w:r w:rsidRPr="00EA3FD6">
        <w:rPr>
          <w:rFonts w:ascii="Arial" w:eastAsia="Times New Roman" w:hAnsi="Arial" w:cs="Arial"/>
        </w:rPr>
        <w:t>provedení analytických prací, které hodnotily bezpečnostní riz</w:t>
      </w:r>
      <w:r w:rsidR="00443054" w:rsidRPr="00EA3FD6">
        <w:rPr>
          <w:rFonts w:ascii="Arial" w:eastAsia="Times New Roman" w:hAnsi="Arial" w:cs="Arial"/>
        </w:rPr>
        <w:t>ika pro jednotlivá pracoviště a </w:t>
      </w:r>
      <w:r w:rsidRPr="00EA3FD6">
        <w:rPr>
          <w:rFonts w:ascii="Arial" w:eastAsia="Times New Roman" w:hAnsi="Arial" w:cs="Arial"/>
        </w:rPr>
        <w:t>činnosti MMO. Výsledky této aktivity jsou shrnuty ve výstupu projektu v podobě dokumentu „Analýza bezpečnostních rizik pro jednotlivá pracoviště a činnosti úřadu“. Analýza bude průběžně probíhat i v následujícím období a na základě jejích výsledků bude prováděna aktualizace zajištění bezpečnostních procesů na MMO.</w:t>
      </w:r>
    </w:p>
    <w:p w:rsidR="00FF3048" w:rsidRPr="00EA3FD6" w:rsidRDefault="00FF3048" w:rsidP="00FF3048">
      <w:pPr>
        <w:spacing w:before="120" w:after="0"/>
        <w:ind w:left="567" w:hanging="567"/>
        <w:jc w:val="both"/>
        <w:rPr>
          <w:rFonts w:ascii="Arial" w:eastAsia="Times New Roman" w:hAnsi="Arial" w:cs="Arial"/>
        </w:rPr>
      </w:pPr>
      <w:r w:rsidRPr="00EA3FD6">
        <w:rPr>
          <w:rFonts w:ascii="Arial" w:eastAsia="Times New Roman" w:hAnsi="Arial" w:cs="Arial"/>
          <w:b/>
        </w:rPr>
        <w:t>Návrh optimalizace činností v oblasti ochrany osob, majetku a informací</w:t>
      </w:r>
      <w:r w:rsidRPr="00EA3FD6">
        <w:rPr>
          <w:rFonts w:ascii="Arial" w:eastAsia="Times New Roman" w:hAnsi="Arial" w:cs="Arial"/>
        </w:rPr>
        <w:t>, který navazuje na předchozí analýzu bezpečnostních rizik pro jednotlivá pracoviště a činnosti úřadu a stanovuje konkrétní implementační kroky v oblasti ochrany osob, majetku a informací na MMO dle stanoveného harmonogramu. Hlavním výstupem této aktivity je dokument „Implementační manuál“, který stanovuje konkrétní implementační kroky v oblasti implementace procesního řízení v oblasti ochrany osob, majetku a informací, které jsou popsány v rámci dalšího kroku níže.</w:t>
      </w:r>
    </w:p>
    <w:p w:rsidR="00FF3048" w:rsidRPr="00EA3FD6" w:rsidRDefault="00FF3048" w:rsidP="00FF3048">
      <w:pPr>
        <w:spacing w:before="120" w:after="0"/>
        <w:ind w:left="567" w:hanging="567"/>
        <w:jc w:val="both"/>
        <w:rPr>
          <w:rFonts w:ascii="Arial" w:eastAsia="Times New Roman" w:hAnsi="Arial" w:cs="Arial"/>
        </w:rPr>
      </w:pPr>
      <w:r w:rsidRPr="00EA3FD6">
        <w:rPr>
          <w:rFonts w:ascii="Arial" w:eastAsia="Times New Roman" w:hAnsi="Arial" w:cs="Arial"/>
          <w:b/>
          <w:u w:val="single"/>
        </w:rPr>
        <w:t>Implementace procesního řízení v oblasti ochrany osob, majetku a informací</w:t>
      </w:r>
      <w:r w:rsidRPr="00EA3FD6">
        <w:rPr>
          <w:rFonts w:ascii="Arial" w:eastAsia="Times New Roman" w:hAnsi="Arial" w:cs="Arial"/>
        </w:rPr>
        <w:t xml:space="preserve">, kdy bylo ustanoveno tzv. „Bezpečnostní fórum“, které působí jako řídící orgán v oblasti bezpečnostních procesů na MMO. V rámci fóra jsou stanovené pozice "bezpečnostních manažerů" a jejich spolupracovníků, mezi něž jsou jasně rozděleny </w:t>
      </w:r>
      <w:r w:rsidRPr="00EA3FD6">
        <w:rPr>
          <w:rFonts w:ascii="Arial" w:eastAsia="Times New Roman" w:hAnsi="Arial" w:cs="Arial"/>
        </w:rPr>
        <w:lastRenderedPageBreak/>
        <w:t>kompetence v rámci řízení bezpečnostních procesů na MMO. Pozice bezpečnostních manažerů zpravidla kopírují pozice tajemníků městských částí, vedoucích odborů a vedoucích oddělení. Dalšími výstupy jsou dokumenty "Příručka řízení bezpečnosti", "Bezpečnostní pravidla pro uživatele", "Bezpečnostní politika". Jednotlivé metodické dokumenty jsou zavedeny do praxe MMO a jsou součástí procesního řízení bezpečnostních procesů na MMO. Celý proces implementace procesního řízení v oblasti ochrany osob, majetku a informací je popsán v tzv. „Implementačním manuálu“, který zavádí systém centralizovaného řízení bezpečnostních procesů na MMO. Tuto aktivitu projektu lze označit za klíčovou.</w:t>
      </w:r>
    </w:p>
    <w:p w:rsidR="00FF3048" w:rsidRPr="00EA3FD6" w:rsidRDefault="00FF3048" w:rsidP="00FF3048">
      <w:pPr>
        <w:spacing w:before="120" w:after="0"/>
        <w:jc w:val="both"/>
        <w:rPr>
          <w:rFonts w:ascii="Arial" w:eastAsia="Times New Roman" w:hAnsi="Arial" w:cs="Arial"/>
        </w:rPr>
      </w:pPr>
      <w:r w:rsidRPr="00EA3FD6">
        <w:rPr>
          <w:rFonts w:ascii="Arial" w:eastAsia="Times New Roman" w:hAnsi="Arial" w:cs="Arial"/>
          <w:b/>
        </w:rPr>
        <w:t>Proškolení vybraných zaměstnanců v oblasti implementace bezpečnostních opatření</w:t>
      </w:r>
      <w:r w:rsidR="00443054" w:rsidRPr="00EA3FD6">
        <w:rPr>
          <w:rFonts w:ascii="Arial" w:eastAsia="Times New Roman" w:hAnsi="Arial" w:cs="Arial"/>
        </w:rPr>
        <w:t>, kroky a </w:t>
      </w:r>
      <w:r w:rsidRPr="00EA3FD6">
        <w:rPr>
          <w:rFonts w:ascii="Arial" w:eastAsia="Times New Roman" w:hAnsi="Arial" w:cs="Arial"/>
        </w:rPr>
        <w:t>výstupy všech výše uvedených aktivit projektu jsou prostřednictvím školení vybraných zaměstnanců v oblasti implementace bezpečnostních opatření zaváděny přímo do praxe MMO (práce zaměstnanců). Celkem 336 zaměstnanců MMO si v rámci těchto školení rozšířilo povědomí a znalosti o oblasti implementace bezpečnostních procesů na MMO. Navíc, dodatečným výstupem této aktivity bylo zřízení projektové knihovny v prostorách MMO a na intranetu MMO, se kterou se v projektu nepočítalo (vznikla tedy jako dodatečná aktivita zaměstnanců).</w:t>
      </w:r>
    </w:p>
    <w:p w:rsidR="00FF3048" w:rsidRPr="00EA3FD6" w:rsidRDefault="00FF3048" w:rsidP="00FF3048">
      <w:pPr>
        <w:spacing w:before="120" w:after="0"/>
        <w:jc w:val="both"/>
        <w:rPr>
          <w:rFonts w:ascii="Arial" w:eastAsia="Times New Roman" w:hAnsi="Arial" w:cs="Arial"/>
        </w:rPr>
      </w:pPr>
    </w:p>
    <w:p w:rsidR="000B3C0B" w:rsidRDefault="000B3C0B" w:rsidP="000B3C0B">
      <w:pPr>
        <w:pStyle w:val="Zkladntext"/>
        <w:spacing w:before="60" w:after="60"/>
        <w:jc w:val="both"/>
        <w:rPr>
          <w:rFonts w:asciiTheme="minorHAnsi" w:hAnsiTheme="minorHAnsi" w:cstheme="minorHAnsi"/>
          <w:bCs/>
          <w:sz w:val="22"/>
          <w:szCs w:val="22"/>
        </w:rPr>
        <w:sectPr w:rsidR="000B3C0B" w:rsidSect="000B3C0B">
          <w:headerReference w:type="default" r:id="rId9"/>
          <w:footerReference w:type="default" r:id="rId10"/>
          <w:pgSz w:w="11906" w:h="16838"/>
          <w:pgMar w:top="1418" w:right="1418" w:bottom="1418" w:left="1418" w:header="709" w:footer="709" w:gutter="0"/>
          <w:cols w:space="708"/>
          <w:docGrid w:linePitch="360"/>
        </w:sectPr>
      </w:pPr>
    </w:p>
    <w:p w:rsidR="000B3C0B" w:rsidRDefault="00C418E8" w:rsidP="000B3C0B">
      <w:pPr>
        <w:pStyle w:val="Zkladntext"/>
        <w:spacing w:before="60" w:after="60"/>
        <w:jc w:val="both"/>
        <w:rPr>
          <w:rFonts w:asciiTheme="minorHAnsi" w:hAnsiTheme="minorHAnsi" w:cstheme="minorHAnsi"/>
          <w:bCs/>
          <w:sz w:val="22"/>
          <w:szCs w:val="22"/>
        </w:rPr>
      </w:pPr>
      <w:r>
        <w:rPr>
          <w:noProof/>
          <w:lang w:eastAsia="cs-CZ"/>
        </w:rPr>
        <w:lastRenderedPageBreak/>
        <w:drawing>
          <wp:inline distT="0" distB="0" distL="0" distR="0" wp14:anchorId="38C7D9E9" wp14:editId="65FF9848">
            <wp:extent cx="8886825" cy="58102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11" cstate="print">
                      <a:extLst>
                        <a:ext uri="{28A0092B-C50C-407E-A947-70E740481C1C}">
                          <a14:useLocalDpi xmlns:a14="http://schemas.microsoft.com/office/drawing/2010/main" val="0"/>
                        </a:ext>
                      </a:extLst>
                    </a:blip>
                    <a:srcRect b="2660"/>
                    <a:stretch>
                      <a:fillRect/>
                    </a:stretch>
                  </pic:blipFill>
                  <pic:spPr bwMode="auto">
                    <a:xfrm>
                      <a:off x="0" y="0"/>
                      <a:ext cx="8886825" cy="5810250"/>
                    </a:xfrm>
                    <a:prstGeom prst="rect">
                      <a:avLst/>
                    </a:prstGeom>
                    <a:noFill/>
                    <a:ln>
                      <a:noFill/>
                    </a:ln>
                  </pic:spPr>
                </pic:pic>
              </a:graphicData>
            </a:graphic>
          </wp:inline>
        </w:drawing>
      </w:r>
    </w:p>
    <w:p w:rsidR="000B3C0B" w:rsidRDefault="000B3C0B" w:rsidP="00440FE0">
      <w:pPr>
        <w:pStyle w:val="Styl1"/>
        <w:rPr>
          <w:rFonts w:cstheme="minorHAnsi"/>
        </w:rPr>
        <w:sectPr w:rsidR="000B3C0B" w:rsidSect="000B3C0B">
          <w:pgSz w:w="16838" w:h="11906" w:orient="landscape"/>
          <w:pgMar w:top="1418" w:right="1418" w:bottom="1418" w:left="1418" w:header="709" w:footer="709" w:gutter="0"/>
          <w:cols w:space="708"/>
          <w:docGrid w:linePitch="360"/>
        </w:sectPr>
      </w:pPr>
    </w:p>
    <w:p w:rsidR="00EA3FD6" w:rsidRDefault="00EA3FD6" w:rsidP="001A5F18">
      <w:pPr>
        <w:pStyle w:val="Styl1"/>
        <w:rPr>
          <w:rFonts w:asciiTheme="minorHAnsi" w:hAnsiTheme="minorHAnsi" w:cstheme="minorHAnsi"/>
          <w:color w:val="000000"/>
          <w:sz w:val="22"/>
          <w:szCs w:val="22"/>
          <w:u w:val="none"/>
        </w:rPr>
      </w:pPr>
      <w:bookmarkStart w:id="0" w:name="_Toc320882496"/>
    </w:p>
    <w:p w:rsidR="00EA3FD6" w:rsidRPr="00EA3FD6" w:rsidRDefault="00EA3FD6" w:rsidP="00EA3FD6">
      <w:pPr>
        <w:keepNext/>
        <w:keepLines/>
        <w:spacing w:before="120" w:after="0"/>
        <w:outlineLvl w:val="1"/>
        <w:rPr>
          <w:rFonts w:ascii="Arial" w:eastAsia="Times New Roman" w:hAnsi="Arial" w:cs="Arial"/>
          <w:b/>
          <w:bCs/>
          <w:lang w:eastAsia="ar-SA"/>
        </w:rPr>
      </w:pPr>
      <w:bookmarkStart w:id="1" w:name="_Toc321231511"/>
      <w:bookmarkStart w:id="2" w:name="_Toc320807276"/>
      <w:bookmarkStart w:id="3" w:name="_Toc320532282"/>
      <w:r w:rsidRPr="00EA3FD6">
        <w:rPr>
          <w:rFonts w:ascii="Arial" w:eastAsia="Times New Roman" w:hAnsi="Arial" w:cs="Arial"/>
          <w:b/>
          <w:bCs/>
          <w:lang w:eastAsia="ar-SA"/>
        </w:rPr>
        <w:t>Plnění indikátorů</w:t>
      </w:r>
      <w:bookmarkEnd w:id="1"/>
      <w:bookmarkEnd w:id="2"/>
      <w:bookmarkEnd w:id="3"/>
    </w:p>
    <w:p w:rsidR="00EA3FD6" w:rsidRPr="00EA3FD6" w:rsidRDefault="00EA3FD6" w:rsidP="00EA3FD6">
      <w:pPr>
        <w:spacing w:before="120" w:after="0"/>
        <w:jc w:val="both"/>
        <w:rPr>
          <w:rFonts w:ascii="Arial" w:eastAsia="Times New Roman" w:hAnsi="Arial" w:cs="Arial"/>
          <w:lang w:eastAsia="ar-SA"/>
        </w:rPr>
      </w:pPr>
      <w:r w:rsidRPr="00EA3FD6">
        <w:rPr>
          <w:rFonts w:ascii="Arial" w:eastAsia="Times New Roman" w:hAnsi="Arial" w:cs="Arial"/>
          <w:lang w:eastAsia="ar-SA"/>
        </w:rPr>
        <w:t xml:space="preserve">Závazné indikátory projektu byly splněny, došlo k podpoře 252 osob (zaměstnanců MMO) a proškolení 336 absolventů kurzů (v souladu s vymezením definic monitorovacích indikátorů jsou absolventi kurzů počítáni dle počtu absolvovaných kurzů, zatímco podpořená osoba je započítána pouze jednou, přestože obdržela více podpor). </w:t>
      </w:r>
    </w:p>
    <w:p w:rsidR="00EA3FD6" w:rsidRPr="00EA3FD6" w:rsidRDefault="00EA3FD6" w:rsidP="00EA3FD6">
      <w:pPr>
        <w:spacing w:after="60"/>
        <w:jc w:val="both"/>
        <w:rPr>
          <w:rFonts w:ascii="Arial" w:eastAsia="Times New Roman" w:hAnsi="Arial" w:cs="Arial"/>
          <w:lang w:eastAsia="ar-SA"/>
        </w:rPr>
      </w:pPr>
      <w:r w:rsidRPr="00EA3FD6">
        <w:rPr>
          <w:rFonts w:ascii="Arial" w:eastAsia="Times New Roman" w:hAnsi="Arial" w:cs="Arial"/>
          <w:lang w:eastAsia="ar-SA"/>
        </w:rPr>
        <w:t>Indikátor „Počet nových / inovovaných produktů“ byl naplněn vytvořením 2 výstupů:</w:t>
      </w:r>
    </w:p>
    <w:p w:rsidR="00EA3FD6" w:rsidRPr="00EA3FD6" w:rsidRDefault="00EA3FD6" w:rsidP="00EA3FD6">
      <w:pPr>
        <w:pStyle w:val="Odstavecseseznamem"/>
        <w:numPr>
          <w:ilvl w:val="0"/>
          <w:numId w:val="10"/>
        </w:numPr>
        <w:spacing w:before="0" w:beforeAutospacing="0" w:after="6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Prvním – Bezpečnost procesů obecně a další související výstupy – tvořen dokumenty: Analýza bezpečnostních rizik a Implementační manuál.</w:t>
      </w:r>
    </w:p>
    <w:p w:rsidR="00EA3FD6" w:rsidRPr="00EA3FD6" w:rsidRDefault="00EA3FD6" w:rsidP="00EA3FD6">
      <w:pPr>
        <w:pStyle w:val="Odstavecseseznamem"/>
        <w:numPr>
          <w:ilvl w:val="0"/>
          <w:numId w:val="10"/>
        </w:numPr>
        <w:spacing w:before="0" w:beforeAutospacing="0" w:after="60" w:afterAutospacing="0" w:line="276" w:lineRule="auto"/>
        <w:contextualSpacing/>
        <w:jc w:val="both"/>
        <w:rPr>
          <w:rFonts w:ascii="Arial" w:hAnsi="Arial" w:cs="Arial"/>
          <w:sz w:val="22"/>
          <w:szCs w:val="22"/>
          <w:lang w:eastAsia="ar-SA"/>
        </w:rPr>
      </w:pPr>
      <w:r w:rsidRPr="00EA3FD6">
        <w:rPr>
          <w:rFonts w:ascii="Arial" w:hAnsi="Arial" w:cs="Arial"/>
          <w:sz w:val="22"/>
          <w:szCs w:val="22"/>
          <w:lang w:eastAsia="ar-SA"/>
        </w:rPr>
        <w:t>Druhým – Optimalizace bezpečnostních procesů a další související výstupy, který je tvořen dokumenty: Příručka řízení bezpečností, Bezpečnostní pravidla pro uživatele a Bezpečnostní politika.</w:t>
      </w:r>
    </w:p>
    <w:p w:rsidR="00EA3FD6" w:rsidRPr="00EA3FD6" w:rsidRDefault="00EA3FD6" w:rsidP="00EA3FD6">
      <w:pPr>
        <w:pStyle w:val="Odstavecseseznamem"/>
        <w:spacing w:before="0" w:beforeAutospacing="0" w:after="60" w:afterAutospacing="0" w:line="276" w:lineRule="auto"/>
        <w:ind w:left="720"/>
        <w:contextualSpacing/>
        <w:jc w:val="both"/>
        <w:rPr>
          <w:rFonts w:ascii="Arial" w:hAnsi="Arial" w:cs="Arial"/>
          <w:sz w:val="22"/>
          <w:szCs w:val="22"/>
          <w:lang w:eastAsia="ar-SA"/>
        </w:rPr>
      </w:pPr>
    </w:p>
    <w:p w:rsidR="00EA3FD6" w:rsidRPr="008634AD" w:rsidRDefault="00EA3FD6" w:rsidP="00EA3FD6">
      <w:pPr>
        <w:pStyle w:val="Titulek"/>
        <w:keepNext/>
        <w:keepLines/>
        <w:spacing w:before="120"/>
        <w:rPr>
          <w:b w:val="0"/>
          <w:i/>
          <w:lang w:eastAsia="ar-SA"/>
        </w:rPr>
      </w:pPr>
      <w:r w:rsidRPr="008634AD">
        <w:rPr>
          <w:i/>
          <w:lang w:eastAsia="ar-SA"/>
        </w:rPr>
        <w:t>Dosažené hodnoty indikátorů projektu</w:t>
      </w:r>
      <w:r w:rsidRPr="008634AD">
        <w:rPr>
          <w:b w:val="0"/>
          <w:i/>
          <w:lang w:eastAsia="ar-SA"/>
        </w:rPr>
        <w:t xml:space="preserve"> </w:t>
      </w:r>
    </w:p>
    <w:tbl>
      <w:tblPr>
        <w:tblW w:w="5000" w:type="pct"/>
        <w:tblCellMar>
          <w:left w:w="70" w:type="dxa"/>
          <w:right w:w="70" w:type="dxa"/>
        </w:tblCellMar>
        <w:tblLook w:val="04A0" w:firstRow="1" w:lastRow="0" w:firstColumn="1" w:lastColumn="0" w:noHBand="0" w:noVBand="1"/>
      </w:tblPr>
      <w:tblGrid>
        <w:gridCol w:w="1558"/>
        <w:gridCol w:w="4714"/>
        <w:gridCol w:w="980"/>
        <w:gridCol w:w="1140"/>
        <w:gridCol w:w="818"/>
      </w:tblGrid>
      <w:tr w:rsidR="00EA3FD6" w:rsidRPr="008634AD" w:rsidTr="000B3C95">
        <w:trPr>
          <w:trHeight w:val="300"/>
        </w:trPr>
        <w:tc>
          <w:tcPr>
            <w:tcW w:w="846" w:type="pct"/>
            <w:tcBorders>
              <w:top w:val="single" w:sz="4" w:space="0" w:color="auto"/>
              <w:left w:val="single" w:sz="4" w:space="0" w:color="auto"/>
              <w:bottom w:val="single" w:sz="4" w:space="0" w:color="auto"/>
              <w:right w:val="single" w:sz="4" w:space="0" w:color="auto"/>
            </w:tcBorders>
            <w:shd w:val="clear" w:color="auto" w:fill="CCFFCC"/>
            <w:vAlign w:val="center"/>
            <w:hideMark/>
          </w:tcPr>
          <w:p w:rsidR="00EA3FD6" w:rsidRPr="008634AD" w:rsidRDefault="00EA3FD6" w:rsidP="000B3C95">
            <w:pPr>
              <w:keepNext/>
              <w:keepLines/>
              <w:jc w:val="center"/>
              <w:rPr>
                <w:rFonts w:ascii="Arial" w:eastAsia="Times New Roman" w:hAnsi="Arial" w:cs="Arial"/>
                <w:b/>
                <w:iCs/>
                <w:color w:val="000000"/>
                <w:sz w:val="20"/>
                <w:szCs w:val="20"/>
              </w:rPr>
            </w:pPr>
            <w:r w:rsidRPr="008634AD">
              <w:rPr>
                <w:rFonts w:ascii="Arial" w:eastAsia="Times New Roman" w:hAnsi="Arial" w:cs="Arial"/>
                <w:b/>
                <w:iCs/>
                <w:color w:val="000000"/>
                <w:sz w:val="20"/>
                <w:szCs w:val="20"/>
              </w:rPr>
              <w:t>kód indikátoru</w:t>
            </w:r>
          </w:p>
        </w:tc>
        <w:tc>
          <w:tcPr>
            <w:tcW w:w="2559" w:type="pct"/>
            <w:tcBorders>
              <w:top w:val="single" w:sz="4" w:space="0" w:color="auto"/>
              <w:left w:val="nil"/>
              <w:bottom w:val="single" w:sz="4" w:space="0" w:color="auto"/>
              <w:right w:val="single" w:sz="4" w:space="0" w:color="auto"/>
            </w:tcBorders>
            <w:shd w:val="clear" w:color="auto" w:fill="CCFFCC"/>
            <w:vAlign w:val="center"/>
            <w:hideMark/>
          </w:tcPr>
          <w:p w:rsidR="00EA3FD6" w:rsidRPr="008634AD" w:rsidRDefault="00EA3FD6" w:rsidP="000B3C95">
            <w:pPr>
              <w:keepNext/>
              <w:keepLines/>
              <w:jc w:val="center"/>
              <w:rPr>
                <w:rFonts w:ascii="Arial" w:eastAsia="Times New Roman" w:hAnsi="Arial" w:cs="Arial"/>
                <w:b/>
                <w:iCs/>
                <w:color w:val="000000"/>
                <w:sz w:val="20"/>
                <w:szCs w:val="20"/>
              </w:rPr>
            </w:pPr>
            <w:r w:rsidRPr="008634AD">
              <w:rPr>
                <w:rFonts w:ascii="Arial" w:eastAsia="Times New Roman" w:hAnsi="Arial" w:cs="Arial"/>
                <w:b/>
                <w:iCs/>
                <w:color w:val="000000"/>
                <w:sz w:val="20"/>
                <w:szCs w:val="20"/>
              </w:rPr>
              <w:t>Název indikátoru</w:t>
            </w:r>
          </w:p>
        </w:tc>
        <w:tc>
          <w:tcPr>
            <w:tcW w:w="532" w:type="pct"/>
            <w:tcBorders>
              <w:top w:val="single" w:sz="4" w:space="0" w:color="auto"/>
              <w:left w:val="nil"/>
              <w:bottom w:val="single" w:sz="4" w:space="0" w:color="auto"/>
              <w:right w:val="single" w:sz="4" w:space="0" w:color="auto"/>
            </w:tcBorders>
            <w:shd w:val="clear" w:color="auto" w:fill="CCFFCC"/>
            <w:vAlign w:val="center"/>
            <w:hideMark/>
          </w:tcPr>
          <w:p w:rsidR="00EA3FD6" w:rsidRPr="008634AD" w:rsidRDefault="00EA3FD6" w:rsidP="000B3C95">
            <w:pPr>
              <w:keepNext/>
              <w:keepLines/>
              <w:jc w:val="center"/>
              <w:rPr>
                <w:rFonts w:ascii="Arial" w:eastAsia="Times New Roman" w:hAnsi="Arial" w:cs="Arial"/>
                <w:b/>
                <w:iCs/>
                <w:color w:val="000000"/>
                <w:sz w:val="20"/>
                <w:szCs w:val="20"/>
              </w:rPr>
            </w:pPr>
            <w:r w:rsidRPr="008634AD">
              <w:rPr>
                <w:rFonts w:ascii="Arial" w:eastAsia="Times New Roman" w:hAnsi="Arial" w:cs="Arial"/>
                <w:b/>
                <w:iCs/>
                <w:color w:val="000000"/>
                <w:sz w:val="20"/>
                <w:szCs w:val="20"/>
              </w:rPr>
              <w:t>Cílová hodnota</w:t>
            </w:r>
          </w:p>
        </w:tc>
        <w:tc>
          <w:tcPr>
            <w:tcW w:w="619" w:type="pct"/>
            <w:tcBorders>
              <w:top w:val="single" w:sz="4" w:space="0" w:color="auto"/>
              <w:left w:val="nil"/>
              <w:bottom w:val="single" w:sz="4" w:space="0" w:color="auto"/>
              <w:right w:val="single" w:sz="4" w:space="0" w:color="auto"/>
            </w:tcBorders>
            <w:shd w:val="clear" w:color="auto" w:fill="CCFFCC"/>
            <w:vAlign w:val="center"/>
            <w:hideMark/>
          </w:tcPr>
          <w:p w:rsidR="00EA3FD6" w:rsidRPr="008634AD" w:rsidRDefault="00EA3FD6" w:rsidP="000B3C95">
            <w:pPr>
              <w:keepNext/>
              <w:keepLines/>
              <w:jc w:val="center"/>
              <w:rPr>
                <w:rFonts w:ascii="Arial" w:eastAsia="Times New Roman" w:hAnsi="Arial" w:cs="Arial"/>
                <w:b/>
                <w:iCs/>
                <w:color w:val="000000"/>
                <w:sz w:val="20"/>
                <w:szCs w:val="20"/>
              </w:rPr>
            </w:pPr>
            <w:r w:rsidRPr="008634AD">
              <w:rPr>
                <w:rFonts w:ascii="Arial" w:eastAsia="Times New Roman" w:hAnsi="Arial" w:cs="Arial"/>
                <w:b/>
                <w:iCs/>
                <w:color w:val="000000"/>
                <w:sz w:val="20"/>
                <w:szCs w:val="20"/>
              </w:rPr>
              <w:t>Dosažená hodnota</w:t>
            </w:r>
          </w:p>
        </w:tc>
        <w:tc>
          <w:tcPr>
            <w:tcW w:w="444" w:type="pct"/>
            <w:tcBorders>
              <w:top w:val="single" w:sz="4" w:space="0" w:color="auto"/>
              <w:left w:val="nil"/>
              <w:bottom w:val="single" w:sz="4" w:space="0" w:color="auto"/>
              <w:right w:val="single" w:sz="4" w:space="0" w:color="auto"/>
            </w:tcBorders>
            <w:shd w:val="clear" w:color="auto" w:fill="CCFFCC"/>
            <w:vAlign w:val="center"/>
            <w:hideMark/>
          </w:tcPr>
          <w:p w:rsidR="00EA3FD6" w:rsidRPr="008634AD" w:rsidRDefault="00EA3FD6" w:rsidP="000B3C95">
            <w:pPr>
              <w:keepNext/>
              <w:keepLines/>
              <w:jc w:val="center"/>
              <w:rPr>
                <w:rFonts w:ascii="Arial" w:eastAsia="Times New Roman" w:hAnsi="Arial" w:cs="Arial"/>
                <w:b/>
                <w:iCs/>
                <w:color w:val="000000"/>
                <w:sz w:val="20"/>
                <w:szCs w:val="20"/>
              </w:rPr>
            </w:pPr>
            <w:r w:rsidRPr="008634AD">
              <w:rPr>
                <w:rFonts w:ascii="Arial" w:eastAsia="Times New Roman" w:hAnsi="Arial" w:cs="Arial"/>
                <w:b/>
                <w:iCs/>
                <w:color w:val="000000"/>
                <w:sz w:val="20"/>
                <w:szCs w:val="20"/>
              </w:rPr>
              <w:t>v %</w:t>
            </w:r>
          </w:p>
        </w:tc>
      </w:tr>
      <w:tr w:rsidR="00EA3FD6" w:rsidRPr="008634AD" w:rsidTr="008634AD">
        <w:trPr>
          <w:trHeight w:val="230"/>
        </w:trPr>
        <w:tc>
          <w:tcPr>
            <w:tcW w:w="846" w:type="pct"/>
            <w:tcBorders>
              <w:top w:val="nil"/>
              <w:left w:val="single" w:sz="4" w:space="0" w:color="auto"/>
              <w:bottom w:val="single" w:sz="4" w:space="0" w:color="auto"/>
              <w:right w:val="single" w:sz="4" w:space="0" w:color="auto"/>
            </w:tcBorders>
            <w:shd w:val="clear" w:color="auto" w:fill="FFFF99"/>
            <w:vAlign w:val="center"/>
            <w:hideMark/>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07.41.00</w:t>
            </w:r>
          </w:p>
        </w:tc>
        <w:tc>
          <w:tcPr>
            <w:tcW w:w="2559" w:type="pct"/>
            <w:tcBorders>
              <w:top w:val="nil"/>
              <w:left w:val="nil"/>
              <w:bottom w:val="single" w:sz="4" w:space="0" w:color="auto"/>
              <w:right w:val="single" w:sz="4" w:space="0" w:color="auto"/>
            </w:tcBorders>
            <w:shd w:val="clear" w:color="auto" w:fill="FFFF99"/>
            <w:vAlign w:val="center"/>
            <w:hideMark/>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 xml:space="preserve">Počet podpořených osob – celkem </w:t>
            </w:r>
          </w:p>
        </w:tc>
        <w:tc>
          <w:tcPr>
            <w:tcW w:w="532" w:type="pct"/>
            <w:tcBorders>
              <w:top w:val="nil"/>
              <w:left w:val="nil"/>
              <w:bottom w:val="single" w:sz="4" w:space="0" w:color="auto"/>
              <w:right w:val="single" w:sz="4" w:space="0" w:color="auto"/>
            </w:tcBorders>
            <w:shd w:val="clear" w:color="auto" w:fill="auto"/>
            <w:vAlign w:val="center"/>
            <w:hideMark/>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250</w:t>
            </w:r>
          </w:p>
        </w:tc>
        <w:tc>
          <w:tcPr>
            <w:tcW w:w="619" w:type="pct"/>
            <w:tcBorders>
              <w:top w:val="nil"/>
              <w:left w:val="nil"/>
              <w:bottom w:val="single" w:sz="4" w:space="0" w:color="auto"/>
              <w:right w:val="single" w:sz="4" w:space="0" w:color="auto"/>
            </w:tcBorders>
            <w:shd w:val="clear" w:color="auto" w:fill="auto"/>
            <w:vAlign w:val="center"/>
            <w:hideMark/>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252</w:t>
            </w:r>
          </w:p>
        </w:tc>
        <w:tc>
          <w:tcPr>
            <w:tcW w:w="444" w:type="pct"/>
            <w:tcBorders>
              <w:top w:val="nil"/>
              <w:left w:val="nil"/>
              <w:bottom w:val="single" w:sz="4" w:space="0" w:color="auto"/>
              <w:right w:val="single" w:sz="4" w:space="0" w:color="auto"/>
            </w:tcBorders>
            <w:shd w:val="clear" w:color="auto" w:fill="auto"/>
            <w:vAlign w:val="center"/>
            <w:hideMark/>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101</w:t>
            </w:r>
          </w:p>
        </w:tc>
      </w:tr>
      <w:tr w:rsidR="00EA3FD6" w:rsidRPr="008634AD" w:rsidTr="008634AD">
        <w:trPr>
          <w:trHeight w:val="300"/>
        </w:trPr>
        <w:tc>
          <w:tcPr>
            <w:tcW w:w="846" w:type="pct"/>
            <w:tcBorders>
              <w:top w:val="nil"/>
              <w:left w:val="single" w:sz="4" w:space="0" w:color="auto"/>
              <w:bottom w:val="single" w:sz="4" w:space="0" w:color="auto"/>
              <w:right w:val="single" w:sz="4" w:space="0" w:color="auto"/>
            </w:tcBorders>
            <w:shd w:val="clear" w:color="auto" w:fill="FFFF99"/>
            <w:vAlign w:val="center"/>
            <w:hideMark/>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07.57.00</w:t>
            </w:r>
          </w:p>
        </w:tc>
        <w:tc>
          <w:tcPr>
            <w:tcW w:w="2559" w:type="pct"/>
            <w:tcBorders>
              <w:top w:val="nil"/>
              <w:left w:val="nil"/>
              <w:bottom w:val="single" w:sz="4" w:space="0" w:color="auto"/>
              <w:right w:val="single" w:sz="4" w:space="0" w:color="auto"/>
            </w:tcBorders>
            <w:shd w:val="clear" w:color="auto" w:fill="FFFF99"/>
            <w:vAlign w:val="center"/>
            <w:hideMark/>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Počet nově vytvořených / inovovaných produktů</w:t>
            </w:r>
          </w:p>
        </w:tc>
        <w:tc>
          <w:tcPr>
            <w:tcW w:w="532" w:type="pct"/>
            <w:tcBorders>
              <w:top w:val="nil"/>
              <w:left w:val="nil"/>
              <w:bottom w:val="single" w:sz="4" w:space="0" w:color="auto"/>
              <w:right w:val="single" w:sz="4" w:space="0" w:color="auto"/>
            </w:tcBorders>
            <w:shd w:val="clear" w:color="auto" w:fill="auto"/>
            <w:vAlign w:val="center"/>
            <w:hideMark/>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2</w:t>
            </w:r>
          </w:p>
        </w:tc>
        <w:tc>
          <w:tcPr>
            <w:tcW w:w="619" w:type="pct"/>
            <w:tcBorders>
              <w:top w:val="nil"/>
              <w:left w:val="nil"/>
              <w:bottom w:val="single" w:sz="4" w:space="0" w:color="auto"/>
              <w:right w:val="single" w:sz="4" w:space="0" w:color="auto"/>
            </w:tcBorders>
            <w:shd w:val="clear" w:color="auto" w:fill="auto"/>
            <w:vAlign w:val="center"/>
            <w:hideMark/>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2</w:t>
            </w:r>
          </w:p>
        </w:tc>
        <w:tc>
          <w:tcPr>
            <w:tcW w:w="444" w:type="pct"/>
            <w:tcBorders>
              <w:top w:val="nil"/>
              <w:left w:val="nil"/>
              <w:bottom w:val="single" w:sz="4" w:space="0" w:color="auto"/>
              <w:right w:val="single" w:sz="4" w:space="0" w:color="auto"/>
            </w:tcBorders>
            <w:shd w:val="clear" w:color="auto" w:fill="auto"/>
            <w:vAlign w:val="center"/>
            <w:hideMark/>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100</w:t>
            </w:r>
          </w:p>
        </w:tc>
      </w:tr>
      <w:tr w:rsidR="00EA3FD6" w:rsidRPr="008634AD" w:rsidTr="008634AD">
        <w:trPr>
          <w:trHeight w:val="300"/>
        </w:trPr>
        <w:tc>
          <w:tcPr>
            <w:tcW w:w="846" w:type="pct"/>
            <w:tcBorders>
              <w:top w:val="single" w:sz="4" w:space="0" w:color="auto"/>
              <w:left w:val="single" w:sz="4" w:space="0" w:color="auto"/>
              <w:bottom w:val="single" w:sz="4" w:space="0" w:color="auto"/>
              <w:right w:val="single" w:sz="4" w:space="0" w:color="auto"/>
            </w:tcBorders>
            <w:shd w:val="clear" w:color="auto" w:fill="FFFF99"/>
            <w:vAlign w:val="center"/>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07.45.00</w:t>
            </w:r>
          </w:p>
        </w:tc>
        <w:tc>
          <w:tcPr>
            <w:tcW w:w="2559" w:type="pct"/>
            <w:tcBorders>
              <w:top w:val="single" w:sz="4" w:space="0" w:color="auto"/>
              <w:left w:val="nil"/>
              <w:bottom w:val="single" w:sz="4" w:space="0" w:color="auto"/>
              <w:right w:val="single" w:sz="4" w:space="0" w:color="auto"/>
            </w:tcBorders>
            <w:shd w:val="clear" w:color="auto" w:fill="FFFF99"/>
            <w:vAlign w:val="center"/>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 xml:space="preserve">Počet podpořených organizací – celkem </w:t>
            </w:r>
          </w:p>
        </w:tc>
        <w:tc>
          <w:tcPr>
            <w:tcW w:w="532" w:type="pct"/>
            <w:tcBorders>
              <w:top w:val="single" w:sz="4" w:space="0" w:color="auto"/>
              <w:left w:val="nil"/>
              <w:bottom w:val="single" w:sz="4" w:space="0" w:color="auto"/>
              <w:right w:val="single" w:sz="4" w:space="0" w:color="auto"/>
            </w:tcBorders>
            <w:shd w:val="clear" w:color="auto" w:fill="auto"/>
            <w:vAlign w:val="center"/>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1</w:t>
            </w:r>
          </w:p>
        </w:tc>
        <w:tc>
          <w:tcPr>
            <w:tcW w:w="619" w:type="pct"/>
            <w:tcBorders>
              <w:top w:val="single" w:sz="4" w:space="0" w:color="auto"/>
              <w:left w:val="nil"/>
              <w:bottom w:val="single" w:sz="4" w:space="0" w:color="auto"/>
              <w:right w:val="single" w:sz="4" w:space="0" w:color="auto"/>
            </w:tcBorders>
            <w:shd w:val="clear" w:color="auto" w:fill="auto"/>
            <w:vAlign w:val="center"/>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1</w:t>
            </w:r>
          </w:p>
        </w:tc>
        <w:tc>
          <w:tcPr>
            <w:tcW w:w="444" w:type="pct"/>
            <w:tcBorders>
              <w:top w:val="single" w:sz="4" w:space="0" w:color="auto"/>
              <w:left w:val="nil"/>
              <w:bottom w:val="single" w:sz="4" w:space="0" w:color="auto"/>
              <w:right w:val="single" w:sz="4" w:space="0" w:color="auto"/>
            </w:tcBorders>
            <w:shd w:val="clear" w:color="auto" w:fill="auto"/>
            <w:vAlign w:val="center"/>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100</w:t>
            </w:r>
          </w:p>
        </w:tc>
      </w:tr>
      <w:tr w:rsidR="00EA3FD6" w:rsidRPr="008634AD" w:rsidTr="008634AD">
        <w:trPr>
          <w:trHeight w:val="300"/>
        </w:trPr>
        <w:tc>
          <w:tcPr>
            <w:tcW w:w="846" w:type="pct"/>
            <w:tcBorders>
              <w:top w:val="single" w:sz="4" w:space="0" w:color="auto"/>
              <w:left w:val="single" w:sz="4" w:space="0" w:color="auto"/>
              <w:bottom w:val="single" w:sz="4" w:space="0" w:color="auto"/>
              <w:right w:val="single" w:sz="4" w:space="0" w:color="auto"/>
            </w:tcBorders>
            <w:shd w:val="clear" w:color="auto" w:fill="FFFF99"/>
            <w:vAlign w:val="center"/>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07.46.13</w:t>
            </w:r>
          </w:p>
        </w:tc>
        <w:tc>
          <w:tcPr>
            <w:tcW w:w="2559" w:type="pct"/>
            <w:tcBorders>
              <w:top w:val="single" w:sz="4" w:space="0" w:color="auto"/>
              <w:left w:val="nil"/>
              <w:bottom w:val="single" w:sz="4" w:space="0" w:color="auto"/>
              <w:right w:val="single" w:sz="4" w:space="0" w:color="auto"/>
            </w:tcBorders>
            <w:shd w:val="clear" w:color="auto" w:fill="FFFF99"/>
            <w:vAlign w:val="center"/>
          </w:tcPr>
          <w:p w:rsidR="00EA3FD6" w:rsidRPr="008634AD" w:rsidRDefault="00EA3FD6" w:rsidP="00330A79">
            <w:pPr>
              <w:keepNext/>
              <w:keepLines/>
              <w:rPr>
                <w:rFonts w:ascii="Arial" w:eastAsia="Times New Roman" w:hAnsi="Arial" w:cs="Arial"/>
                <w:iCs/>
                <w:color w:val="000000"/>
                <w:sz w:val="20"/>
                <w:szCs w:val="20"/>
              </w:rPr>
            </w:pPr>
            <w:r w:rsidRPr="008634AD">
              <w:rPr>
                <w:rFonts w:ascii="Arial" w:eastAsia="Times New Roman" w:hAnsi="Arial" w:cs="Arial"/>
                <w:iCs/>
                <w:color w:val="000000"/>
                <w:sz w:val="20"/>
                <w:szCs w:val="20"/>
              </w:rPr>
              <w:t>Počet úspěšných absolventů kurzů - celkem</w:t>
            </w:r>
          </w:p>
        </w:tc>
        <w:tc>
          <w:tcPr>
            <w:tcW w:w="532" w:type="pct"/>
            <w:tcBorders>
              <w:top w:val="single" w:sz="4" w:space="0" w:color="auto"/>
              <w:left w:val="nil"/>
              <w:bottom w:val="single" w:sz="4" w:space="0" w:color="auto"/>
              <w:right w:val="single" w:sz="4" w:space="0" w:color="auto"/>
            </w:tcBorders>
            <w:shd w:val="clear" w:color="auto" w:fill="auto"/>
            <w:vAlign w:val="center"/>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330</w:t>
            </w:r>
          </w:p>
        </w:tc>
        <w:tc>
          <w:tcPr>
            <w:tcW w:w="619" w:type="pct"/>
            <w:tcBorders>
              <w:top w:val="single" w:sz="4" w:space="0" w:color="auto"/>
              <w:left w:val="nil"/>
              <w:bottom w:val="single" w:sz="4" w:space="0" w:color="auto"/>
              <w:right w:val="single" w:sz="4" w:space="0" w:color="auto"/>
            </w:tcBorders>
            <w:shd w:val="clear" w:color="auto" w:fill="auto"/>
            <w:vAlign w:val="center"/>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336</w:t>
            </w:r>
          </w:p>
        </w:tc>
        <w:tc>
          <w:tcPr>
            <w:tcW w:w="444" w:type="pct"/>
            <w:tcBorders>
              <w:top w:val="single" w:sz="4" w:space="0" w:color="auto"/>
              <w:left w:val="nil"/>
              <w:bottom w:val="single" w:sz="4" w:space="0" w:color="auto"/>
              <w:right w:val="single" w:sz="4" w:space="0" w:color="auto"/>
            </w:tcBorders>
            <w:shd w:val="clear" w:color="auto" w:fill="auto"/>
            <w:vAlign w:val="center"/>
          </w:tcPr>
          <w:p w:rsidR="00EA3FD6" w:rsidRPr="008634AD" w:rsidRDefault="00EA3FD6" w:rsidP="00330A79">
            <w:pPr>
              <w:keepNext/>
              <w:keepLines/>
              <w:jc w:val="center"/>
              <w:rPr>
                <w:rFonts w:ascii="Arial" w:eastAsia="Times New Roman" w:hAnsi="Arial" w:cs="Arial"/>
                <w:iCs/>
                <w:color w:val="000000"/>
                <w:sz w:val="20"/>
                <w:szCs w:val="20"/>
              </w:rPr>
            </w:pPr>
            <w:r w:rsidRPr="008634AD">
              <w:rPr>
                <w:rFonts w:ascii="Arial" w:eastAsia="Times New Roman" w:hAnsi="Arial" w:cs="Arial"/>
                <w:iCs/>
                <w:color w:val="000000"/>
                <w:sz w:val="20"/>
                <w:szCs w:val="20"/>
              </w:rPr>
              <w:t>102</w:t>
            </w:r>
          </w:p>
        </w:tc>
      </w:tr>
    </w:tbl>
    <w:p w:rsidR="00EA3FD6" w:rsidRPr="00EA3FD6" w:rsidRDefault="00EA3FD6" w:rsidP="004E56E8">
      <w:pPr>
        <w:spacing w:before="60" w:after="0"/>
        <w:jc w:val="both"/>
        <w:rPr>
          <w:rFonts w:ascii="Arial" w:eastAsia="Times New Roman" w:hAnsi="Arial" w:cs="Arial"/>
          <w:i/>
          <w:sz w:val="18"/>
          <w:szCs w:val="18"/>
        </w:rPr>
      </w:pPr>
      <w:r w:rsidRPr="00EA3FD6">
        <w:rPr>
          <w:rFonts w:ascii="Arial" w:eastAsia="Times New Roman" w:hAnsi="Arial" w:cs="Arial"/>
          <w:i/>
          <w:sz w:val="18"/>
          <w:szCs w:val="18"/>
        </w:rPr>
        <w:t>Pozn.: Indikátor „Počet nových / inovovaných produktů“ byl naplněn vytvořením 2 výstupů:</w:t>
      </w:r>
    </w:p>
    <w:p w:rsidR="00EA3FD6" w:rsidRPr="00EA3FD6" w:rsidRDefault="00EA3FD6" w:rsidP="004E56E8">
      <w:pPr>
        <w:pStyle w:val="Odstavecseseznamem"/>
        <w:numPr>
          <w:ilvl w:val="0"/>
          <w:numId w:val="9"/>
        </w:numPr>
        <w:spacing w:before="0" w:beforeAutospacing="0" w:after="0" w:afterAutospacing="0" w:line="276" w:lineRule="auto"/>
        <w:ind w:left="714" w:hanging="357"/>
        <w:contextualSpacing/>
        <w:jc w:val="both"/>
        <w:rPr>
          <w:rFonts w:ascii="Arial" w:hAnsi="Arial" w:cs="Arial"/>
          <w:i/>
          <w:sz w:val="18"/>
          <w:szCs w:val="18"/>
          <w:lang w:eastAsia="ar-SA"/>
        </w:rPr>
      </w:pPr>
      <w:r w:rsidRPr="00EA3FD6">
        <w:rPr>
          <w:rFonts w:ascii="Arial" w:hAnsi="Arial" w:cs="Arial"/>
          <w:i/>
          <w:sz w:val="18"/>
          <w:szCs w:val="18"/>
          <w:lang w:eastAsia="ar-SA"/>
        </w:rPr>
        <w:t>Bezpečnost procesů obecně: Analýza bezpečnostních rizik a Implementační manuál.</w:t>
      </w:r>
    </w:p>
    <w:p w:rsidR="00EA3FD6" w:rsidRPr="00EA3FD6" w:rsidRDefault="00EA3FD6" w:rsidP="004E56E8">
      <w:pPr>
        <w:pStyle w:val="Odstavecseseznamem"/>
        <w:numPr>
          <w:ilvl w:val="0"/>
          <w:numId w:val="9"/>
        </w:numPr>
        <w:spacing w:before="60" w:beforeAutospacing="0" w:after="0" w:afterAutospacing="0" w:line="276" w:lineRule="auto"/>
        <w:contextualSpacing/>
        <w:jc w:val="both"/>
        <w:rPr>
          <w:rFonts w:ascii="Arial" w:hAnsi="Arial" w:cs="Arial"/>
          <w:i/>
          <w:sz w:val="18"/>
          <w:szCs w:val="18"/>
          <w:lang w:eastAsia="ar-SA"/>
        </w:rPr>
      </w:pPr>
      <w:r w:rsidRPr="00EA3FD6">
        <w:rPr>
          <w:rFonts w:ascii="Arial" w:hAnsi="Arial" w:cs="Arial"/>
          <w:i/>
          <w:sz w:val="18"/>
          <w:szCs w:val="18"/>
          <w:lang w:eastAsia="ar-SA"/>
        </w:rPr>
        <w:t>Optimalizace bezpečnostních procesů: Příručka řízení bezpečností, Bezpečnostní pravidla pro uživatele a Bezpečnostní politika.</w:t>
      </w:r>
    </w:p>
    <w:p w:rsidR="00EA3FD6" w:rsidRPr="00EA3FD6" w:rsidRDefault="00EA3FD6" w:rsidP="004E56E8">
      <w:pPr>
        <w:spacing w:before="60" w:after="60"/>
        <w:contextualSpacing/>
        <w:jc w:val="both"/>
        <w:rPr>
          <w:rFonts w:ascii="Arial" w:hAnsi="Arial" w:cs="Arial"/>
          <w:sz w:val="18"/>
          <w:szCs w:val="18"/>
          <w:lang w:eastAsia="ar-SA"/>
        </w:rPr>
      </w:pPr>
      <w:r w:rsidRPr="00EA3FD6">
        <w:rPr>
          <w:rFonts w:ascii="Arial" w:hAnsi="Arial" w:cs="Arial"/>
          <w:i/>
          <w:sz w:val="18"/>
          <w:szCs w:val="18"/>
          <w:lang w:eastAsia="ar-SA"/>
        </w:rPr>
        <w:t xml:space="preserve">Zdroj: IS </w:t>
      </w:r>
      <w:proofErr w:type="spellStart"/>
      <w:r w:rsidRPr="00EA3FD6">
        <w:rPr>
          <w:rFonts w:ascii="Arial" w:hAnsi="Arial" w:cs="Arial"/>
          <w:i/>
          <w:sz w:val="18"/>
          <w:szCs w:val="18"/>
          <w:lang w:eastAsia="ar-SA"/>
        </w:rPr>
        <w:t>Monit</w:t>
      </w:r>
      <w:proofErr w:type="spellEnd"/>
      <w:r w:rsidRPr="00EA3FD6">
        <w:rPr>
          <w:rFonts w:ascii="Arial" w:hAnsi="Arial" w:cs="Arial"/>
          <w:i/>
          <w:sz w:val="18"/>
          <w:szCs w:val="18"/>
          <w:lang w:eastAsia="ar-SA"/>
        </w:rPr>
        <w:t xml:space="preserve"> 7+ 8. 3. 2012</w:t>
      </w:r>
      <w:bookmarkStart w:id="4" w:name="_GoBack"/>
      <w:bookmarkEnd w:id="4"/>
    </w:p>
    <w:p w:rsidR="00EA3FD6" w:rsidRPr="00EA3FD6" w:rsidRDefault="00EA3FD6" w:rsidP="00EA3FD6">
      <w:pPr>
        <w:spacing w:before="120" w:after="0"/>
        <w:jc w:val="both"/>
        <w:rPr>
          <w:rFonts w:ascii="Arial" w:eastAsia="Times New Roman" w:hAnsi="Arial" w:cs="Arial"/>
        </w:rPr>
      </w:pPr>
    </w:p>
    <w:p w:rsidR="00C418E8" w:rsidRPr="00EA3FD6" w:rsidRDefault="00C418E8" w:rsidP="001A5F18">
      <w:pPr>
        <w:pStyle w:val="Styl1"/>
        <w:rPr>
          <w:rFonts w:ascii="Arial" w:hAnsi="Arial" w:cs="Arial"/>
          <w:color w:val="000000"/>
          <w:sz w:val="22"/>
          <w:szCs w:val="22"/>
          <w:u w:val="none"/>
        </w:rPr>
      </w:pPr>
      <w:r w:rsidRPr="00EA3FD6">
        <w:rPr>
          <w:rFonts w:ascii="Arial" w:hAnsi="Arial" w:cs="Arial"/>
          <w:color w:val="000000"/>
          <w:sz w:val="22"/>
          <w:szCs w:val="22"/>
          <w:u w:val="none"/>
        </w:rPr>
        <w:t xml:space="preserve">Zhodnocení </w:t>
      </w:r>
      <w:r w:rsidR="0050760C">
        <w:rPr>
          <w:rFonts w:ascii="Arial" w:hAnsi="Arial" w:cs="Arial"/>
          <w:color w:val="000000"/>
          <w:sz w:val="22"/>
          <w:szCs w:val="22"/>
          <w:u w:val="none"/>
        </w:rPr>
        <w:t xml:space="preserve">krátkodobých </w:t>
      </w:r>
      <w:r w:rsidRPr="00EA3FD6">
        <w:rPr>
          <w:rFonts w:ascii="Arial" w:hAnsi="Arial" w:cs="Arial"/>
          <w:color w:val="000000"/>
          <w:sz w:val="22"/>
          <w:szCs w:val="22"/>
          <w:u w:val="none"/>
        </w:rPr>
        <w:t>výsledků projektu</w:t>
      </w:r>
    </w:p>
    <w:bookmarkEnd w:id="0"/>
    <w:p w:rsidR="00C418E8" w:rsidRPr="00EA3FD6" w:rsidRDefault="00C418E8" w:rsidP="00C418E8">
      <w:pPr>
        <w:spacing w:after="60"/>
        <w:jc w:val="both"/>
        <w:rPr>
          <w:rFonts w:ascii="Arial" w:eastAsia="Times New Roman" w:hAnsi="Arial" w:cs="Arial"/>
        </w:rPr>
      </w:pPr>
      <w:r w:rsidRPr="00EA3FD6">
        <w:rPr>
          <w:rFonts w:ascii="Arial" w:eastAsia="Times New Roman" w:hAnsi="Arial" w:cs="Arial"/>
        </w:rPr>
        <w:t xml:space="preserve">V projektu </w:t>
      </w:r>
      <w:r w:rsidRPr="00EA3FD6">
        <w:rPr>
          <w:rFonts w:ascii="Arial" w:hAnsi="Arial" w:cs="Arial"/>
        </w:rPr>
        <w:t>Optimalizace bezpečnostních procesů v prostředí Magist</w:t>
      </w:r>
      <w:r w:rsidR="001A5F18" w:rsidRPr="00EA3FD6">
        <w:rPr>
          <w:rFonts w:ascii="Arial" w:hAnsi="Arial" w:cs="Arial"/>
        </w:rPr>
        <w:t>rátu města Ostravy se jednalo o </w:t>
      </w:r>
      <w:r w:rsidRPr="00EA3FD6">
        <w:rPr>
          <w:rFonts w:ascii="Arial" w:eastAsia="Times New Roman" w:hAnsi="Arial" w:cs="Arial"/>
        </w:rPr>
        <w:t>úzce specializovaný projekt, jdoucí za konkrétním a přesným cílem. Evaluátor může tedy vyhodnotit projektovou logiku a kauzalitu jako přímočarou. Dotazníkové šetření a individuální rozhovory potvrdily úspěšnost projektu.</w:t>
      </w:r>
      <w:r w:rsidR="00445D26">
        <w:rPr>
          <w:rFonts w:ascii="Arial" w:eastAsia="Times New Roman" w:hAnsi="Arial" w:cs="Arial"/>
        </w:rPr>
        <w:t xml:space="preserve"> </w:t>
      </w:r>
      <w:r w:rsidRPr="00EA3FD6">
        <w:rPr>
          <w:rFonts w:ascii="Arial" w:eastAsia="Times New Roman" w:hAnsi="Arial" w:cs="Arial"/>
          <w:b/>
        </w:rPr>
        <w:t>Na základě všech získaných informací lze po expertním zhodnocení evaluátora projekt v jeho dosavadní fázi implementace hodnotit jako úspěšný</w:t>
      </w:r>
      <w:r w:rsidRPr="00EA3FD6">
        <w:rPr>
          <w:rFonts w:ascii="Arial" w:eastAsia="Times New Roman" w:hAnsi="Arial" w:cs="Arial"/>
        </w:rPr>
        <w:t>. Zejména v realizační fázi lze za úspěch považovat již zmíněnou aktivitu a přístup cílových skupin k projektu, díky které byly splněny všechny výše zmíněné indikátory, resp. byly překonány. Dalším pozitivním krátkodobým výsledkem projektu je realizovaná analýza bezpečnostních rizik pro jednotlivá pracoviště a činnosti, která byla svou povahou velmi rozsáhlá a přinesla výsledky napříč organizační složkami MMO. V tomto kontextu lze opět pozitivně hodnotit přístup a aktivní zapojení cílových skupin, kter</w:t>
      </w:r>
      <w:r w:rsidR="001A5F18" w:rsidRPr="00EA3FD6">
        <w:rPr>
          <w:rFonts w:ascii="Arial" w:eastAsia="Times New Roman" w:hAnsi="Arial" w:cs="Arial"/>
        </w:rPr>
        <w:t>ý zajistil analýze relevantní a </w:t>
      </w:r>
      <w:r w:rsidRPr="00EA3FD6">
        <w:rPr>
          <w:rFonts w:ascii="Arial" w:eastAsia="Times New Roman" w:hAnsi="Arial" w:cs="Arial"/>
        </w:rPr>
        <w:t>využívané výstupy. Výše uvedené bylo vyzdvihováno jako velmi pozitivní faktor taktéž ze strany příjemce podpory OP LZZ. Sama cílová skupina pak prostřednictvím dotazníkového šetření ocenila zejména to, že se po zapojení do projektu v bezpečnostních procesech na MMO více orientuje.</w:t>
      </w:r>
    </w:p>
    <w:p w:rsidR="00C418E8" w:rsidRPr="00EA3FD6" w:rsidRDefault="00C418E8" w:rsidP="00C418E8">
      <w:pPr>
        <w:spacing w:after="60"/>
        <w:jc w:val="both"/>
        <w:rPr>
          <w:rFonts w:ascii="Arial" w:eastAsia="Times New Roman" w:hAnsi="Arial" w:cs="Arial"/>
        </w:rPr>
      </w:pPr>
      <w:r w:rsidRPr="00EA3FD6">
        <w:rPr>
          <w:rFonts w:ascii="Arial" w:eastAsia="Times New Roman" w:hAnsi="Arial" w:cs="Arial"/>
        </w:rPr>
        <w:t xml:space="preserve">Tyto výstupy představují hlavní podklad pro tzv. „implementační manuál“, který na základě analýzy stanovuje konkrétní implementační kroky v oblasti ochrany osob, majetku a informací dle stanoveného harmonogramu. Pozitivním přínosem implementačního manuálu a navazujících metodických dokumentů je zejména nastavení kompetencí a zodpovědností za oblast bezpečnosti na MMO v rámci centralizovaného řízení bezpečnostních procesů na MMO. </w:t>
      </w:r>
    </w:p>
    <w:p w:rsidR="00C418E8" w:rsidRPr="00EA3FD6" w:rsidRDefault="00C418E8" w:rsidP="00C418E8">
      <w:pPr>
        <w:spacing w:after="60"/>
        <w:jc w:val="both"/>
        <w:rPr>
          <w:rFonts w:ascii="Arial" w:eastAsia="Times New Roman" w:hAnsi="Arial" w:cs="Arial"/>
        </w:rPr>
      </w:pPr>
      <w:r w:rsidRPr="00EA3FD6">
        <w:rPr>
          <w:rFonts w:ascii="Arial" w:eastAsia="Times New Roman" w:hAnsi="Arial" w:cs="Arial"/>
        </w:rPr>
        <w:t>Cílová skupina, opět prostřednictvím dotazníkového šetření, nejvíce vyzdvihla dosavadní přínos metodických manuálů, resp. jejich vlivu na zpřehlednění nastavení práv a povinností v oblasti bezpečnosti na MMO. Zároveň cílová skupina uvedla jako pozitivní věc fakt, že se díky projektu snížila bezpečnostní rizika na MMO a zároveň postup realizace projektu nezvýšil administrativní zátěž zaměstnanců MMO. Projektový tým MMO navíc v rámci individuálního rozhovoru velmi ocenil práci dodavatelské firmy z oblasti bezpečnosti, která sama označila bezpečnostní procesy na MMO díky projektu za velmi dobře řešené.</w:t>
      </w:r>
    </w:p>
    <w:p w:rsidR="00C418E8" w:rsidRDefault="00C418E8" w:rsidP="00C418E8">
      <w:pPr>
        <w:spacing w:after="60"/>
        <w:jc w:val="both"/>
        <w:rPr>
          <w:rFonts w:ascii="Arial" w:eastAsia="Times New Roman" w:hAnsi="Arial" w:cs="Arial"/>
        </w:rPr>
      </w:pPr>
      <w:r w:rsidRPr="00EA3FD6">
        <w:rPr>
          <w:rFonts w:ascii="Arial" w:eastAsia="Times New Roman" w:hAnsi="Arial" w:cs="Arial"/>
        </w:rPr>
        <w:t>Mimo výše uvedené „procesní aktivity“ projektu lze ještě krátkod</w:t>
      </w:r>
      <w:r w:rsidR="001A5F18" w:rsidRPr="00EA3FD6">
        <w:rPr>
          <w:rFonts w:ascii="Arial" w:eastAsia="Times New Roman" w:hAnsi="Arial" w:cs="Arial"/>
        </w:rPr>
        <w:t>obé výsledky projektu doplnit o </w:t>
      </w:r>
      <w:r w:rsidRPr="00EA3FD6">
        <w:rPr>
          <w:rFonts w:ascii="Arial" w:eastAsia="Times New Roman" w:hAnsi="Arial" w:cs="Arial"/>
        </w:rPr>
        <w:t>zvýšení povědomí zaměstnanců MMO o systé</w:t>
      </w:r>
      <w:r w:rsidR="001A5F18" w:rsidRPr="00EA3FD6">
        <w:rPr>
          <w:rFonts w:ascii="Arial" w:eastAsia="Times New Roman" w:hAnsi="Arial" w:cs="Arial"/>
        </w:rPr>
        <w:t>mu bezpečnostních procesů, které</w:t>
      </w:r>
      <w:r w:rsidRPr="00EA3FD6">
        <w:rPr>
          <w:rFonts w:ascii="Arial" w:eastAsia="Times New Roman" w:hAnsi="Arial" w:cs="Arial"/>
        </w:rPr>
        <w:t xml:space="preserve"> </w:t>
      </w:r>
      <w:r w:rsidR="001A5F18" w:rsidRPr="00EA3FD6">
        <w:rPr>
          <w:rFonts w:ascii="Arial" w:eastAsia="Times New Roman" w:hAnsi="Arial" w:cs="Arial"/>
        </w:rPr>
        <w:t>jsou na úřadě již implementovány</w:t>
      </w:r>
      <w:r w:rsidRPr="00EA3FD6">
        <w:rPr>
          <w:rFonts w:ascii="Arial" w:eastAsia="Times New Roman" w:hAnsi="Arial" w:cs="Arial"/>
        </w:rPr>
        <w:t>, resp. je jejich implementace v plánu. V tomto kontextu byli informován</w:t>
      </w:r>
      <w:r w:rsidR="001A5F18" w:rsidRPr="00EA3FD6">
        <w:rPr>
          <w:rFonts w:ascii="Arial" w:eastAsia="Times New Roman" w:hAnsi="Arial" w:cs="Arial"/>
        </w:rPr>
        <w:t>í zejména vedoucí zaměstnanci MM</w:t>
      </w:r>
      <w:r w:rsidRPr="00EA3FD6">
        <w:rPr>
          <w:rFonts w:ascii="Arial" w:eastAsia="Times New Roman" w:hAnsi="Arial" w:cs="Arial"/>
        </w:rPr>
        <w:t>O, resp. zaměstnanci MMO, kterých se problemat</w:t>
      </w:r>
      <w:r w:rsidR="001A5F18" w:rsidRPr="00EA3FD6">
        <w:rPr>
          <w:rFonts w:ascii="Arial" w:eastAsia="Times New Roman" w:hAnsi="Arial" w:cs="Arial"/>
        </w:rPr>
        <w:t>ika bezpečnostních procesů na MM</w:t>
      </w:r>
      <w:r w:rsidRPr="00EA3FD6">
        <w:rPr>
          <w:rFonts w:ascii="Arial" w:eastAsia="Times New Roman" w:hAnsi="Arial" w:cs="Arial"/>
        </w:rPr>
        <w:t>O přímo týká. K tomuto účelu je mimo jiné založena projektová knihovna, která v prostorách MMO, resp. na intranetu MMO poskytuje sdílený prostor pro přenos informací a komunikaci v oblasti řízení bezpečnostních procesů na MMO.</w:t>
      </w:r>
    </w:p>
    <w:p w:rsidR="00445D26" w:rsidRDefault="00445D26" w:rsidP="00C418E8">
      <w:pPr>
        <w:spacing w:after="60"/>
        <w:jc w:val="both"/>
        <w:rPr>
          <w:rFonts w:ascii="Arial" w:eastAsia="Times New Roman" w:hAnsi="Arial" w:cs="Arial"/>
        </w:rPr>
      </w:pPr>
    </w:p>
    <w:p w:rsidR="00445D26" w:rsidRPr="00445D26" w:rsidRDefault="00445D26" w:rsidP="00445D26">
      <w:pPr>
        <w:spacing w:after="60"/>
        <w:jc w:val="both"/>
        <w:rPr>
          <w:rFonts w:ascii="Arial" w:eastAsia="Times New Roman" w:hAnsi="Arial" w:cs="Arial"/>
          <w:b/>
        </w:rPr>
      </w:pPr>
      <w:bookmarkStart w:id="5" w:name="_Toc321231514"/>
      <w:r w:rsidRPr="00445D26">
        <w:rPr>
          <w:rFonts w:ascii="Arial" w:eastAsia="Times New Roman" w:hAnsi="Arial" w:cs="Arial"/>
          <w:b/>
        </w:rPr>
        <w:t>Klíčové faktory pro dosažení výsledků</w:t>
      </w:r>
      <w:bookmarkEnd w:id="5"/>
    </w:p>
    <w:p w:rsidR="00445D26" w:rsidRPr="00445D26" w:rsidRDefault="00445D26" w:rsidP="00445D26">
      <w:pPr>
        <w:spacing w:after="0"/>
        <w:jc w:val="both"/>
        <w:rPr>
          <w:rFonts w:ascii="Arial" w:eastAsia="Times New Roman" w:hAnsi="Arial" w:cs="Arial"/>
        </w:rPr>
      </w:pPr>
      <w:r w:rsidRPr="00445D26">
        <w:rPr>
          <w:rFonts w:ascii="Arial" w:eastAsia="Times New Roman" w:hAnsi="Arial" w:cs="Arial"/>
        </w:rPr>
        <w:t>Jako klíčové faktory úspěšné implementace projektu lze uvést:</w:t>
      </w:r>
    </w:p>
    <w:p w:rsidR="00445D26" w:rsidRPr="00445D26" w:rsidRDefault="00445D26" w:rsidP="00445D26">
      <w:pPr>
        <w:pStyle w:val="Odstavecseseznamem"/>
        <w:numPr>
          <w:ilvl w:val="0"/>
          <w:numId w:val="13"/>
        </w:numPr>
        <w:spacing w:before="0" w:beforeAutospacing="0" w:after="0" w:afterAutospacing="0"/>
        <w:jc w:val="both"/>
        <w:rPr>
          <w:rFonts w:ascii="Arial" w:hAnsi="Arial" w:cs="Arial"/>
        </w:rPr>
      </w:pPr>
      <w:r w:rsidRPr="00445D26">
        <w:rPr>
          <w:rFonts w:ascii="Arial" w:hAnsi="Arial" w:cs="Arial"/>
        </w:rPr>
        <w:t>ochotu cílové skupin zapojit se do projektu (v rámci analytické i implementační fáze),</w:t>
      </w:r>
    </w:p>
    <w:p w:rsidR="00445D26" w:rsidRPr="00445D26" w:rsidRDefault="00445D26" w:rsidP="00445D26">
      <w:pPr>
        <w:pStyle w:val="Odstavecseseznamem"/>
        <w:numPr>
          <w:ilvl w:val="0"/>
          <w:numId w:val="13"/>
        </w:numPr>
        <w:spacing w:before="0" w:beforeAutospacing="0" w:after="0" w:afterAutospacing="0"/>
        <w:jc w:val="both"/>
        <w:rPr>
          <w:rFonts w:ascii="Arial" w:hAnsi="Arial" w:cs="Arial"/>
        </w:rPr>
      </w:pPr>
      <w:r w:rsidRPr="00445D26">
        <w:rPr>
          <w:rFonts w:ascii="Arial" w:hAnsi="Arial" w:cs="Arial"/>
        </w:rPr>
        <w:t xml:space="preserve">kvalitu spolupráce poskytovaných služeb ze strany dodavatelské firmy, </w:t>
      </w:r>
    </w:p>
    <w:p w:rsidR="00445D26" w:rsidRPr="00445D26" w:rsidRDefault="00445D26" w:rsidP="00445D26">
      <w:pPr>
        <w:pStyle w:val="Odstavecseseznamem"/>
        <w:numPr>
          <w:ilvl w:val="0"/>
          <w:numId w:val="13"/>
        </w:numPr>
        <w:spacing w:before="0" w:beforeAutospacing="0" w:after="0" w:afterAutospacing="0"/>
        <w:jc w:val="both"/>
        <w:rPr>
          <w:rFonts w:ascii="Arial" w:hAnsi="Arial" w:cs="Arial"/>
        </w:rPr>
      </w:pPr>
      <w:r w:rsidRPr="00445D26">
        <w:rPr>
          <w:rFonts w:ascii="Arial" w:hAnsi="Arial" w:cs="Arial"/>
        </w:rPr>
        <w:t xml:space="preserve">kvalitu projektového týmu MMO. </w:t>
      </w:r>
    </w:p>
    <w:p w:rsidR="00445D26" w:rsidRDefault="00445D26" w:rsidP="00445D26">
      <w:pPr>
        <w:pStyle w:val="Odstavecseseznamem"/>
        <w:numPr>
          <w:ilvl w:val="0"/>
          <w:numId w:val="13"/>
        </w:numPr>
        <w:spacing w:before="0" w:beforeAutospacing="0" w:after="0" w:afterAutospacing="0"/>
        <w:jc w:val="both"/>
        <w:rPr>
          <w:rFonts w:ascii="Arial" w:hAnsi="Arial" w:cs="Arial"/>
        </w:rPr>
      </w:pPr>
      <w:r w:rsidRPr="00445D26">
        <w:rPr>
          <w:rFonts w:ascii="Arial" w:hAnsi="Arial" w:cs="Arial"/>
        </w:rPr>
        <w:t>Všechny toto faktory mají vliv na kvalitu metodických materiálů, které budou do budoucna bezpečnostní procesy v prostředí MMO řídit.</w:t>
      </w:r>
    </w:p>
    <w:p w:rsidR="00445D26" w:rsidRPr="00445D26" w:rsidRDefault="00445D26" w:rsidP="00445D26">
      <w:pPr>
        <w:pStyle w:val="Odstavecseseznamem"/>
        <w:spacing w:before="0" w:beforeAutospacing="0" w:after="0" w:afterAutospacing="0"/>
        <w:ind w:left="720"/>
        <w:jc w:val="both"/>
        <w:rPr>
          <w:rFonts w:ascii="Arial" w:hAnsi="Arial" w:cs="Arial"/>
        </w:rPr>
      </w:pPr>
    </w:p>
    <w:p w:rsidR="00445D26" w:rsidRPr="00445D26" w:rsidRDefault="00445D26" w:rsidP="00445D26">
      <w:pPr>
        <w:spacing w:after="60"/>
        <w:jc w:val="both"/>
        <w:rPr>
          <w:rFonts w:ascii="Arial" w:eastAsia="Times New Roman" w:hAnsi="Arial" w:cs="Arial"/>
          <w:b/>
        </w:rPr>
      </w:pPr>
      <w:bookmarkStart w:id="6" w:name="_Toc321231515"/>
      <w:r w:rsidRPr="00445D26">
        <w:rPr>
          <w:rFonts w:ascii="Arial" w:eastAsia="Times New Roman" w:hAnsi="Arial" w:cs="Arial"/>
          <w:b/>
        </w:rPr>
        <w:t>Dlouhodobé výsledky projektu</w:t>
      </w:r>
      <w:bookmarkEnd w:id="6"/>
    </w:p>
    <w:p w:rsidR="00445D26" w:rsidRDefault="00445D26" w:rsidP="00445D26">
      <w:pPr>
        <w:spacing w:after="60"/>
        <w:jc w:val="both"/>
        <w:rPr>
          <w:rFonts w:ascii="Arial" w:eastAsia="Times New Roman" w:hAnsi="Arial" w:cs="Arial"/>
        </w:rPr>
      </w:pPr>
      <w:r w:rsidRPr="00445D26">
        <w:rPr>
          <w:rFonts w:ascii="Arial" w:eastAsia="Times New Roman" w:hAnsi="Arial" w:cs="Arial"/>
        </w:rPr>
        <w:t>Z hlediska dlouhodobých výsledků lze za klíčové považovat především splnění návaznosti předpokládaných kroků v projektu, tj. kontinuální vyhodnocování a aktualizace Implementačního manuálu a navazujících metodik na základě analýzy bezpečnostních rizik pro jednotlivá pracoviště a činnosti MMO, resp. monitoring jednotlivých kroků projektu z hlediska hlavních cílů projektu, tj. zvýšení bezpečnostních procesů na MMO a zefektivnění systému bezpečnostních procesů na MMO. Při splnění těchto dlouhodobých cílů dojde ke zvýšení kvality řízení na MMO, tj. na úřadu územní veřejné správy a bude tak naplněn specifický cíl oblasti podpory OP LZZ.</w:t>
      </w:r>
      <w:r>
        <w:rPr>
          <w:rFonts w:ascii="Arial" w:eastAsia="Times New Roman" w:hAnsi="Arial" w:cs="Arial"/>
        </w:rPr>
        <w:t xml:space="preserve"> </w:t>
      </w:r>
      <w:r w:rsidRPr="00445D26">
        <w:rPr>
          <w:rFonts w:ascii="Arial" w:eastAsia="Times New Roman" w:hAnsi="Arial" w:cs="Arial"/>
        </w:rPr>
        <w:t>V případě hodnocení dlouhodobých výsledků projektu je prozatím příliš brzy (projekt oficiálně skončil 30.</w:t>
      </w:r>
      <w:r>
        <w:rPr>
          <w:rFonts w:ascii="Arial" w:eastAsia="Times New Roman" w:hAnsi="Arial" w:cs="Arial"/>
        </w:rPr>
        <w:t xml:space="preserve"> </w:t>
      </w:r>
      <w:r w:rsidRPr="00445D26">
        <w:rPr>
          <w:rFonts w:ascii="Arial" w:eastAsia="Times New Roman" w:hAnsi="Arial" w:cs="Arial"/>
        </w:rPr>
        <w:t>9.</w:t>
      </w:r>
      <w:r>
        <w:rPr>
          <w:rFonts w:ascii="Arial" w:eastAsia="Times New Roman" w:hAnsi="Arial" w:cs="Arial"/>
        </w:rPr>
        <w:t xml:space="preserve"> </w:t>
      </w:r>
      <w:r w:rsidRPr="00445D26">
        <w:rPr>
          <w:rFonts w:ascii="Arial" w:eastAsia="Times New Roman" w:hAnsi="Arial" w:cs="Arial"/>
        </w:rPr>
        <w:t xml:space="preserve">2011). Stěžejní část reálné implementace bude započata na jaře tohoto roku. K hodnocení konkrétních dopadů do praxe MMO evaluátor doporučuje přistoupit na konci tohoto roku, tj. rok po oficiálním ukončení projektu. </w:t>
      </w:r>
    </w:p>
    <w:p w:rsidR="001A5F18" w:rsidRPr="001A5F18" w:rsidRDefault="001A5F18" w:rsidP="00445D26">
      <w:pPr>
        <w:spacing w:after="60"/>
        <w:rPr>
          <w:rFonts w:cstheme="minorHAnsi"/>
          <w:b/>
        </w:rPr>
      </w:pPr>
      <w:r w:rsidRPr="00EA3FD6">
        <w:rPr>
          <w:rFonts w:ascii="Arial" w:hAnsi="Arial" w:cs="Arial"/>
        </w:rPr>
        <w:t xml:space="preserve">Kompletní znění této případové studie je dostupné na </w:t>
      </w:r>
      <w:hyperlink r:id="rId12" w:history="1">
        <w:r w:rsidRPr="00EA3FD6">
          <w:rPr>
            <w:rStyle w:val="Hypertextovodkaz"/>
            <w:rFonts w:ascii="Arial" w:hAnsi="Arial" w:cs="Arial"/>
          </w:rPr>
          <w:t>https://forum.esfcr.cz/node/discussion.files.htm?ident=50&amp;1334219154</w:t>
        </w:r>
      </w:hyperlink>
      <w:r w:rsidRPr="001A5F18">
        <w:rPr>
          <w:rStyle w:val="Hypertextovodkaz"/>
        </w:rPr>
        <w:t>.</w:t>
      </w:r>
    </w:p>
    <w:sectPr w:rsidR="001A5F18" w:rsidRPr="001A5F18" w:rsidSect="00445D26">
      <w:pgSz w:w="11906" w:h="16838"/>
      <w:pgMar w:top="1418" w:right="1418" w:bottom="993"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5F18" w:rsidRDefault="001A5F18" w:rsidP="00916FA6">
      <w:pPr>
        <w:spacing w:after="0" w:line="240" w:lineRule="auto"/>
      </w:pPr>
      <w:r>
        <w:separator/>
      </w:r>
    </w:p>
  </w:endnote>
  <w:endnote w:type="continuationSeparator" w:id="0">
    <w:p w:rsidR="001A5F18" w:rsidRDefault="001A5F18" w:rsidP="00916F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10002FF" w:usb1="4000ACFF" w:usb2="00000009"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3212948"/>
      <w:docPartObj>
        <w:docPartGallery w:val="Page Numbers (Bottom of Page)"/>
        <w:docPartUnique/>
      </w:docPartObj>
    </w:sdtPr>
    <w:sdtEndPr/>
    <w:sdtContent>
      <w:p w:rsidR="001A5F18" w:rsidRDefault="001A5F18">
        <w:pPr>
          <w:pStyle w:val="Zpat"/>
          <w:jc w:val="center"/>
        </w:pPr>
        <w:r>
          <w:fldChar w:fldCharType="begin"/>
        </w:r>
        <w:r>
          <w:instrText>PAGE   \* MERGEFORMAT</w:instrText>
        </w:r>
        <w:r>
          <w:fldChar w:fldCharType="separate"/>
        </w:r>
        <w:r w:rsidR="00C26184">
          <w:rPr>
            <w:noProof/>
          </w:rPr>
          <w:t>4</w:t>
        </w:r>
        <w:r>
          <w:fldChar w:fldCharType="end"/>
        </w:r>
      </w:p>
    </w:sdtContent>
  </w:sdt>
  <w:p w:rsidR="001A5F18" w:rsidRDefault="001A5F1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5F18" w:rsidRDefault="001A5F18" w:rsidP="00916FA6">
      <w:pPr>
        <w:spacing w:after="0" w:line="240" w:lineRule="auto"/>
      </w:pPr>
      <w:r>
        <w:separator/>
      </w:r>
    </w:p>
  </w:footnote>
  <w:footnote w:type="continuationSeparator" w:id="0">
    <w:p w:rsidR="001A5F18" w:rsidRDefault="001A5F18" w:rsidP="00916F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5F18" w:rsidRDefault="00C26184" w:rsidP="00916FA6">
    <w:pPr>
      <w:pStyle w:val="Zhlav"/>
      <w:jc w:val="center"/>
    </w:pPr>
    <w:r>
      <w:rPr>
        <w:noProof/>
        <w:lang w:eastAsia="cs-CZ"/>
      </w:rPr>
      <w:drawing>
        <wp:inline distT="0" distB="0" distL="0" distR="0" wp14:anchorId="2F2E92BD" wp14:editId="28C01EC0">
          <wp:extent cx="5759450" cy="589785"/>
          <wp:effectExtent l="0" t="0" r="0" b="1270"/>
          <wp:docPr id="5" name="Obrázek 5" descr="slogan_RGB_ver1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ogan_RGB_ver1_200dpi"/>
                  <pic:cNvPicPr>
                    <a:picLocks noChangeAspect="1" noChangeArrowheads="1"/>
                  </pic:cNvPicPr>
                </pic:nvPicPr>
                <pic:blipFill>
                  <a:blip r:embed="rId1">
                    <a:extLst>
                      <a:ext uri="{28A0092B-C50C-407E-A947-70E740481C1C}">
                        <a14:useLocalDpi xmlns:a14="http://schemas.microsoft.com/office/drawing/2010/main" val="0"/>
                      </a:ext>
                    </a:extLst>
                  </a:blip>
                  <a:srcRect l="4039" t="22983" r="2592" b="19385"/>
                  <a:stretch>
                    <a:fillRect/>
                  </a:stretch>
                </pic:blipFill>
                <pic:spPr bwMode="auto">
                  <a:xfrm>
                    <a:off x="0" y="0"/>
                    <a:ext cx="5759450" cy="589785"/>
                  </a:xfrm>
                  <a:prstGeom prst="rect">
                    <a:avLst/>
                  </a:prstGeom>
                  <a:noFill/>
                  <a:ln>
                    <a:noFill/>
                  </a:ln>
                </pic:spPr>
              </pic:pic>
            </a:graphicData>
          </a:graphic>
        </wp:inline>
      </w:drawing>
    </w:r>
  </w:p>
  <w:p w:rsidR="001A5F18" w:rsidRDefault="001A5F18" w:rsidP="00916FA6">
    <w:pPr>
      <w:pStyle w:val="Zhlav"/>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74A4F"/>
    <w:multiLevelType w:val="hybridMultilevel"/>
    <w:tmpl w:val="684E0A80"/>
    <w:lvl w:ilvl="0" w:tplc="937C8A4E">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2AF067A"/>
    <w:multiLevelType w:val="hybridMultilevel"/>
    <w:tmpl w:val="4016F998"/>
    <w:lvl w:ilvl="0" w:tplc="04050001">
      <w:start w:val="1"/>
      <w:numFmt w:val="bullet"/>
      <w:lvlText w:val=""/>
      <w:lvlJc w:val="left"/>
      <w:pPr>
        <w:ind w:left="862" w:hanging="360"/>
      </w:pPr>
      <w:rPr>
        <w:rFonts w:ascii="Symbol" w:hAnsi="Symbol" w:hint="default"/>
      </w:rPr>
    </w:lvl>
    <w:lvl w:ilvl="1" w:tplc="04050003">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2">
    <w:nsid w:val="14C7569B"/>
    <w:multiLevelType w:val="hybridMultilevel"/>
    <w:tmpl w:val="6E64619A"/>
    <w:lvl w:ilvl="0" w:tplc="56BCF2FC">
      <w:start w:val="9"/>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26D152BE"/>
    <w:multiLevelType w:val="hybridMultilevel"/>
    <w:tmpl w:val="F96AF0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2C3E7A62"/>
    <w:multiLevelType w:val="multilevel"/>
    <w:tmpl w:val="82CC3EB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BD645F2"/>
    <w:multiLevelType w:val="hybridMultilevel"/>
    <w:tmpl w:val="DA407204"/>
    <w:lvl w:ilvl="0" w:tplc="7528FF90">
      <w:start w:val="1"/>
      <w:numFmt w:val="decimal"/>
      <w:lvlText w:val="%1)"/>
      <w:lvlJc w:val="left"/>
      <w:pPr>
        <w:ind w:left="2914" w:hanging="360"/>
      </w:pPr>
      <w:rPr>
        <w:rFonts w:hint="default"/>
        <w:b/>
        <w:color w:val="auto"/>
      </w:rPr>
    </w:lvl>
    <w:lvl w:ilvl="1" w:tplc="04050003">
      <w:start w:val="1"/>
      <w:numFmt w:val="bullet"/>
      <w:lvlText w:val="o"/>
      <w:lvlJc w:val="left"/>
      <w:pPr>
        <w:ind w:left="2576" w:hanging="360"/>
      </w:pPr>
      <w:rPr>
        <w:rFonts w:ascii="Courier New" w:hAnsi="Courier New" w:cs="Courier New" w:hint="default"/>
      </w:rPr>
    </w:lvl>
    <w:lvl w:ilvl="2" w:tplc="04050005" w:tentative="1">
      <w:start w:val="1"/>
      <w:numFmt w:val="bullet"/>
      <w:lvlText w:val=""/>
      <w:lvlJc w:val="left"/>
      <w:pPr>
        <w:ind w:left="3296" w:hanging="360"/>
      </w:pPr>
      <w:rPr>
        <w:rFonts w:ascii="Wingdings" w:hAnsi="Wingdings" w:hint="default"/>
      </w:rPr>
    </w:lvl>
    <w:lvl w:ilvl="3" w:tplc="04050001" w:tentative="1">
      <w:start w:val="1"/>
      <w:numFmt w:val="bullet"/>
      <w:lvlText w:val=""/>
      <w:lvlJc w:val="left"/>
      <w:pPr>
        <w:ind w:left="4016" w:hanging="360"/>
      </w:pPr>
      <w:rPr>
        <w:rFonts w:ascii="Symbol" w:hAnsi="Symbol" w:hint="default"/>
      </w:rPr>
    </w:lvl>
    <w:lvl w:ilvl="4" w:tplc="04050003" w:tentative="1">
      <w:start w:val="1"/>
      <w:numFmt w:val="bullet"/>
      <w:lvlText w:val="o"/>
      <w:lvlJc w:val="left"/>
      <w:pPr>
        <w:ind w:left="4736" w:hanging="360"/>
      </w:pPr>
      <w:rPr>
        <w:rFonts w:ascii="Courier New" w:hAnsi="Courier New" w:cs="Courier New" w:hint="default"/>
      </w:rPr>
    </w:lvl>
    <w:lvl w:ilvl="5" w:tplc="04050005" w:tentative="1">
      <w:start w:val="1"/>
      <w:numFmt w:val="bullet"/>
      <w:lvlText w:val=""/>
      <w:lvlJc w:val="left"/>
      <w:pPr>
        <w:ind w:left="5456" w:hanging="360"/>
      </w:pPr>
      <w:rPr>
        <w:rFonts w:ascii="Wingdings" w:hAnsi="Wingdings" w:hint="default"/>
      </w:rPr>
    </w:lvl>
    <w:lvl w:ilvl="6" w:tplc="04050001" w:tentative="1">
      <w:start w:val="1"/>
      <w:numFmt w:val="bullet"/>
      <w:lvlText w:val=""/>
      <w:lvlJc w:val="left"/>
      <w:pPr>
        <w:ind w:left="6176" w:hanging="360"/>
      </w:pPr>
      <w:rPr>
        <w:rFonts w:ascii="Symbol" w:hAnsi="Symbol" w:hint="default"/>
      </w:rPr>
    </w:lvl>
    <w:lvl w:ilvl="7" w:tplc="04050003" w:tentative="1">
      <w:start w:val="1"/>
      <w:numFmt w:val="bullet"/>
      <w:lvlText w:val="o"/>
      <w:lvlJc w:val="left"/>
      <w:pPr>
        <w:ind w:left="6896" w:hanging="360"/>
      </w:pPr>
      <w:rPr>
        <w:rFonts w:ascii="Courier New" w:hAnsi="Courier New" w:cs="Courier New" w:hint="default"/>
      </w:rPr>
    </w:lvl>
    <w:lvl w:ilvl="8" w:tplc="04050005" w:tentative="1">
      <w:start w:val="1"/>
      <w:numFmt w:val="bullet"/>
      <w:lvlText w:val=""/>
      <w:lvlJc w:val="left"/>
      <w:pPr>
        <w:ind w:left="7616" w:hanging="360"/>
      </w:pPr>
      <w:rPr>
        <w:rFonts w:ascii="Wingdings" w:hAnsi="Wingdings" w:hint="default"/>
      </w:rPr>
    </w:lvl>
  </w:abstractNum>
  <w:abstractNum w:abstractNumId="6">
    <w:nsid w:val="449C5602"/>
    <w:multiLevelType w:val="hybridMultilevel"/>
    <w:tmpl w:val="C186E2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56454D9E"/>
    <w:multiLevelType w:val="hybridMultilevel"/>
    <w:tmpl w:val="DABC0A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5E3609BE"/>
    <w:multiLevelType w:val="hybridMultilevel"/>
    <w:tmpl w:val="F61AF88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68055B21"/>
    <w:multiLevelType w:val="hybridMultilevel"/>
    <w:tmpl w:val="734A457C"/>
    <w:lvl w:ilvl="0" w:tplc="04050003">
      <w:start w:val="1"/>
      <w:numFmt w:val="bullet"/>
      <w:lvlText w:val="o"/>
      <w:lvlJc w:val="left"/>
      <w:pPr>
        <w:ind w:left="1004" w:hanging="360"/>
      </w:pPr>
      <w:rPr>
        <w:rFonts w:ascii="Courier New" w:hAnsi="Courier New" w:cs="Courier New"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
    <w:nsid w:val="79BF77E2"/>
    <w:multiLevelType w:val="hybridMultilevel"/>
    <w:tmpl w:val="DC8C782E"/>
    <w:lvl w:ilvl="0" w:tplc="04050003">
      <w:start w:val="1"/>
      <w:numFmt w:val="bullet"/>
      <w:lvlText w:val="o"/>
      <w:lvlJc w:val="left"/>
      <w:pPr>
        <w:ind w:left="1287" w:hanging="360"/>
      </w:pPr>
      <w:rPr>
        <w:rFonts w:ascii="Courier New" w:hAnsi="Courier New" w:cs="Courier New"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num w:numId="1">
    <w:abstractNumId w:val="10"/>
  </w:num>
  <w:num w:numId="2">
    <w:abstractNumId w:val="9"/>
  </w:num>
  <w:num w:numId="3">
    <w:abstractNumId w:val="7"/>
  </w:num>
  <w:num w:numId="4">
    <w:abstractNumId w:val="3"/>
  </w:num>
  <w:num w:numId="5">
    <w:abstractNumId w:val="4"/>
  </w:num>
  <w:num w:numId="6">
    <w:abstractNumId w:val="5"/>
  </w:num>
  <w:num w:numId="7">
    <w:abstractNumId w:val="1"/>
  </w:num>
  <w:num w:numId="8">
    <w:abstractNumId w:val="0"/>
  </w:num>
  <w:num w:numId="9">
    <w:abstractNumId w:val="2"/>
  </w:num>
  <w:num w:numId="10">
    <w:abstractNumId w:val="2"/>
  </w:num>
  <w:num w:numId="11">
    <w:abstractNumId w:val="2"/>
  </w:num>
  <w:num w:numId="12">
    <w:abstractNumId w:val="6"/>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770"/>
    <w:rsid w:val="00020321"/>
    <w:rsid w:val="00030EE3"/>
    <w:rsid w:val="000B3C0B"/>
    <w:rsid w:val="000B3C95"/>
    <w:rsid w:val="001963C5"/>
    <w:rsid w:val="001A5F18"/>
    <w:rsid w:val="001B1D15"/>
    <w:rsid w:val="002477C4"/>
    <w:rsid w:val="00422AA3"/>
    <w:rsid w:val="00440FE0"/>
    <w:rsid w:val="00443054"/>
    <w:rsid w:val="00445D26"/>
    <w:rsid w:val="004E56E8"/>
    <w:rsid w:val="0050760C"/>
    <w:rsid w:val="00514C2A"/>
    <w:rsid w:val="00544B32"/>
    <w:rsid w:val="00600DDD"/>
    <w:rsid w:val="007F5F32"/>
    <w:rsid w:val="008634AD"/>
    <w:rsid w:val="00916FA6"/>
    <w:rsid w:val="009C51C9"/>
    <w:rsid w:val="00B10770"/>
    <w:rsid w:val="00C26184"/>
    <w:rsid w:val="00C418E8"/>
    <w:rsid w:val="00C86D04"/>
    <w:rsid w:val="00DA7EBC"/>
    <w:rsid w:val="00DC1674"/>
    <w:rsid w:val="00DC5891"/>
    <w:rsid w:val="00EA0B90"/>
    <w:rsid w:val="00EA3FD6"/>
    <w:rsid w:val="00EE1051"/>
    <w:rsid w:val="00FF304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445D26"/>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uiPriority w:val="35"/>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paragraph" w:styleId="Obsah2">
    <w:name w:val="toc 2"/>
    <w:basedOn w:val="Normln"/>
    <w:next w:val="Normln"/>
    <w:autoRedefine/>
    <w:uiPriority w:val="39"/>
    <w:rsid w:val="000B3C0B"/>
    <w:pPr>
      <w:suppressAutoHyphens/>
      <w:spacing w:after="0" w:line="240" w:lineRule="auto"/>
      <w:ind w:left="240"/>
    </w:pPr>
    <w:rPr>
      <w:rFonts w:ascii="Times New Roman" w:eastAsia="Calibri" w:hAnsi="Times New Roman" w:cs="Times New Roman"/>
      <w:smallCaps/>
      <w:sz w:val="24"/>
      <w:szCs w:val="24"/>
      <w:lang w:eastAsia="ar-SA"/>
    </w:rPr>
  </w:style>
  <w:style w:type="table" w:styleId="Mkatabulky">
    <w:name w:val="Table Grid"/>
    <w:basedOn w:val="Normlntabulka"/>
    <w:uiPriority w:val="59"/>
    <w:rsid w:val="002477C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dpis2Char">
    <w:name w:val="Nadpis 2 Char"/>
    <w:basedOn w:val="Standardnpsmoodstavce"/>
    <w:link w:val="Nadpis2"/>
    <w:uiPriority w:val="9"/>
    <w:semiHidden/>
    <w:rsid w:val="00445D26"/>
    <w:rPr>
      <w:rFonts w:ascii="Calibri" w:eastAsiaTheme="majorEastAsia" w:hAnsi="Calibri" w:cstheme="majorBidi"/>
      <w:b/>
      <w:bCs/>
      <w:color w:val="1F497D"/>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16F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445D26"/>
    <w:pPr>
      <w:keepNext/>
      <w:keepLines/>
      <w:spacing w:after="60"/>
      <w:outlineLvl w:val="1"/>
    </w:pPr>
    <w:rPr>
      <w:rFonts w:ascii="Calibri" w:eastAsiaTheme="majorEastAsia" w:hAnsi="Calibri" w:cstheme="majorBidi"/>
      <w:b/>
      <w:bCs/>
      <w:color w:val="1F497D"/>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916F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916FA6"/>
  </w:style>
  <w:style w:type="paragraph" w:styleId="Zpat">
    <w:name w:val="footer"/>
    <w:basedOn w:val="Normln"/>
    <w:link w:val="ZpatChar"/>
    <w:uiPriority w:val="99"/>
    <w:unhideWhenUsed/>
    <w:rsid w:val="00916FA6"/>
    <w:pPr>
      <w:tabs>
        <w:tab w:val="center" w:pos="4536"/>
        <w:tab w:val="right" w:pos="9072"/>
      </w:tabs>
      <w:spacing w:after="0" w:line="240" w:lineRule="auto"/>
    </w:pPr>
  </w:style>
  <w:style w:type="character" w:customStyle="1" w:styleId="ZpatChar">
    <w:name w:val="Zápatí Char"/>
    <w:basedOn w:val="Standardnpsmoodstavce"/>
    <w:link w:val="Zpat"/>
    <w:uiPriority w:val="99"/>
    <w:rsid w:val="00916FA6"/>
  </w:style>
  <w:style w:type="paragraph" w:styleId="Textbubliny">
    <w:name w:val="Balloon Text"/>
    <w:basedOn w:val="Normln"/>
    <w:link w:val="TextbublinyChar"/>
    <w:uiPriority w:val="99"/>
    <w:semiHidden/>
    <w:unhideWhenUsed/>
    <w:rsid w:val="00916F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16FA6"/>
    <w:rPr>
      <w:rFonts w:ascii="Tahoma" w:hAnsi="Tahoma" w:cs="Tahoma"/>
      <w:sz w:val="16"/>
      <w:szCs w:val="16"/>
    </w:rPr>
  </w:style>
  <w:style w:type="character" w:styleId="Hypertextovodkaz">
    <w:name w:val="Hyperlink"/>
    <w:uiPriority w:val="99"/>
    <w:rsid w:val="00916FA6"/>
    <w:rPr>
      <w:color w:val="0000FF"/>
      <w:u w:val="single"/>
    </w:rPr>
  </w:style>
  <w:style w:type="paragraph" w:styleId="Zkladntext">
    <w:name w:val="Body Text"/>
    <w:aliases w:val="Standard paragraph"/>
    <w:basedOn w:val="Normln"/>
    <w:link w:val="ZkladntextChar"/>
    <w:rsid w:val="00916FA6"/>
    <w:pPr>
      <w:suppressAutoHyphens/>
      <w:spacing w:after="0" w:line="240" w:lineRule="auto"/>
    </w:pPr>
    <w:rPr>
      <w:rFonts w:ascii="Arial" w:eastAsia="Calibri" w:hAnsi="Arial" w:cs="Arial"/>
      <w:sz w:val="20"/>
      <w:szCs w:val="24"/>
      <w:lang w:eastAsia="ar-SA"/>
    </w:rPr>
  </w:style>
  <w:style w:type="character" w:customStyle="1" w:styleId="ZkladntextChar">
    <w:name w:val="Základní text Char"/>
    <w:aliases w:val="Standard paragraph Char"/>
    <w:basedOn w:val="Standardnpsmoodstavce"/>
    <w:link w:val="Zkladntext"/>
    <w:rsid w:val="00916FA6"/>
    <w:rPr>
      <w:rFonts w:ascii="Arial" w:eastAsia="Calibri" w:hAnsi="Arial" w:cs="Arial"/>
      <w:sz w:val="20"/>
      <w:szCs w:val="24"/>
      <w:lang w:eastAsia="ar-SA"/>
    </w:rPr>
  </w:style>
  <w:style w:type="paragraph" w:styleId="Textpoznpodarou">
    <w:name w:val="footnote text"/>
    <w:aliases w:val="Footnote,Text poznámky pod čiarou 007,pozn. pod čarou,Schriftart: 9 pt,Schriftart: 10 pt,Schriftart: 8 pt,Podrozdział,Podrozdzia3,Footnote Text Char1,Footnote Text Char Char,Footnote Text Char3 Char Char,Footnote Text Char,Geneva 9"/>
    <w:basedOn w:val="Normln"/>
    <w:link w:val="TextpoznpodarouChar"/>
    <w:uiPriority w:val="99"/>
    <w:rsid w:val="00916FA6"/>
    <w:pPr>
      <w:suppressAutoHyphens/>
      <w:spacing w:after="0" w:line="240" w:lineRule="auto"/>
    </w:pPr>
    <w:rPr>
      <w:rFonts w:ascii="Arial" w:eastAsia="Calibri" w:hAnsi="Arial" w:cs="Times New Roman"/>
      <w:sz w:val="20"/>
      <w:szCs w:val="20"/>
      <w:lang w:eastAsia="ar-SA"/>
    </w:rPr>
  </w:style>
  <w:style w:type="character" w:customStyle="1" w:styleId="TextpoznpodarouChar">
    <w:name w:val="Text pozn. pod čarou Char"/>
    <w:aliases w:val="Footnote Char,Text poznámky pod čiarou 007 Char,pozn. pod čarou Char,Schriftart: 9 pt Char,Schriftart: 10 pt Char,Schriftart: 8 pt Char,Podrozdział Char,Podrozdzia3 Char,Footnote Text Char1 Char,Footnote Text Char Char Char"/>
    <w:basedOn w:val="Standardnpsmoodstavce"/>
    <w:link w:val="Textpoznpodarou"/>
    <w:uiPriority w:val="99"/>
    <w:rsid w:val="00916FA6"/>
    <w:rPr>
      <w:rFonts w:ascii="Arial" w:eastAsia="Calibri" w:hAnsi="Arial" w:cs="Times New Roman"/>
      <w:sz w:val="20"/>
      <w:szCs w:val="20"/>
      <w:lang w:eastAsia="ar-SA"/>
    </w:rPr>
  </w:style>
  <w:style w:type="character" w:styleId="Znakapoznpodarou">
    <w:name w:val="footnote reference"/>
    <w:aliases w:val="PGI Fußnote Ziffer"/>
    <w:uiPriority w:val="99"/>
    <w:semiHidden/>
    <w:rsid w:val="00916FA6"/>
    <w:rPr>
      <w:vertAlign w:val="superscript"/>
    </w:rPr>
  </w:style>
  <w:style w:type="paragraph" w:styleId="Titulek">
    <w:name w:val="caption"/>
    <w:basedOn w:val="Normln"/>
    <w:next w:val="Normln"/>
    <w:uiPriority w:val="35"/>
    <w:qFormat/>
    <w:rsid w:val="00916FA6"/>
    <w:pPr>
      <w:spacing w:after="0" w:line="312" w:lineRule="auto"/>
      <w:jc w:val="both"/>
    </w:pPr>
    <w:rPr>
      <w:rFonts w:ascii="Arial" w:eastAsia="Times New Roman" w:hAnsi="Arial" w:cs="Arial"/>
      <w:b/>
      <w:bCs/>
      <w:sz w:val="20"/>
      <w:szCs w:val="20"/>
      <w:lang w:eastAsia="cs-CZ"/>
    </w:rPr>
  </w:style>
  <w:style w:type="paragraph" w:styleId="Odstavecseseznamem">
    <w:name w:val="List Paragraph"/>
    <w:basedOn w:val="Normln"/>
    <w:uiPriority w:val="34"/>
    <w:qFormat/>
    <w:rsid w:val="00916FA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Styl1">
    <w:name w:val="Styl1"/>
    <w:basedOn w:val="Nadpis1"/>
    <w:link w:val="Styl1Char"/>
    <w:qFormat/>
    <w:rsid w:val="00916FA6"/>
    <w:pPr>
      <w:spacing w:before="0" w:after="120"/>
    </w:pPr>
    <w:rPr>
      <w:rFonts w:ascii="Calibri" w:eastAsia="Times New Roman" w:hAnsi="Calibri" w:cs="Calibri"/>
      <w:color w:val="1F497D"/>
      <w:sz w:val="24"/>
      <w:u w:val="single"/>
      <w:lang w:eastAsia="ar-SA"/>
    </w:rPr>
  </w:style>
  <w:style w:type="character" w:customStyle="1" w:styleId="Styl1Char">
    <w:name w:val="Styl1 Char"/>
    <w:link w:val="Styl1"/>
    <w:rsid w:val="00916FA6"/>
    <w:rPr>
      <w:rFonts w:ascii="Calibri" w:eastAsia="Times New Roman" w:hAnsi="Calibri" w:cs="Calibri"/>
      <w:b/>
      <w:bCs/>
      <w:color w:val="1F497D"/>
      <w:sz w:val="24"/>
      <w:szCs w:val="28"/>
      <w:u w:val="single"/>
      <w:lang w:eastAsia="ar-SA"/>
    </w:rPr>
  </w:style>
  <w:style w:type="character" w:customStyle="1" w:styleId="Nadpis1Char">
    <w:name w:val="Nadpis 1 Char"/>
    <w:basedOn w:val="Standardnpsmoodstavce"/>
    <w:link w:val="Nadpis1"/>
    <w:uiPriority w:val="9"/>
    <w:rsid w:val="00916FA6"/>
    <w:rPr>
      <w:rFonts w:asciiTheme="majorHAnsi" w:eastAsiaTheme="majorEastAsia" w:hAnsiTheme="majorHAnsi" w:cstheme="majorBidi"/>
      <w:b/>
      <w:bCs/>
      <w:color w:val="365F91" w:themeColor="accent1" w:themeShade="BF"/>
      <w:sz w:val="28"/>
      <w:szCs w:val="28"/>
    </w:rPr>
  </w:style>
  <w:style w:type="paragraph" w:styleId="Obsah2">
    <w:name w:val="toc 2"/>
    <w:basedOn w:val="Normln"/>
    <w:next w:val="Normln"/>
    <w:autoRedefine/>
    <w:uiPriority w:val="39"/>
    <w:rsid w:val="000B3C0B"/>
    <w:pPr>
      <w:suppressAutoHyphens/>
      <w:spacing w:after="0" w:line="240" w:lineRule="auto"/>
      <w:ind w:left="240"/>
    </w:pPr>
    <w:rPr>
      <w:rFonts w:ascii="Times New Roman" w:eastAsia="Calibri" w:hAnsi="Times New Roman" w:cs="Times New Roman"/>
      <w:smallCaps/>
      <w:sz w:val="24"/>
      <w:szCs w:val="24"/>
      <w:lang w:eastAsia="ar-SA"/>
    </w:rPr>
  </w:style>
  <w:style w:type="table" w:styleId="Mkatabulky">
    <w:name w:val="Table Grid"/>
    <w:basedOn w:val="Normlntabulka"/>
    <w:uiPriority w:val="59"/>
    <w:rsid w:val="002477C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dpis2Char">
    <w:name w:val="Nadpis 2 Char"/>
    <w:basedOn w:val="Standardnpsmoodstavce"/>
    <w:link w:val="Nadpis2"/>
    <w:uiPriority w:val="9"/>
    <w:semiHidden/>
    <w:rsid w:val="00445D26"/>
    <w:rPr>
      <w:rFonts w:ascii="Calibri" w:eastAsiaTheme="majorEastAsia" w:hAnsi="Calibri" w:cstheme="majorBidi"/>
      <w:b/>
      <w:bCs/>
      <w:color w:val="1F497D"/>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5689451">
      <w:bodyDiv w:val="1"/>
      <w:marLeft w:val="0"/>
      <w:marRight w:val="0"/>
      <w:marTop w:val="0"/>
      <w:marBottom w:val="0"/>
      <w:divBdr>
        <w:top w:val="none" w:sz="0" w:space="0" w:color="auto"/>
        <w:left w:val="none" w:sz="0" w:space="0" w:color="auto"/>
        <w:bottom w:val="none" w:sz="0" w:space="0" w:color="auto"/>
        <w:right w:val="none" w:sz="0" w:space="0" w:color="auto"/>
      </w:divBdr>
    </w:div>
    <w:div w:id="1172917830">
      <w:bodyDiv w:val="1"/>
      <w:marLeft w:val="0"/>
      <w:marRight w:val="0"/>
      <w:marTop w:val="0"/>
      <w:marBottom w:val="0"/>
      <w:divBdr>
        <w:top w:val="none" w:sz="0" w:space="0" w:color="auto"/>
        <w:left w:val="none" w:sz="0" w:space="0" w:color="auto"/>
        <w:bottom w:val="none" w:sz="0" w:space="0" w:color="auto"/>
        <w:right w:val="none" w:sz="0" w:space="0" w:color="auto"/>
      </w:divBdr>
    </w:div>
    <w:div w:id="1715807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forum.esfcr.cz/node/discussion.files.htm?ident=50&amp;1334219154"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74139C-C14F-49B2-9E5B-F0CE604909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6</Pages>
  <Words>1719</Words>
  <Characters>10147</Characters>
  <Application>Microsoft Office Word</Application>
  <DocSecurity>0</DocSecurity>
  <Lines>84</Lines>
  <Paragraphs>23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11843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Hábltová Alena (MPSV)</dc:creator>
  <cp:lastModifiedBy>Opočenská Martina Ing. (MPSV)</cp:lastModifiedBy>
  <cp:revision>13</cp:revision>
  <cp:lastPrinted>2012-04-20T12:24:00Z</cp:lastPrinted>
  <dcterms:created xsi:type="dcterms:W3CDTF">2012-04-12T08:05:00Z</dcterms:created>
  <dcterms:modified xsi:type="dcterms:W3CDTF">2012-04-27T12:25:00Z</dcterms:modified>
</cp:coreProperties>
</file>