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52C" w:rsidRDefault="0068052C" w:rsidP="005B4CC6">
      <w:pPr>
        <w:jc w:val="center"/>
        <w:rPr>
          <w:rFonts w:cstheme="minorHAnsi"/>
          <w:b/>
          <w:sz w:val="24"/>
          <w:szCs w:val="24"/>
          <w:u w:val="single"/>
        </w:rPr>
      </w:pPr>
    </w:p>
    <w:p w:rsidR="005B4CC6" w:rsidRPr="00DC5891" w:rsidRDefault="000B6A65" w:rsidP="005B4CC6">
      <w:pPr>
        <w:jc w:val="center"/>
        <w:rPr>
          <w:rFonts w:cstheme="minorHAnsi"/>
          <w:b/>
          <w:sz w:val="24"/>
          <w:szCs w:val="24"/>
          <w:u w:val="single"/>
        </w:rPr>
      </w:pPr>
      <w:r>
        <w:rPr>
          <w:rFonts w:cstheme="minorHAnsi"/>
          <w:b/>
          <w:sz w:val="24"/>
          <w:szCs w:val="24"/>
          <w:u w:val="single"/>
        </w:rPr>
        <w:t>Příloha č. 6</w:t>
      </w:r>
      <w:r w:rsidR="005B4CC6" w:rsidRPr="00DC5891">
        <w:rPr>
          <w:rFonts w:cstheme="minorHAnsi"/>
          <w:b/>
          <w:sz w:val="24"/>
          <w:szCs w:val="24"/>
          <w:u w:val="single"/>
        </w:rPr>
        <w:t xml:space="preserve"> Výroční zprávy OP LZZ 2011</w:t>
      </w:r>
    </w:p>
    <w:p w:rsidR="005B4CC6" w:rsidRPr="0068052C" w:rsidRDefault="005B4CC6" w:rsidP="005B4CC6">
      <w:pPr>
        <w:jc w:val="center"/>
        <w:rPr>
          <w:rFonts w:cstheme="minorHAnsi"/>
          <w:b/>
          <w:i/>
          <w:sz w:val="24"/>
          <w:szCs w:val="24"/>
        </w:rPr>
      </w:pPr>
      <w:r w:rsidRPr="0068052C">
        <w:rPr>
          <w:rFonts w:cstheme="minorHAnsi"/>
          <w:b/>
          <w:i/>
          <w:sz w:val="24"/>
          <w:szCs w:val="24"/>
        </w:rPr>
        <w:t>Případová studie v oblasti podpory 3.1 Podpora sociální integrace a sociálních služeb</w:t>
      </w:r>
    </w:p>
    <w:p w:rsidR="0068052C" w:rsidRPr="0068052C" w:rsidRDefault="0068052C" w:rsidP="005B4CC6">
      <w:pPr>
        <w:jc w:val="center"/>
        <w:rPr>
          <w:rFonts w:ascii="Arial" w:hAnsi="Arial" w:cs="Arial"/>
          <w:b/>
        </w:rPr>
      </w:pPr>
    </w:p>
    <w:tbl>
      <w:tblPr>
        <w:tblStyle w:val="Mkatabulky"/>
        <w:tblW w:w="5000" w:type="pct"/>
        <w:tblBorders>
          <w:top w:val="single" w:sz="18" w:space="0" w:color="1F497D" w:themeColor="text2"/>
          <w:left w:val="single" w:sz="18" w:space="0" w:color="1F497D" w:themeColor="text2"/>
          <w:bottom w:val="single" w:sz="18" w:space="0" w:color="1F497D" w:themeColor="text2"/>
          <w:right w:val="single" w:sz="18" w:space="0" w:color="1F497D" w:themeColor="text2"/>
          <w:insideH w:val="single" w:sz="6" w:space="0" w:color="1F497D" w:themeColor="text2"/>
          <w:insideV w:val="single" w:sz="6" w:space="0" w:color="1F497D" w:themeColor="text2"/>
        </w:tblBorders>
        <w:tblLook w:val="04A0" w:firstRow="1" w:lastRow="0" w:firstColumn="1" w:lastColumn="0" w:noHBand="0" w:noVBand="1"/>
      </w:tblPr>
      <w:tblGrid>
        <w:gridCol w:w="3094"/>
        <w:gridCol w:w="2874"/>
        <w:gridCol w:w="3320"/>
      </w:tblGrid>
      <w:tr w:rsidR="005B4CC6" w:rsidRPr="0068052C" w:rsidTr="00D94929">
        <w:trPr>
          <w:cantSplit/>
          <w:trHeight w:val="493"/>
        </w:trPr>
        <w:tc>
          <w:tcPr>
            <w:tcW w:w="1666" w:type="pct"/>
            <w:tcBorders>
              <w:top w:val="single" w:sz="18" w:space="0" w:color="1F497D" w:themeColor="text2"/>
              <w:bottom w:val="single" w:sz="6" w:space="0" w:color="1F497D" w:themeColor="text2"/>
            </w:tcBorders>
            <w:shd w:val="clear" w:color="auto" w:fill="CCFFCC"/>
          </w:tcPr>
          <w:p w:rsidR="005B4CC6" w:rsidRPr="0068052C" w:rsidRDefault="005B4CC6" w:rsidP="002463F5">
            <w:pPr>
              <w:spacing w:after="60"/>
              <w:rPr>
                <w:rFonts w:ascii="Arial" w:hAnsi="Arial" w:cs="Arial"/>
                <w:b/>
              </w:rPr>
            </w:pPr>
            <w:r w:rsidRPr="0068052C">
              <w:rPr>
                <w:rFonts w:ascii="Arial" w:hAnsi="Arial" w:cs="Arial"/>
                <w:b/>
              </w:rPr>
              <w:t>NÁZEV A PROJEKTU</w:t>
            </w:r>
          </w:p>
        </w:tc>
        <w:tc>
          <w:tcPr>
            <w:tcW w:w="3334" w:type="pct"/>
            <w:gridSpan w:val="2"/>
            <w:tcBorders>
              <w:top w:val="single" w:sz="18" w:space="0" w:color="1F497D" w:themeColor="text2"/>
              <w:bottom w:val="single" w:sz="6" w:space="0" w:color="1F497D" w:themeColor="text2"/>
            </w:tcBorders>
            <w:shd w:val="clear" w:color="auto" w:fill="CCFFCC"/>
          </w:tcPr>
          <w:p w:rsidR="005B4CC6" w:rsidRPr="0068052C" w:rsidRDefault="005B4CC6" w:rsidP="002463F5">
            <w:pPr>
              <w:tabs>
                <w:tab w:val="left" w:pos="2127"/>
              </w:tabs>
              <w:spacing w:after="60"/>
              <w:rPr>
                <w:rFonts w:ascii="Arial" w:hAnsi="Arial" w:cs="Arial"/>
                <w:b/>
                <w:lang w:eastAsia="ar-SA"/>
              </w:rPr>
            </w:pPr>
            <w:r w:rsidRPr="0068052C">
              <w:rPr>
                <w:rFonts w:ascii="Arial" w:hAnsi="Arial" w:cs="Arial"/>
                <w:b/>
                <w:lang w:eastAsia="ar-SA"/>
              </w:rPr>
              <w:t>Komunitní plánování sociálních služeb Písek</w:t>
            </w:r>
          </w:p>
        </w:tc>
      </w:tr>
      <w:tr w:rsidR="005B4CC6" w:rsidRPr="0068052C" w:rsidTr="00D94929">
        <w:trPr>
          <w:trHeight w:val="262"/>
        </w:trPr>
        <w:tc>
          <w:tcPr>
            <w:tcW w:w="1666" w:type="pct"/>
            <w:tcBorders>
              <w:top w:val="single" w:sz="6" w:space="0" w:color="1F497D" w:themeColor="text2"/>
              <w:bottom w:val="single" w:sz="6" w:space="0" w:color="1F497D" w:themeColor="text2"/>
            </w:tcBorders>
            <w:shd w:val="clear" w:color="auto" w:fill="FFFF99"/>
          </w:tcPr>
          <w:p w:rsidR="005B4CC6" w:rsidRPr="0068052C" w:rsidRDefault="005B4CC6" w:rsidP="002463F5">
            <w:pPr>
              <w:spacing w:after="60"/>
              <w:rPr>
                <w:rFonts w:ascii="Arial" w:eastAsia="Times New Roman" w:hAnsi="Arial" w:cs="Arial"/>
                <w:lang w:eastAsia="ar-SA"/>
              </w:rPr>
            </w:pPr>
            <w:r w:rsidRPr="0068052C">
              <w:rPr>
                <w:rFonts w:ascii="Arial" w:eastAsia="Times New Roman" w:hAnsi="Arial" w:cs="Arial"/>
                <w:lang w:eastAsia="ar-SA"/>
              </w:rPr>
              <w:t>Číslo projektu</w:t>
            </w:r>
          </w:p>
        </w:tc>
        <w:tc>
          <w:tcPr>
            <w:tcW w:w="3334" w:type="pct"/>
            <w:gridSpan w:val="2"/>
            <w:tcBorders>
              <w:top w:val="single" w:sz="6"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CZ.1.04/3.1.03/45.00008</w:t>
            </w:r>
          </w:p>
        </w:tc>
      </w:tr>
      <w:tr w:rsidR="005B4CC6" w:rsidRPr="0068052C" w:rsidTr="00D94929">
        <w:trPr>
          <w:trHeight w:val="262"/>
        </w:trPr>
        <w:tc>
          <w:tcPr>
            <w:tcW w:w="1666" w:type="pct"/>
            <w:tcBorders>
              <w:top w:val="single" w:sz="6" w:space="0" w:color="1F497D" w:themeColor="text2"/>
              <w:bottom w:val="single" w:sz="6" w:space="0" w:color="1F497D" w:themeColor="text2"/>
            </w:tcBorders>
            <w:shd w:val="clear" w:color="auto" w:fill="FFFF99"/>
          </w:tcPr>
          <w:p w:rsidR="005B4CC6" w:rsidRPr="0068052C" w:rsidRDefault="005B4CC6" w:rsidP="002463F5">
            <w:pPr>
              <w:spacing w:after="60"/>
              <w:rPr>
                <w:rFonts w:ascii="Arial" w:eastAsia="Times New Roman" w:hAnsi="Arial" w:cs="Arial"/>
                <w:lang w:eastAsia="ar-SA"/>
              </w:rPr>
            </w:pPr>
            <w:r w:rsidRPr="0068052C">
              <w:rPr>
                <w:rFonts w:ascii="Arial" w:eastAsia="Times New Roman" w:hAnsi="Arial" w:cs="Arial"/>
                <w:lang w:eastAsia="ar-SA"/>
              </w:rPr>
              <w:t>Výše rozpočtu (Kč); % dotace</w:t>
            </w:r>
          </w:p>
        </w:tc>
        <w:tc>
          <w:tcPr>
            <w:tcW w:w="3334" w:type="pct"/>
            <w:gridSpan w:val="2"/>
            <w:tcBorders>
              <w:top w:val="single" w:sz="6"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999 228,72 Kč; 100 %</w:t>
            </w:r>
          </w:p>
        </w:tc>
      </w:tr>
      <w:tr w:rsidR="005B4CC6" w:rsidRPr="0068052C" w:rsidTr="00D94929">
        <w:trPr>
          <w:trHeight w:val="262"/>
        </w:trPr>
        <w:tc>
          <w:tcPr>
            <w:tcW w:w="1666" w:type="pct"/>
            <w:tcBorders>
              <w:top w:val="single" w:sz="6" w:space="0" w:color="1F497D" w:themeColor="text2"/>
              <w:bottom w:val="single" w:sz="6" w:space="0" w:color="1F497D" w:themeColor="text2"/>
            </w:tcBorders>
            <w:shd w:val="clear" w:color="auto" w:fill="FFFF99"/>
          </w:tcPr>
          <w:p w:rsidR="005B4CC6" w:rsidRPr="0068052C" w:rsidRDefault="005B4CC6" w:rsidP="002463F5">
            <w:pPr>
              <w:spacing w:after="60"/>
              <w:rPr>
                <w:rFonts w:ascii="Arial" w:eastAsia="Times New Roman" w:hAnsi="Arial" w:cs="Arial"/>
                <w:lang w:eastAsia="ar-SA"/>
              </w:rPr>
            </w:pPr>
            <w:r w:rsidRPr="0068052C">
              <w:rPr>
                <w:rFonts w:ascii="Arial" w:eastAsia="Times New Roman" w:hAnsi="Arial" w:cs="Arial"/>
                <w:lang w:eastAsia="ar-SA"/>
              </w:rPr>
              <w:t>Termín realizace projektu</w:t>
            </w:r>
          </w:p>
        </w:tc>
        <w:tc>
          <w:tcPr>
            <w:tcW w:w="3334" w:type="pct"/>
            <w:gridSpan w:val="2"/>
            <w:tcBorders>
              <w:top w:val="single" w:sz="6"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1. 7. 2010 – 31. 10. 2011</w:t>
            </w:r>
          </w:p>
        </w:tc>
      </w:tr>
      <w:tr w:rsidR="005B4CC6" w:rsidRPr="0068052C" w:rsidTr="00D94929">
        <w:trPr>
          <w:trHeight w:val="262"/>
        </w:trPr>
        <w:tc>
          <w:tcPr>
            <w:tcW w:w="1666" w:type="pct"/>
            <w:tcBorders>
              <w:top w:val="single" w:sz="6" w:space="0" w:color="1F497D" w:themeColor="text2"/>
              <w:bottom w:val="single" w:sz="18" w:space="0" w:color="1F497D" w:themeColor="text2"/>
            </w:tcBorders>
            <w:shd w:val="clear" w:color="auto" w:fill="FFFF99"/>
          </w:tcPr>
          <w:p w:rsidR="005B4CC6" w:rsidRPr="0068052C" w:rsidRDefault="005B4CC6" w:rsidP="002463F5">
            <w:pPr>
              <w:spacing w:after="60"/>
              <w:rPr>
                <w:rFonts w:ascii="Arial" w:eastAsia="Times New Roman" w:hAnsi="Arial" w:cs="Arial"/>
                <w:lang w:eastAsia="ar-SA"/>
              </w:rPr>
            </w:pPr>
            <w:r w:rsidRPr="0068052C">
              <w:rPr>
                <w:rFonts w:ascii="Arial" w:eastAsia="Times New Roman" w:hAnsi="Arial" w:cs="Arial"/>
                <w:lang w:eastAsia="ar-SA"/>
              </w:rPr>
              <w:t>Územní dopady projektu</w:t>
            </w:r>
          </w:p>
        </w:tc>
        <w:tc>
          <w:tcPr>
            <w:tcW w:w="3334" w:type="pct"/>
            <w:gridSpan w:val="2"/>
            <w:tcBorders>
              <w:top w:val="single" w:sz="6" w:space="0" w:color="1F497D" w:themeColor="text2"/>
              <w:bottom w:val="single" w:sz="18"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Jihočeský kraj</w:t>
            </w:r>
          </w:p>
        </w:tc>
      </w:tr>
      <w:tr w:rsidR="005B4CC6" w:rsidRPr="0068052C" w:rsidTr="00D94929">
        <w:trPr>
          <w:trHeight w:val="262"/>
        </w:trPr>
        <w:tc>
          <w:tcPr>
            <w:tcW w:w="1666" w:type="pct"/>
            <w:tcBorders>
              <w:top w:val="single" w:sz="18" w:space="0" w:color="1F497D" w:themeColor="text2"/>
              <w:bottom w:val="single" w:sz="6" w:space="0" w:color="1F497D" w:themeColor="text2"/>
            </w:tcBorders>
            <w:shd w:val="clear" w:color="auto" w:fill="FFFF99"/>
          </w:tcPr>
          <w:p w:rsidR="005B4CC6" w:rsidRPr="0068052C" w:rsidRDefault="005B4CC6" w:rsidP="002463F5">
            <w:pPr>
              <w:spacing w:after="60"/>
              <w:rPr>
                <w:rFonts w:ascii="Arial" w:eastAsia="Times New Roman" w:hAnsi="Arial" w:cs="Arial"/>
                <w:b/>
                <w:lang w:eastAsia="ar-SA"/>
              </w:rPr>
            </w:pPr>
            <w:r w:rsidRPr="0068052C">
              <w:rPr>
                <w:rFonts w:ascii="Arial" w:hAnsi="Arial" w:cs="Arial"/>
                <w:b/>
              </w:rPr>
              <w:t>Název subjektu</w:t>
            </w:r>
            <w:r w:rsidRPr="0068052C">
              <w:rPr>
                <w:rFonts w:ascii="Arial" w:eastAsia="Times New Roman" w:hAnsi="Arial" w:cs="Arial"/>
                <w:b/>
                <w:lang w:eastAsia="ar-SA"/>
              </w:rPr>
              <w:t xml:space="preserve"> </w:t>
            </w:r>
          </w:p>
        </w:tc>
        <w:tc>
          <w:tcPr>
            <w:tcW w:w="3334" w:type="pct"/>
            <w:gridSpan w:val="2"/>
            <w:tcBorders>
              <w:top w:val="single" w:sz="18"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b/>
                <w:lang w:eastAsia="ar-SA"/>
              </w:rPr>
            </w:pPr>
            <w:r w:rsidRPr="0068052C">
              <w:rPr>
                <w:rFonts w:ascii="Arial" w:hAnsi="Arial" w:cs="Arial"/>
                <w:b/>
                <w:lang w:eastAsia="ar-SA"/>
              </w:rPr>
              <w:t>Centrum pro komunitní Práci Jižní Čechy</w:t>
            </w:r>
          </w:p>
        </w:tc>
      </w:tr>
      <w:tr w:rsidR="005B4CC6" w:rsidRPr="0068052C" w:rsidTr="00D94929">
        <w:trPr>
          <w:trHeight w:val="262"/>
        </w:trPr>
        <w:tc>
          <w:tcPr>
            <w:tcW w:w="1666" w:type="pct"/>
            <w:tcBorders>
              <w:top w:val="single" w:sz="6" w:space="0" w:color="1F497D" w:themeColor="text2"/>
              <w:bottom w:val="single" w:sz="6" w:space="0" w:color="1F497D" w:themeColor="text2"/>
            </w:tcBorders>
            <w:shd w:val="clear" w:color="auto" w:fill="FFFF99"/>
          </w:tcPr>
          <w:p w:rsidR="005B4CC6" w:rsidRPr="0068052C" w:rsidRDefault="005B4CC6" w:rsidP="002463F5">
            <w:pPr>
              <w:spacing w:after="60"/>
              <w:rPr>
                <w:rFonts w:ascii="Arial" w:eastAsia="Times New Roman" w:hAnsi="Arial" w:cs="Arial"/>
                <w:lang w:eastAsia="ar-SA"/>
              </w:rPr>
            </w:pPr>
            <w:r w:rsidRPr="0068052C">
              <w:rPr>
                <w:rFonts w:ascii="Arial" w:eastAsia="Times New Roman" w:hAnsi="Arial" w:cs="Arial"/>
                <w:lang w:eastAsia="ar-SA"/>
              </w:rPr>
              <w:t>Oblast působnosti subjektu</w:t>
            </w:r>
          </w:p>
        </w:tc>
        <w:tc>
          <w:tcPr>
            <w:tcW w:w="3334" w:type="pct"/>
            <w:gridSpan w:val="2"/>
            <w:tcBorders>
              <w:top w:val="single" w:sz="6"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NNO – občanské sdružení, NUTS 3 – Jižní Čechy</w:t>
            </w:r>
          </w:p>
        </w:tc>
      </w:tr>
      <w:tr w:rsidR="005B4CC6" w:rsidRPr="0068052C" w:rsidTr="00D94929">
        <w:trPr>
          <w:trHeight w:val="262"/>
        </w:trPr>
        <w:tc>
          <w:tcPr>
            <w:tcW w:w="1666" w:type="pct"/>
            <w:tcBorders>
              <w:top w:val="single" w:sz="6" w:space="0" w:color="1F497D" w:themeColor="text2"/>
              <w:bottom w:val="single" w:sz="6" w:space="0" w:color="1F497D" w:themeColor="text2"/>
            </w:tcBorders>
            <w:shd w:val="clear" w:color="auto" w:fill="FFFF99"/>
          </w:tcPr>
          <w:p w:rsidR="005B4CC6" w:rsidRPr="0068052C" w:rsidRDefault="005B4CC6" w:rsidP="002463F5">
            <w:pPr>
              <w:spacing w:after="60"/>
              <w:rPr>
                <w:rFonts w:ascii="Arial" w:hAnsi="Arial" w:cs="Arial"/>
                <w:lang w:eastAsia="ar-SA"/>
              </w:rPr>
            </w:pPr>
            <w:r w:rsidRPr="0068052C">
              <w:rPr>
                <w:rFonts w:ascii="Arial" w:eastAsia="Times New Roman" w:hAnsi="Arial" w:cs="Arial"/>
                <w:lang w:eastAsia="ar-SA"/>
              </w:rPr>
              <w:t xml:space="preserve">Adresa  </w:t>
            </w:r>
            <w:r w:rsidRPr="0068052C">
              <w:rPr>
                <w:rFonts w:ascii="Arial" w:hAnsi="Arial" w:cs="Arial"/>
                <w:lang w:eastAsia="ar-SA"/>
              </w:rPr>
              <w:t xml:space="preserve">    </w:t>
            </w:r>
          </w:p>
        </w:tc>
        <w:tc>
          <w:tcPr>
            <w:tcW w:w="3334" w:type="pct"/>
            <w:gridSpan w:val="2"/>
            <w:tcBorders>
              <w:top w:val="single" w:sz="6"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Dvořákova 381/21, České Budějovice, 370 01</w:t>
            </w:r>
          </w:p>
        </w:tc>
      </w:tr>
      <w:tr w:rsidR="005B4CC6" w:rsidRPr="0068052C" w:rsidTr="00D94929">
        <w:trPr>
          <w:trHeight w:val="262"/>
        </w:trPr>
        <w:tc>
          <w:tcPr>
            <w:tcW w:w="1666" w:type="pct"/>
            <w:tcBorders>
              <w:top w:val="single" w:sz="6" w:space="0" w:color="1F497D" w:themeColor="text2"/>
              <w:bottom w:val="single" w:sz="18" w:space="0" w:color="1F497D" w:themeColor="text2"/>
            </w:tcBorders>
            <w:shd w:val="clear" w:color="auto" w:fill="FFFF99"/>
          </w:tcPr>
          <w:p w:rsidR="005B4CC6" w:rsidRPr="0068052C" w:rsidRDefault="005B4CC6" w:rsidP="002463F5">
            <w:pPr>
              <w:spacing w:after="60"/>
              <w:rPr>
                <w:rFonts w:ascii="Arial" w:hAnsi="Arial" w:cs="Arial"/>
              </w:rPr>
            </w:pPr>
            <w:r w:rsidRPr="0068052C">
              <w:rPr>
                <w:rFonts w:ascii="Arial" w:hAnsi="Arial" w:cs="Arial"/>
                <w:lang w:eastAsia="ar-SA"/>
              </w:rPr>
              <w:t xml:space="preserve">Projektový manažer      </w:t>
            </w:r>
          </w:p>
        </w:tc>
        <w:tc>
          <w:tcPr>
            <w:tcW w:w="3334" w:type="pct"/>
            <w:gridSpan w:val="2"/>
            <w:tcBorders>
              <w:top w:val="single" w:sz="6" w:space="0" w:color="1F497D" w:themeColor="text2"/>
              <w:bottom w:val="single" w:sz="18"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Mgr. Ludmila Kolářová</w:t>
            </w:r>
          </w:p>
        </w:tc>
      </w:tr>
      <w:tr w:rsidR="005B4CC6" w:rsidRPr="0068052C" w:rsidTr="00D94929">
        <w:trPr>
          <w:trHeight w:val="262"/>
        </w:trPr>
        <w:tc>
          <w:tcPr>
            <w:tcW w:w="1666" w:type="pct"/>
            <w:tcBorders>
              <w:top w:val="single" w:sz="18" w:space="0" w:color="1F497D" w:themeColor="text2"/>
            </w:tcBorders>
            <w:shd w:val="clear" w:color="auto" w:fill="FFFF99"/>
          </w:tcPr>
          <w:p w:rsidR="005B4CC6" w:rsidRPr="0068052C" w:rsidRDefault="005B4CC6" w:rsidP="002463F5">
            <w:pPr>
              <w:tabs>
                <w:tab w:val="left" w:pos="2127"/>
              </w:tabs>
              <w:spacing w:after="60"/>
              <w:rPr>
                <w:rFonts w:ascii="Arial" w:hAnsi="Arial" w:cs="Arial"/>
                <w:b/>
                <w:lang w:eastAsia="ar-SA"/>
              </w:rPr>
            </w:pPr>
            <w:r w:rsidRPr="0068052C">
              <w:rPr>
                <w:rFonts w:ascii="Arial" w:hAnsi="Arial" w:cs="Arial"/>
                <w:b/>
                <w:lang w:eastAsia="ar-SA"/>
              </w:rPr>
              <w:t xml:space="preserve">Přehled terénního šetření </w:t>
            </w:r>
          </w:p>
        </w:tc>
        <w:tc>
          <w:tcPr>
            <w:tcW w:w="1547" w:type="pct"/>
            <w:tcBorders>
              <w:top w:val="single" w:sz="18" w:space="0" w:color="1F497D" w:themeColor="text2"/>
            </w:tcBorders>
          </w:tcPr>
          <w:p w:rsidR="005B4CC6" w:rsidRPr="0068052C" w:rsidRDefault="005B4CC6" w:rsidP="002463F5">
            <w:pPr>
              <w:tabs>
                <w:tab w:val="left" w:pos="2127"/>
              </w:tabs>
              <w:spacing w:after="60"/>
              <w:rPr>
                <w:rFonts w:ascii="Arial" w:hAnsi="Arial" w:cs="Arial"/>
                <w:b/>
                <w:lang w:eastAsia="ar-SA"/>
              </w:rPr>
            </w:pPr>
          </w:p>
        </w:tc>
        <w:tc>
          <w:tcPr>
            <w:tcW w:w="1787" w:type="pct"/>
            <w:tcBorders>
              <w:top w:val="single" w:sz="18" w:space="0" w:color="1F497D" w:themeColor="text2"/>
            </w:tcBorders>
          </w:tcPr>
          <w:p w:rsidR="005B4CC6" w:rsidRPr="0068052C" w:rsidRDefault="005B4CC6" w:rsidP="002463F5">
            <w:pPr>
              <w:tabs>
                <w:tab w:val="left" w:pos="2127"/>
              </w:tabs>
              <w:spacing w:after="60"/>
              <w:rPr>
                <w:rFonts w:ascii="Arial" w:hAnsi="Arial" w:cs="Arial"/>
                <w:b/>
                <w:lang w:eastAsia="ar-SA"/>
              </w:rPr>
            </w:pPr>
          </w:p>
        </w:tc>
      </w:tr>
      <w:tr w:rsidR="005B4CC6" w:rsidRPr="0068052C" w:rsidTr="00D94929">
        <w:trPr>
          <w:trHeight w:val="260"/>
        </w:trPr>
        <w:tc>
          <w:tcPr>
            <w:tcW w:w="1666" w:type="pct"/>
            <w:shd w:val="clear" w:color="auto" w:fill="FFFF99"/>
          </w:tcPr>
          <w:p w:rsidR="005B4CC6" w:rsidRPr="0068052C" w:rsidRDefault="005B4CC6" w:rsidP="002463F5">
            <w:pPr>
              <w:tabs>
                <w:tab w:val="left" w:pos="2127"/>
              </w:tabs>
              <w:spacing w:after="60"/>
              <w:rPr>
                <w:rFonts w:ascii="Arial" w:hAnsi="Arial" w:cs="Arial"/>
                <w:b/>
                <w:lang w:eastAsia="ar-SA"/>
              </w:rPr>
            </w:pPr>
            <w:r w:rsidRPr="0068052C">
              <w:rPr>
                <w:rFonts w:ascii="Arial" w:eastAsia="Times New Roman" w:hAnsi="Arial" w:cs="Arial"/>
                <w:b/>
                <w:lang w:eastAsia="ar-SA"/>
              </w:rPr>
              <w:t>Individuální rozhovory</w:t>
            </w:r>
          </w:p>
        </w:tc>
        <w:tc>
          <w:tcPr>
            <w:tcW w:w="1547" w:type="pct"/>
          </w:tcPr>
          <w:p w:rsidR="005B4CC6" w:rsidRPr="0068052C" w:rsidRDefault="005B4CC6" w:rsidP="002463F5">
            <w:pPr>
              <w:tabs>
                <w:tab w:val="left" w:pos="2127"/>
              </w:tabs>
              <w:spacing w:after="60"/>
              <w:rPr>
                <w:rFonts w:ascii="Arial" w:hAnsi="Arial" w:cs="Arial"/>
                <w:b/>
                <w:lang w:eastAsia="ar-SA"/>
              </w:rPr>
            </w:pPr>
          </w:p>
        </w:tc>
        <w:tc>
          <w:tcPr>
            <w:tcW w:w="1787" w:type="pct"/>
          </w:tcPr>
          <w:p w:rsidR="005B4CC6" w:rsidRPr="0068052C" w:rsidRDefault="005B4CC6" w:rsidP="002463F5">
            <w:pPr>
              <w:tabs>
                <w:tab w:val="left" w:pos="2127"/>
              </w:tabs>
              <w:spacing w:after="60"/>
              <w:rPr>
                <w:rFonts w:ascii="Arial" w:hAnsi="Arial" w:cs="Arial"/>
                <w:b/>
                <w:lang w:eastAsia="ar-SA"/>
              </w:rPr>
            </w:pPr>
          </w:p>
        </w:tc>
      </w:tr>
      <w:tr w:rsidR="005B4CC6" w:rsidRPr="0068052C" w:rsidTr="00D94929">
        <w:trPr>
          <w:trHeight w:val="260"/>
        </w:trPr>
        <w:tc>
          <w:tcPr>
            <w:tcW w:w="1666" w:type="pct"/>
            <w:shd w:val="clear" w:color="auto" w:fill="FFFF99"/>
          </w:tcPr>
          <w:p w:rsidR="005B4CC6" w:rsidRPr="0068052C" w:rsidRDefault="005B4CC6" w:rsidP="002463F5">
            <w:pPr>
              <w:tabs>
                <w:tab w:val="left" w:pos="2127"/>
              </w:tabs>
              <w:spacing w:after="60"/>
              <w:rPr>
                <w:rFonts w:ascii="Arial" w:hAnsi="Arial" w:cs="Arial"/>
                <w:b/>
                <w:lang w:eastAsia="ar-SA"/>
              </w:rPr>
            </w:pPr>
            <w:r w:rsidRPr="0068052C">
              <w:rPr>
                <w:rFonts w:ascii="Arial" w:eastAsia="Times New Roman" w:hAnsi="Arial" w:cs="Arial"/>
                <w:lang w:eastAsia="ar-SA"/>
              </w:rPr>
              <w:t>Funkce</w:t>
            </w:r>
          </w:p>
        </w:tc>
        <w:tc>
          <w:tcPr>
            <w:tcW w:w="1547" w:type="pct"/>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Projektová manažerka (Centrum pro komunitní plánování)</w:t>
            </w:r>
          </w:p>
        </w:tc>
        <w:tc>
          <w:tcPr>
            <w:tcW w:w="1787" w:type="pct"/>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rPr>
              <w:t>Představitel partnerské organizace, vedoucí odboru soc. věcí a zdravotnictví</w:t>
            </w:r>
          </w:p>
        </w:tc>
      </w:tr>
      <w:tr w:rsidR="005B4CC6" w:rsidRPr="0068052C" w:rsidTr="00D94929">
        <w:trPr>
          <w:trHeight w:val="260"/>
        </w:trPr>
        <w:tc>
          <w:tcPr>
            <w:tcW w:w="1666" w:type="pct"/>
            <w:tcBorders>
              <w:bottom w:val="single" w:sz="18" w:space="0" w:color="1F497D" w:themeColor="text2"/>
            </w:tcBorders>
            <w:shd w:val="clear" w:color="auto" w:fill="FFFF99"/>
          </w:tcPr>
          <w:p w:rsidR="005B4CC6" w:rsidRPr="0068052C" w:rsidRDefault="005B4CC6" w:rsidP="002463F5">
            <w:pPr>
              <w:tabs>
                <w:tab w:val="left" w:pos="2127"/>
              </w:tabs>
              <w:spacing w:after="60"/>
              <w:rPr>
                <w:rFonts w:ascii="Arial" w:hAnsi="Arial" w:cs="Arial"/>
                <w:b/>
                <w:lang w:eastAsia="ar-SA"/>
              </w:rPr>
            </w:pPr>
            <w:r w:rsidRPr="0068052C">
              <w:rPr>
                <w:rFonts w:ascii="Arial" w:eastAsia="Times New Roman" w:hAnsi="Arial" w:cs="Arial"/>
                <w:lang w:eastAsia="ar-SA"/>
              </w:rPr>
              <w:t xml:space="preserve">Datum terénního </w:t>
            </w:r>
            <w:r w:rsidRPr="0068052C">
              <w:rPr>
                <w:rFonts w:ascii="Arial" w:hAnsi="Arial" w:cs="Arial"/>
                <w:lang w:eastAsia="ar-SA"/>
              </w:rPr>
              <w:t>šetření</w:t>
            </w:r>
          </w:p>
        </w:tc>
        <w:tc>
          <w:tcPr>
            <w:tcW w:w="1547" w:type="pct"/>
            <w:tcBorders>
              <w:bottom w:val="single" w:sz="18"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6. 2. 2012</w:t>
            </w:r>
          </w:p>
        </w:tc>
        <w:tc>
          <w:tcPr>
            <w:tcW w:w="1787" w:type="pct"/>
            <w:tcBorders>
              <w:bottom w:val="single" w:sz="18"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6. 2. 2012</w:t>
            </w:r>
          </w:p>
        </w:tc>
      </w:tr>
      <w:tr w:rsidR="005B4CC6" w:rsidRPr="0068052C" w:rsidTr="00D94929">
        <w:trPr>
          <w:trHeight w:val="260"/>
        </w:trPr>
        <w:tc>
          <w:tcPr>
            <w:tcW w:w="1666" w:type="pct"/>
            <w:tcBorders>
              <w:top w:val="single" w:sz="18" w:space="0" w:color="1F497D" w:themeColor="text2"/>
              <w:bottom w:val="single" w:sz="6" w:space="0" w:color="1F497D" w:themeColor="text2"/>
            </w:tcBorders>
            <w:shd w:val="clear" w:color="auto" w:fill="FFFF99"/>
          </w:tcPr>
          <w:p w:rsidR="005B4CC6" w:rsidRPr="0068052C" w:rsidRDefault="005B4CC6" w:rsidP="002463F5">
            <w:pPr>
              <w:tabs>
                <w:tab w:val="left" w:pos="2127"/>
              </w:tabs>
              <w:spacing w:after="60"/>
              <w:rPr>
                <w:rFonts w:ascii="Arial" w:hAnsi="Arial" w:cs="Arial"/>
                <w:b/>
                <w:lang w:eastAsia="ar-SA"/>
              </w:rPr>
            </w:pPr>
            <w:r w:rsidRPr="0068052C">
              <w:rPr>
                <w:rFonts w:ascii="Arial" w:eastAsia="Times New Roman" w:hAnsi="Arial" w:cs="Arial"/>
                <w:b/>
                <w:lang w:eastAsia="ar-SA"/>
              </w:rPr>
              <w:t>Individuální rozhovory</w:t>
            </w:r>
          </w:p>
        </w:tc>
        <w:tc>
          <w:tcPr>
            <w:tcW w:w="1547" w:type="pct"/>
            <w:tcBorders>
              <w:top w:val="single" w:sz="18"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b/>
                <w:lang w:eastAsia="ar-SA"/>
              </w:rPr>
            </w:pPr>
          </w:p>
        </w:tc>
        <w:tc>
          <w:tcPr>
            <w:tcW w:w="1787" w:type="pct"/>
            <w:tcBorders>
              <w:top w:val="single" w:sz="18"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b/>
                <w:lang w:eastAsia="ar-SA"/>
              </w:rPr>
            </w:pPr>
          </w:p>
        </w:tc>
      </w:tr>
      <w:tr w:rsidR="005B4CC6" w:rsidRPr="0068052C" w:rsidTr="00D94929">
        <w:trPr>
          <w:trHeight w:val="260"/>
        </w:trPr>
        <w:tc>
          <w:tcPr>
            <w:tcW w:w="1666" w:type="pct"/>
            <w:tcBorders>
              <w:top w:val="single" w:sz="6" w:space="0" w:color="1F497D" w:themeColor="text2"/>
              <w:bottom w:val="single" w:sz="6" w:space="0" w:color="1F497D" w:themeColor="text2"/>
            </w:tcBorders>
            <w:shd w:val="clear" w:color="auto" w:fill="FFFF99"/>
          </w:tcPr>
          <w:p w:rsidR="005B4CC6" w:rsidRPr="0068052C" w:rsidRDefault="005B4CC6" w:rsidP="002463F5">
            <w:pPr>
              <w:tabs>
                <w:tab w:val="left" w:pos="2127"/>
              </w:tabs>
              <w:spacing w:after="60"/>
              <w:rPr>
                <w:rFonts w:ascii="Arial" w:hAnsi="Arial" w:cs="Arial"/>
                <w:b/>
                <w:lang w:eastAsia="ar-SA"/>
              </w:rPr>
            </w:pPr>
            <w:r w:rsidRPr="0068052C">
              <w:rPr>
                <w:rFonts w:ascii="Arial" w:eastAsia="Times New Roman" w:hAnsi="Arial" w:cs="Arial"/>
                <w:lang w:eastAsia="ar-SA"/>
              </w:rPr>
              <w:t>Funkce</w:t>
            </w:r>
          </w:p>
        </w:tc>
        <w:tc>
          <w:tcPr>
            <w:tcW w:w="1547" w:type="pct"/>
            <w:tcBorders>
              <w:top w:val="single" w:sz="6"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rPr>
              <w:t>Představitel partnerské organizace</w:t>
            </w:r>
          </w:p>
        </w:tc>
        <w:tc>
          <w:tcPr>
            <w:tcW w:w="1787" w:type="pct"/>
            <w:tcBorders>
              <w:top w:val="single" w:sz="6" w:space="0" w:color="1F497D" w:themeColor="text2"/>
              <w:bottom w:val="single" w:sz="6"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Zástupce uživatelů při přípravě</w:t>
            </w:r>
          </w:p>
        </w:tc>
      </w:tr>
      <w:tr w:rsidR="005B4CC6" w:rsidRPr="0068052C" w:rsidTr="00D94929">
        <w:trPr>
          <w:trHeight w:val="260"/>
        </w:trPr>
        <w:tc>
          <w:tcPr>
            <w:tcW w:w="1666" w:type="pct"/>
            <w:tcBorders>
              <w:top w:val="single" w:sz="6" w:space="0" w:color="1F497D" w:themeColor="text2"/>
              <w:bottom w:val="single" w:sz="18" w:space="0" w:color="1F497D" w:themeColor="text2"/>
            </w:tcBorders>
            <w:shd w:val="clear" w:color="auto" w:fill="FFFF99"/>
          </w:tcPr>
          <w:p w:rsidR="005B4CC6" w:rsidRPr="0068052C" w:rsidRDefault="005B4CC6" w:rsidP="002463F5">
            <w:pPr>
              <w:tabs>
                <w:tab w:val="left" w:pos="2127"/>
              </w:tabs>
              <w:spacing w:after="60"/>
              <w:rPr>
                <w:rFonts w:ascii="Arial" w:hAnsi="Arial" w:cs="Arial"/>
                <w:b/>
                <w:lang w:eastAsia="ar-SA"/>
              </w:rPr>
            </w:pPr>
            <w:r w:rsidRPr="0068052C">
              <w:rPr>
                <w:rFonts w:ascii="Arial" w:eastAsia="Times New Roman" w:hAnsi="Arial" w:cs="Arial"/>
                <w:lang w:eastAsia="ar-SA"/>
              </w:rPr>
              <w:t xml:space="preserve">Datum terénního </w:t>
            </w:r>
            <w:r w:rsidRPr="0068052C">
              <w:rPr>
                <w:rFonts w:ascii="Arial" w:hAnsi="Arial" w:cs="Arial"/>
                <w:lang w:eastAsia="ar-SA"/>
              </w:rPr>
              <w:t>šetření</w:t>
            </w:r>
          </w:p>
        </w:tc>
        <w:tc>
          <w:tcPr>
            <w:tcW w:w="1547" w:type="pct"/>
            <w:tcBorders>
              <w:top w:val="single" w:sz="6" w:space="0" w:color="1F497D" w:themeColor="text2"/>
              <w:bottom w:val="single" w:sz="18"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6. 2. 2012</w:t>
            </w:r>
          </w:p>
        </w:tc>
        <w:tc>
          <w:tcPr>
            <w:tcW w:w="1787" w:type="pct"/>
            <w:tcBorders>
              <w:top w:val="single" w:sz="6" w:space="0" w:color="1F497D" w:themeColor="text2"/>
              <w:bottom w:val="single" w:sz="18"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6. 2. 2012</w:t>
            </w:r>
          </w:p>
        </w:tc>
      </w:tr>
      <w:tr w:rsidR="005B4CC6" w:rsidRPr="0068052C" w:rsidTr="00D94929">
        <w:trPr>
          <w:trHeight w:val="260"/>
        </w:trPr>
        <w:tc>
          <w:tcPr>
            <w:tcW w:w="1666" w:type="pct"/>
            <w:tcBorders>
              <w:top w:val="single" w:sz="18" w:space="0" w:color="1F497D" w:themeColor="text2"/>
              <w:bottom w:val="single" w:sz="18" w:space="0" w:color="1F497D" w:themeColor="text2"/>
            </w:tcBorders>
            <w:shd w:val="clear" w:color="auto" w:fill="FFFF99"/>
          </w:tcPr>
          <w:p w:rsidR="005B4CC6" w:rsidRPr="0068052C" w:rsidRDefault="005B4CC6" w:rsidP="002463F5">
            <w:pPr>
              <w:tabs>
                <w:tab w:val="left" w:pos="2127"/>
              </w:tabs>
              <w:spacing w:after="60"/>
              <w:rPr>
                <w:rFonts w:ascii="Arial" w:eastAsia="Times New Roman" w:hAnsi="Arial" w:cs="Arial"/>
                <w:b/>
                <w:lang w:eastAsia="ar-SA"/>
              </w:rPr>
            </w:pPr>
            <w:r w:rsidRPr="0068052C">
              <w:rPr>
                <w:rFonts w:ascii="Arial" w:eastAsia="Times New Roman" w:hAnsi="Arial" w:cs="Arial"/>
                <w:b/>
                <w:lang w:eastAsia="ar-SA"/>
              </w:rPr>
              <w:t>Dotazníkové šetření</w:t>
            </w:r>
          </w:p>
        </w:tc>
        <w:tc>
          <w:tcPr>
            <w:tcW w:w="3334" w:type="pct"/>
            <w:gridSpan w:val="2"/>
            <w:tcBorders>
              <w:top w:val="single" w:sz="18" w:space="0" w:color="1F497D" w:themeColor="text2"/>
              <w:bottom w:val="single" w:sz="18" w:space="0" w:color="1F497D" w:themeColor="text2"/>
            </w:tcBorders>
          </w:tcPr>
          <w:p w:rsidR="005B4CC6" w:rsidRPr="0068052C" w:rsidRDefault="005B4CC6" w:rsidP="002463F5">
            <w:pPr>
              <w:tabs>
                <w:tab w:val="left" w:pos="2127"/>
              </w:tabs>
              <w:spacing w:after="60"/>
              <w:rPr>
                <w:rFonts w:ascii="Arial" w:hAnsi="Arial" w:cs="Arial"/>
                <w:lang w:eastAsia="ar-SA"/>
              </w:rPr>
            </w:pPr>
            <w:r w:rsidRPr="0068052C">
              <w:rPr>
                <w:rFonts w:ascii="Arial" w:hAnsi="Arial" w:cs="Arial"/>
                <w:lang w:eastAsia="ar-SA"/>
              </w:rPr>
              <w:t>Dotazníkové šetření se věnovalo cílové skupině poskytovatelů sociálních služeb ORP Písek. Celkem bylo osloveno 53 poskytovatelů, návratnost dotazníku byla 42 %.</w:t>
            </w:r>
          </w:p>
        </w:tc>
      </w:tr>
    </w:tbl>
    <w:p w:rsidR="005B4CC6" w:rsidRPr="0068052C" w:rsidRDefault="005B4CC6" w:rsidP="005B4CC6">
      <w:pPr>
        <w:jc w:val="both"/>
        <w:rPr>
          <w:rFonts w:ascii="Arial" w:eastAsia="Times New Roman" w:hAnsi="Arial" w:cs="Arial"/>
          <w:b/>
        </w:rPr>
      </w:pPr>
    </w:p>
    <w:p w:rsidR="005B4CC6" w:rsidRPr="0068052C" w:rsidRDefault="005B4CC6" w:rsidP="005B4CC6">
      <w:pPr>
        <w:pStyle w:val="Styl1"/>
        <w:rPr>
          <w:rFonts w:ascii="Arial" w:hAnsi="Arial" w:cs="Arial"/>
          <w:color w:val="000000"/>
          <w:sz w:val="22"/>
          <w:szCs w:val="22"/>
          <w:u w:val="none"/>
        </w:rPr>
      </w:pPr>
      <w:r w:rsidRPr="0068052C">
        <w:rPr>
          <w:rFonts w:ascii="Arial" w:hAnsi="Arial" w:cs="Arial"/>
          <w:color w:val="000000"/>
          <w:sz w:val="22"/>
          <w:szCs w:val="22"/>
          <w:u w:val="none"/>
        </w:rPr>
        <w:t>Výchozí situace</w:t>
      </w:r>
    </w:p>
    <w:p w:rsidR="005B4CC6" w:rsidRPr="0068052C" w:rsidRDefault="005B4CC6" w:rsidP="005B4CC6">
      <w:pPr>
        <w:spacing w:after="60"/>
        <w:jc w:val="both"/>
        <w:rPr>
          <w:rFonts w:ascii="Arial" w:eastAsia="Times New Roman" w:hAnsi="Arial" w:cs="Arial"/>
        </w:rPr>
      </w:pPr>
      <w:r w:rsidRPr="0068052C">
        <w:rPr>
          <w:rFonts w:ascii="Arial" w:eastAsia="Times New Roman" w:hAnsi="Arial" w:cs="Arial"/>
        </w:rPr>
        <w:t>Na konci roku 2005 město Písek zahájilo přípravy na zpracování aktuálního komunitního plánu sociálních služeb pro celý správní obvod, který zahrnuje 49 obcí. Město Písek vybralo partnera projektu - Centrum pro komunitní práci jižní Čechy. V roce 2007 byl vypracován prvn</w:t>
      </w:r>
      <w:r w:rsidRPr="0068052C">
        <w:rPr>
          <w:rFonts w:ascii="Arial" w:eastAsia="Times New Roman" w:hAnsi="Arial" w:cs="Arial"/>
          <w:i/>
        </w:rPr>
        <w:t>í</w:t>
      </w:r>
      <w:r w:rsidRPr="0068052C">
        <w:rPr>
          <w:rFonts w:ascii="Arial" w:eastAsia="Times New Roman" w:hAnsi="Arial" w:cs="Arial"/>
        </w:rPr>
        <w:t xml:space="preserve"> kompletní výstup z procesu - </w:t>
      </w:r>
      <w:r w:rsidRPr="0068052C">
        <w:rPr>
          <w:rFonts w:ascii="Arial" w:eastAsia="Times New Roman" w:hAnsi="Arial" w:cs="Arial"/>
          <w:i/>
        </w:rPr>
        <w:t>Komunitní plán sociálních služeb Písek</w:t>
      </w:r>
      <w:r w:rsidRPr="0068052C">
        <w:rPr>
          <w:rFonts w:ascii="Arial" w:eastAsia="Times New Roman" w:hAnsi="Arial" w:cs="Arial"/>
        </w:rPr>
        <w:t xml:space="preserve">. Na jeho základě bylo nastaveno zefektivnění celého systému sociálních služeb tak, aby systém v maximální možné míře vedl ke snížení sociální izolace lidí s handicapem. Do tehdy schváleného plánu byla zanesena povinnost města Písek zajistit po 3 letech aktualizaci plánu. Komunitní plán je nyní nutné přepracovat i z toho důvodu, že původní plán ještě nemohl zohlednit nový zákon o sociálních službách a tehdejší služby se od té doby již částečně transformovaly. </w:t>
      </w:r>
    </w:p>
    <w:p w:rsidR="005B4CC6" w:rsidRPr="0068052C" w:rsidRDefault="005B4CC6" w:rsidP="005B4CC6">
      <w:pPr>
        <w:spacing w:after="60"/>
        <w:jc w:val="both"/>
        <w:rPr>
          <w:rFonts w:ascii="Arial" w:eastAsia="Times New Roman" w:hAnsi="Arial" w:cs="Arial"/>
        </w:rPr>
      </w:pPr>
      <w:r w:rsidRPr="0068052C">
        <w:rPr>
          <w:rFonts w:ascii="Arial" w:eastAsia="Times New Roman" w:hAnsi="Arial" w:cs="Arial"/>
        </w:rPr>
        <w:t>Potřebnost projektu vychází také ze</w:t>
      </w:r>
      <w:r w:rsidRPr="0068052C">
        <w:rPr>
          <w:rFonts w:ascii="Arial" w:eastAsia="Times New Roman" w:hAnsi="Arial" w:cs="Arial"/>
          <w:i/>
        </w:rPr>
        <w:t xml:space="preserve"> Střednědobého plánu rozvoje sociálních služeb Jihočeského kraje</w:t>
      </w:r>
      <w:r w:rsidRPr="0068052C">
        <w:rPr>
          <w:rFonts w:ascii="Arial" w:eastAsia="Times New Roman" w:hAnsi="Arial" w:cs="Arial"/>
        </w:rPr>
        <w:t xml:space="preserve">, který podporuje plánování rozvoje sociálních služeb na úrovni obcí a </w:t>
      </w:r>
      <w:r w:rsidRPr="0068052C">
        <w:rPr>
          <w:rFonts w:ascii="Arial" w:eastAsia="Times New Roman" w:hAnsi="Arial" w:cs="Arial"/>
        </w:rPr>
        <w:lastRenderedPageBreak/>
        <w:t>regionů.</w:t>
      </w:r>
      <w:r w:rsidRPr="0068052C">
        <w:rPr>
          <w:rFonts w:ascii="Arial" w:hAnsi="Arial" w:cs="Arial"/>
        </w:rPr>
        <w:t xml:space="preserve"> </w:t>
      </w:r>
      <w:r w:rsidRPr="0068052C">
        <w:rPr>
          <w:rFonts w:ascii="Arial" w:eastAsia="Times New Roman" w:hAnsi="Arial" w:cs="Arial"/>
        </w:rPr>
        <w:t>Projekt přímo koresponduje s hlavní prioritou Střednědobého plánu („</w:t>
      </w:r>
      <w:r w:rsidRPr="0068052C">
        <w:rPr>
          <w:rFonts w:ascii="Arial" w:eastAsia="Times New Roman" w:hAnsi="Arial" w:cs="Arial"/>
          <w:i/>
        </w:rPr>
        <w:t>Podpora plánování sociálních služeb na krajské i místní úrovni</w:t>
      </w:r>
      <w:r w:rsidRPr="0068052C">
        <w:rPr>
          <w:rFonts w:ascii="Arial" w:eastAsia="Times New Roman" w:hAnsi="Arial" w:cs="Arial"/>
        </w:rPr>
        <w:t>“) i jeho opatřeními a konkrétně naplňuje aktivitu „</w:t>
      </w:r>
      <w:r w:rsidRPr="0068052C">
        <w:rPr>
          <w:rFonts w:ascii="Arial" w:eastAsia="Times New Roman" w:hAnsi="Arial" w:cs="Arial"/>
          <w:i/>
        </w:rPr>
        <w:t>Trvalé udržení procesů komunitního plánování sociálních služeb v obcích/regionech</w:t>
      </w:r>
      <w:r w:rsidRPr="0068052C">
        <w:rPr>
          <w:rFonts w:ascii="Arial" w:eastAsia="Times New Roman" w:hAnsi="Arial" w:cs="Arial"/>
        </w:rPr>
        <w:t>“. Komunitní plán Písecka se stane podkladovým materiálem pro další plánování na vyšší krajské úrovni.</w:t>
      </w:r>
    </w:p>
    <w:p w:rsidR="005B4CC6" w:rsidRPr="0068052C" w:rsidRDefault="005B4CC6" w:rsidP="005B4CC6">
      <w:pPr>
        <w:pStyle w:val="Styl1"/>
        <w:rPr>
          <w:rFonts w:ascii="Arial" w:hAnsi="Arial" w:cs="Arial"/>
          <w:b w:val="0"/>
          <w:color w:val="000000"/>
          <w:sz w:val="22"/>
          <w:szCs w:val="22"/>
        </w:rPr>
      </w:pPr>
    </w:p>
    <w:p w:rsidR="005B4CC6" w:rsidRPr="0068052C" w:rsidRDefault="005B4CC6" w:rsidP="005B4CC6">
      <w:pPr>
        <w:pStyle w:val="Styl1"/>
        <w:rPr>
          <w:rFonts w:ascii="Arial" w:hAnsi="Arial" w:cs="Arial"/>
          <w:color w:val="000000"/>
          <w:sz w:val="22"/>
          <w:szCs w:val="22"/>
          <w:u w:val="none"/>
        </w:rPr>
      </w:pPr>
      <w:r w:rsidRPr="0068052C">
        <w:rPr>
          <w:rFonts w:ascii="Arial" w:hAnsi="Arial" w:cs="Arial"/>
          <w:color w:val="000000"/>
          <w:sz w:val="22"/>
          <w:szCs w:val="22"/>
          <w:u w:val="none"/>
        </w:rPr>
        <w:t xml:space="preserve">Cíl projektu </w:t>
      </w:r>
    </w:p>
    <w:p w:rsidR="005B4CC6" w:rsidRPr="0068052C" w:rsidRDefault="005B4CC6" w:rsidP="005B4CC6">
      <w:pPr>
        <w:spacing w:after="60"/>
        <w:jc w:val="both"/>
        <w:rPr>
          <w:rFonts w:ascii="Arial" w:eastAsia="Times New Roman" w:hAnsi="Arial" w:cs="Arial"/>
        </w:rPr>
      </w:pPr>
      <w:r w:rsidRPr="0068052C">
        <w:rPr>
          <w:rFonts w:ascii="Arial" w:eastAsia="Times New Roman" w:hAnsi="Arial" w:cs="Arial"/>
        </w:rPr>
        <w:t>Všeobecným cílem projektu je podpora sociálního začleňování sociálně vyloučených osob a osob ohrožených sociálním vyloučením cestou zajištění dostupnosti kvalitních sociálních služeb. Specifickými cíli projektu je udržení a rozvoj místního partnerství na území ORP Písek (49 obcí) a vypracování aktuálního plánu sociálních služeb. Partnerství se realizuje mezi uživateli, poskytovateli a zadavateli sociálních služeb. Do procesu bude zapojena i široká veřejnost. Hlavním výstupem z procesu plánování bude komunitní plán sociálních služeb, který pomůže vytvořit podmínky pro rozvoj a udržitelnost takových služeb, které budou reagovat na skutečné potřeby občanů z území ORP Písek. Dalším výstupem bude katalog poskytovatelů sociálních služeb, který podpoří informovanost občanů.</w:t>
      </w:r>
    </w:p>
    <w:p w:rsidR="005B4CC6" w:rsidRPr="0068052C" w:rsidRDefault="005B4CC6" w:rsidP="005B4CC6">
      <w:pPr>
        <w:rPr>
          <w:rFonts w:ascii="Arial" w:eastAsia="Times New Roman" w:hAnsi="Arial" w:cs="Arial"/>
          <w:b/>
        </w:rPr>
      </w:pPr>
    </w:p>
    <w:p w:rsidR="005B4CC6" w:rsidRPr="0068052C" w:rsidRDefault="005B4CC6" w:rsidP="005B4CC6">
      <w:pPr>
        <w:pStyle w:val="Styl1"/>
        <w:rPr>
          <w:rFonts w:ascii="Arial" w:hAnsi="Arial" w:cs="Arial"/>
          <w:b w:val="0"/>
          <w:color w:val="000000"/>
          <w:sz w:val="22"/>
          <w:szCs w:val="22"/>
        </w:rPr>
      </w:pPr>
      <w:r w:rsidRPr="0068052C">
        <w:rPr>
          <w:rFonts w:ascii="Arial" w:hAnsi="Arial" w:cs="Arial"/>
          <w:b w:val="0"/>
          <w:color w:val="000000"/>
          <w:sz w:val="22"/>
          <w:szCs w:val="22"/>
        </w:rPr>
        <w:t>Cílové skupiny projektu</w:t>
      </w:r>
    </w:p>
    <w:p w:rsidR="005B4CC6" w:rsidRPr="0068052C" w:rsidRDefault="005B4CC6" w:rsidP="005B4CC6">
      <w:pPr>
        <w:pStyle w:val="Odstavecseseznamem"/>
        <w:numPr>
          <w:ilvl w:val="0"/>
          <w:numId w:val="2"/>
        </w:numPr>
        <w:tabs>
          <w:tab w:val="left" w:pos="284"/>
        </w:tabs>
        <w:spacing w:before="0" w:beforeAutospacing="0" w:after="60" w:afterAutospacing="0" w:line="276" w:lineRule="auto"/>
        <w:ind w:left="851" w:hanging="785"/>
        <w:contextualSpacing/>
        <w:jc w:val="both"/>
        <w:rPr>
          <w:rFonts w:ascii="Arial" w:hAnsi="Arial" w:cs="Arial"/>
          <w:sz w:val="22"/>
          <w:szCs w:val="22"/>
          <w:lang w:eastAsia="ar-SA"/>
        </w:rPr>
      </w:pPr>
      <w:r w:rsidRPr="0068052C">
        <w:rPr>
          <w:rFonts w:ascii="Arial" w:hAnsi="Arial" w:cs="Arial"/>
          <w:sz w:val="22"/>
          <w:szCs w:val="22"/>
          <w:lang w:eastAsia="ar-SA"/>
        </w:rPr>
        <w:t xml:space="preserve">Zadavatelé sociálních služeb </w:t>
      </w:r>
    </w:p>
    <w:p w:rsidR="005B4CC6" w:rsidRPr="0068052C" w:rsidRDefault="005B4CC6" w:rsidP="005B4CC6">
      <w:pPr>
        <w:pStyle w:val="Odstavecseseznamem"/>
        <w:numPr>
          <w:ilvl w:val="0"/>
          <w:numId w:val="2"/>
        </w:numPr>
        <w:tabs>
          <w:tab w:val="left" w:pos="284"/>
        </w:tabs>
        <w:spacing w:before="0" w:beforeAutospacing="0" w:after="60" w:afterAutospacing="0" w:line="276" w:lineRule="auto"/>
        <w:ind w:left="284" w:hanging="218"/>
        <w:contextualSpacing/>
        <w:jc w:val="both"/>
        <w:rPr>
          <w:rFonts w:ascii="Arial" w:hAnsi="Arial" w:cs="Arial"/>
          <w:sz w:val="22"/>
          <w:szCs w:val="22"/>
          <w:lang w:eastAsia="ar-SA"/>
        </w:rPr>
      </w:pPr>
      <w:r w:rsidRPr="0068052C">
        <w:rPr>
          <w:rFonts w:ascii="Arial" w:hAnsi="Arial" w:cs="Arial"/>
          <w:sz w:val="22"/>
          <w:szCs w:val="22"/>
          <w:lang w:eastAsia="ar-SA"/>
        </w:rPr>
        <w:t xml:space="preserve">Poskytovatelé sociálních služeb a další subjekty poskytující služby napomáhající sociální integraci cílovým skupinám </w:t>
      </w:r>
    </w:p>
    <w:p w:rsidR="005B4CC6" w:rsidRPr="0068052C" w:rsidRDefault="005B4CC6" w:rsidP="005B4CC6">
      <w:pPr>
        <w:pStyle w:val="Odstavecseseznamem"/>
        <w:numPr>
          <w:ilvl w:val="0"/>
          <w:numId w:val="2"/>
        </w:numPr>
        <w:tabs>
          <w:tab w:val="left" w:pos="284"/>
        </w:tabs>
        <w:spacing w:before="0" w:beforeAutospacing="0" w:after="60" w:afterAutospacing="0" w:line="276" w:lineRule="auto"/>
        <w:ind w:left="851" w:hanging="785"/>
        <w:contextualSpacing/>
        <w:jc w:val="both"/>
        <w:rPr>
          <w:rFonts w:ascii="Arial" w:hAnsi="Arial" w:cs="Arial"/>
          <w:sz w:val="22"/>
          <w:szCs w:val="22"/>
          <w:lang w:eastAsia="ar-SA"/>
        </w:rPr>
      </w:pPr>
      <w:r w:rsidRPr="0068052C">
        <w:rPr>
          <w:rFonts w:ascii="Arial" w:hAnsi="Arial" w:cs="Arial"/>
          <w:sz w:val="22"/>
          <w:szCs w:val="22"/>
          <w:lang w:eastAsia="ar-SA"/>
        </w:rPr>
        <w:t xml:space="preserve">Uživatelé sociálních služeb </w:t>
      </w:r>
    </w:p>
    <w:p w:rsidR="005B4CC6" w:rsidRPr="0068052C" w:rsidRDefault="005B4CC6" w:rsidP="005B4CC6">
      <w:pPr>
        <w:rPr>
          <w:rFonts w:ascii="Arial" w:eastAsia="Times New Roman" w:hAnsi="Arial" w:cs="Arial"/>
          <w:b/>
          <w:color w:val="1F497D"/>
          <w:u w:val="single"/>
        </w:rPr>
      </w:pPr>
    </w:p>
    <w:p w:rsidR="005B4CC6" w:rsidRPr="0068052C" w:rsidRDefault="005B4CC6" w:rsidP="005B4CC6">
      <w:pPr>
        <w:pStyle w:val="Styl1"/>
        <w:rPr>
          <w:rFonts w:ascii="Arial" w:hAnsi="Arial" w:cs="Arial"/>
          <w:color w:val="000000"/>
          <w:sz w:val="22"/>
          <w:szCs w:val="22"/>
          <w:u w:val="none"/>
        </w:rPr>
      </w:pPr>
      <w:r w:rsidRPr="0068052C">
        <w:rPr>
          <w:rFonts w:ascii="Arial" w:hAnsi="Arial" w:cs="Arial"/>
          <w:color w:val="000000"/>
          <w:sz w:val="22"/>
          <w:szCs w:val="22"/>
          <w:u w:val="none"/>
        </w:rPr>
        <w:t>Aktivity projektu</w:t>
      </w:r>
    </w:p>
    <w:p w:rsidR="005B4CC6" w:rsidRPr="0068052C" w:rsidRDefault="005B4CC6" w:rsidP="005B4CC6">
      <w:pPr>
        <w:spacing w:after="120"/>
        <w:jc w:val="both"/>
        <w:rPr>
          <w:rFonts w:ascii="Arial" w:eastAsia="Times New Roman" w:hAnsi="Arial" w:cs="Arial"/>
        </w:rPr>
      </w:pPr>
      <w:r w:rsidRPr="0068052C">
        <w:rPr>
          <w:rFonts w:ascii="Arial" w:eastAsia="Times New Roman" w:hAnsi="Arial" w:cs="Arial"/>
        </w:rPr>
        <w:t>V rámci projektu byla realizována řada aktivit, přičemž aktivity, které byly dle vyjádření cílových skupin (respondentů rozhovorů a dotazníkového šetření) nejvíce významné pro úspěch projektu a v největší míře přispívaly k naplnění cílů projektu, jsou v textu podtrženy:</w:t>
      </w:r>
    </w:p>
    <w:p w:rsidR="005B4CC6" w:rsidRPr="0068052C" w:rsidRDefault="005B4CC6" w:rsidP="005B4CC6">
      <w:pPr>
        <w:pStyle w:val="Odstavecseseznamem"/>
        <w:numPr>
          <w:ilvl w:val="0"/>
          <w:numId w:val="1"/>
        </w:numPr>
        <w:tabs>
          <w:tab w:val="left" w:pos="284"/>
        </w:tabs>
        <w:spacing w:before="0" w:beforeAutospacing="0" w:after="60" w:afterAutospacing="0" w:line="276" w:lineRule="auto"/>
        <w:ind w:left="567" w:hanging="567"/>
        <w:contextualSpacing/>
        <w:jc w:val="both"/>
        <w:rPr>
          <w:rFonts w:ascii="Arial" w:hAnsi="Arial" w:cs="Arial"/>
          <w:sz w:val="22"/>
          <w:szCs w:val="22"/>
          <w:u w:val="single"/>
          <w:lang w:eastAsia="ar-SA"/>
        </w:rPr>
      </w:pPr>
      <w:r w:rsidRPr="0068052C">
        <w:rPr>
          <w:rFonts w:ascii="Arial" w:hAnsi="Arial" w:cs="Arial"/>
          <w:sz w:val="22"/>
          <w:szCs w:val="22"/>
          <w:lang w:eastAsia="ar-SA"/>
        </w:rPr>
        <w:t xml:space="preserve">Informační kampaň </w:t>
      </w:r>
    </w:p>
    <w:p w:rsidR="005B4CC6" w:rsidRPr="0068052C" w:rsidRDefault="005B4CC6" w:rsidP="005B4CC6">
      <w:pPr>
        <w:pStyle w:val="Odstavecseseznamem"/>
        <w:numPr>
          <w:ilvl w:val="0"/>
          <w:numId w:val="1"/>
        </w:numPr>
        <w:tabs>
          <w:tab w:val="left" w:pos="284"/>
        </w:tabs>
        <w:spacing w:before="0" w:beforeAutospacing="0" w:after="60" w:afterAutospacing="0" w:line="276" w:lineRule="auto"/>
        <w:ind w:left="567" w:hanging="567"/>
        <w:contextualSpacing/>
        <w:jc w:val="both"/>
        <w:rPr>
          <w:rFonts w:ascii="Arial" w:hAnsi="Arial" w:cs="Arial"/>
          <w:sz w:val="22"/>
          <w:szCs w:val="22"/>
          <w:u w:val="single"/>
          <w:lang w:eastAsia="ar-SA"/>
        </w:rPr>
      </w:pPr>
      <w:r w:rsidRPr="0068052C">
        <w:rPr>
          <w:rFonts w:ascii="Arial" w:hAnsi="Arial" w:cs="Arial"/>
          <w:sz w:val="22"/>
          <w:szCs w:val="22"/>
          <w:lang w:eastAsia="ar-SA"/>
        </w:rPr>
        <w:t xml:space="preserve">Vypracování metodik a základních dokumentů </w:t>
      </w:r>
    </w:p>
    <w:p w:rsidR="005B4CC6" w:rsidRPr="0068052C" w:rsidRDefault="005B4CC6" w:rsidP="005B4CC6">
      <w:pPr>
        <w:pStyle w:val="Odstavecseseznamem"/>
        <w:numPr>
          <w:ilvl w:val="0"/>
          <w:numId w:val="1"/>
        </w:numPr>
        <w:tabs>
          <w:tab w:val="left" w:pos="284"/>
        </w:tabs>
        <w:spacing w:before="0" w:beforeAutospacing="0" w:after="60" w:afterAutospacing="0" w:line="276" w:lineRule="auto"/>
        <w:ind w:left="567" w:hanging="567"/>
        <w:contextualSpacing/>
        <w:jc w:val="both"/>
        <w:rPr>
          <w:rFonts w:ascii="Arial" w:hAnsi="Arial" w:cs="Arial"/>
          <w:sz w:val="22"/>
          <w:szCs w:val="22"/>
          <w:u w:val="single"/>
          <w:lang w:eastAsia="ar-SA"/>
        </w:rPr>
      </w:pPr>
      <w:r w:rsidRPr="0068052C">
        <w:rPr>
          <w:rFonts w:ascii="Arial" w:hAnsi="Arial" w:cs="Arial"/>
          <w:sz w:val="22"/>
          <w:szCs w:val="22"/>
          <w:lang w:eastAsia="ar-SA"/>
        </w:rPr>
        <w:t xml:space="preserve">Veřejná setkání </w:t>
      </w:r>
    </w:p>
    <w:p w:rsidR="005B4CC6" w:rsidRPr="0068052C" w:rsidRDefault="005B4CC6" w:rsidP="005B4CC6">
      <w:pPr>
        <w:pStyle w:val="Odstavecseseznamem"/>
        <w:numPr>
          <w:ilvl w:val="0"/>
          <w:numId w:val="1"/>
        </w:numPr>
        <w:tabs>
          <w:tab w:val="left" w:pos="284"/>
        </w:tabs>
        <w:spacing w:before="0" w:beforeAutospacing="0" w:after="60" w:afterAutospacing="0" w:line="276" w:lineRule="auto"/>
        <w:ind w:left="567" w:hanging="567"/>
        <w:contextualSpacing/>
        <w:jc w:val="both"/>
        <w:rPr>
          <w:rFonts w:ascii="Arial" w:hAnsi="Arial" w:cs="Arial"/>
          <w:sz w:val="22"/>
          <w:szCs w:val="22"/>
          <w:lang w:eastAsia="ar-SA"/>
        </w:rPr>
      </w:pPr>
      <w:r w:rsidRPr="0068052C">
        <w:rPr>
          <w:rFonts w:ascii="Arial" w:hAnsi="Arial" w:cs="Arial"/>
          <w:sz w:val="22"/>
          <w:szCs w:val="22"/>
          <w:u w:val="single"/>
          <w:lang w:eastAsia="ar-SA"/>
        </w:rPr>
        <w:t>Analýza aktuální sociální situace v regionu</w:t>
      </w:r>
      <w:r w:rsidRPr="0068052C">
        <w:rPr>
          <w:rFonts w:ascii="Arial" w:hAnsi="Arial" w:cs="Arial"/>
          <w:sz w:val="22"/>
          <w:szCs w:val="22"/>
          <w:lang w:eastAsia="ar-SA"/>
        </w:rPr>
        <w:t xml:space="preserve"> </w:t>
      </w:r>
    </w:p>
    <w:p w:rsidR="005B4CC6" w:rsidRPr="0068052C" w:rsidRDefault="005B4CC6" w:rsidP="005B4CC6">
      <w:pPr>
        <w:pStyle w:val="Odstavecseseznamem"/>
        <w:numPr>
          <w:ilvl w:val="0"/>
          <w:numId w:val="1"/>
        </w:numPr>
        <w:tabs>
          <w:tab w:val="left" w:pos="284"/>
        </w:tabs>
        <w:spacing w:before="0" w:beforeAutospacing="0" w:after="60" w:afterAutospacing="0" w:line="276" w:lineRule="auto"/>
        <w:ind w:left="567" w:hanging="567"/>
        <w:contextualSpacing/>
        <w:jc w:val="both"/>
        <w:rPr>
          <w:rFonts w:ascii="Arial" w:hAnsi="Arial" w:cs="Arial"/>
          <w:sz w:val="22"/>
          <w:szCs w:val="22"/>
          <w:u w:val="single"/>
          <w:lang w:eastAsia="ar-SA"/>
        </w:rPr>
      </w:pPr>
      <w:r w:rsidRPr="0068052C">
        <w:rPr>
          <w:rFonts w:ascii="Arial" w:hAnsi="Arial" w:cs="Arial"/>
          <w:sz w:val="22"/>
          <w:szCs w:val="22"/>
          <w:lang w:eastAsia="ar-SA"/>
        </w:rPr>
        <w:t xml:space="preserve">Jednání řídící skupiny </w:t>
      </w:r>
    </w:p>
    <w:p w:rsidR="005B4CC6" w:rsidRPr="0068052C" w:rsidRDefault="005B4CC6" w:rsidP="005B4CC6">
      <w:pPr>
        <w:pStyle w:val="Odstavecseseznamem"/>
        <w:numPr>
          <w:ilvl w:val="0"/>
          <w:numId w:val="1"/>
        </w:numPr>
        <w:tabs>
          <w:tab w:val="left" w:pos="284"/>
        </w:tabs>
        <w:spacing w:before="0" w:beforeAutospacing="0" w:after="60" w:afterAutospacing="0" w:line="276" w:lineRule="auto"/>
        <w:ind w:left="567" w:hanging="567"/>
        <w:contextualSpacing/>
        <w:jc w:val="both"/>
        <w:rPr>
          <w:rFonts w:ascii="Arial" w:hAnsi="Arial" w:cs="Arial"/>
          <w:sz w:val="22"/>
          <w:szCs w:val="22"/>
          <w:lang w:eastAsia="ar-SA"/>
        </w:rPr>
      </w:pPr>
      <w:r w:rsidRPr="0068052C">
        <w:rPr>
          <w:rFonts w:ascii="Arial" w:hAnsi="Arial" w:cs="Arial"/>
          <w:sz w:val="22"/>
          <w:szCs w:val="22"/>
          <w:u w:val="single"/>
          <w:lang w:eastAsia="ar-SA"/>
        </w:rPr>
        <w:t xml:space="preserve">Jednání pracovních skupin </w:t>
      </w:r>
    </w:p>
    <w:p w:rsidR="005B4CC6" w:rsidRPr="0068052C" w:rsidRDefault="005B4CC6" w:rsidP="005B4CC6">
      <w:pPr>
        <w:pStyle w:val="Odstavecseseznamem"/>
        <w:numPr>
          <w:ilvl w:val="0"/>
          <w:numId w:val="1"/>
        </w:numPr>
        <w:tabs>
          <w:tab w:val="left" w:pos="284"/>
        </w:tabs>
        <w:spacing w:before="0" w:beforeAutospacing="0" w:after="60" w:afterAutospacing="0" w:line="276" w:lineRule="auto"/>
        <w:ind w:left="567" w:hanging="567"/>
        <w:contextualSpacing/>
        <w:jc w:val="both"/>
        <w:rPr>
          <w:rFonts w:ascii="Arial" w:hAnsi="Arial" w:cs="Arial"/>
          <w:sz w:val="22"/>
          <w:szCs w:val="22"/>
          <w:u w:val="single"/>
          <w:lang w:eastAsia="ar-SA"/>
        </w:rPr>
      </w:pPr>
      <w:r w:rsidRPr="0068052C">
        <w:rPr>
          <w:rFonts w:ascii="Arial" w:hAnsi="Arial" w:cs="Arial"/>
          <w:sz w:val="22"/>
          <w:szCs w:val="22"/>
          <w:lang w:eastAsia="ar-SA"/>
        </w:rPr>
        <w:t xml:space="preserve">Vytvoření plánu a katalogu, distribuce </w:t>
      </w:r>
    </w:p>
    <w:p w:rsidR="005B4CC6" w:rsidRPr="0068052C" w:rsidRDefault="005B4CC6" w:rsidP="005B4CC6">
      <w:pPr>
        <w:jc w:val="both"/>
        <w:rPr>
          <w:rFonts w:ascii="Arial" w:eastAsia="Times New Roman" w:hAnsi="Arial" w:cs="Arial"/>
          <w:b/>
          <w:color w:val="FF0000"/>
        </w:rPr>
      </w:pPr>
      <w:r w:rsidRPr="0068052C">
        <w:rPr>
          <w:rFonts w:ascii="Arial" w:hAnsi="Arial" w:cs="Arial"/>
          <w:lang w:eastAsia="ar-SA"/>
        </w:rPr>
        <w:t>Schválení plánu (zastupitelstvem)</w:t>
      </w:r>
    </w:p>
    <w:p w:rsidR="005B4CC6" w:rsidRDefault="005B4CC6" w:rsidP="005B4CC6">
      <w:pPr>
        <w:jc w:val="both"/>
        <w:rPr>
          <w:rFonts w:eastAsia="Times New Roman" w:cstheme="minorHAnsi"/>
          <w:b/>
          <w:color w:val="FF0000"/>
        </w:rPr>
      </w:pPr>
    </w:p>
    <w:p w:rsidR="005B4CC6" w:rsidRPr="00916FA6" w:rsidRDefault="005B4CC6" w:rsidP="005B4CC6">
      <w:pPr>
        <w:jc w:val="both"/>
        <w:rPr>
          <w:rFonts w:eastAsia="Times New Roman" w:cstheme="minorHAnsi"/>
          <w:b/>
          <w:color w:val="FF0000"/>
        </w:rPr>
        <w:sectPr w:rsidR="005B4CC6" w:rsidRPr="00916FA6" w:rsidSect="00147DD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708" w:gutter="0"/>
          <w:cols w:space="708"/>
          <w:docGrid w:linePitch="360"/>
        </w:sectPr>
      </w:pPr>
    </w:p>
    <w:p w:rsidR="005B4CC6" w:rsidRPr="00916FA6" w:rsidRDefault="005B4CC6" w:rsidP="005B4CC6">
      <w:pPr>
        <w:rPr>
          <w:rFonts w:cstheme="minorHAnsi"/>
        </w:rPr>
        <w:sectPr w:rsidR="005B4CC6" w:rsidRPr="00916FA6" w:rsidSect="00DC5891">
          <w:pgSz w:w="16838" w:h="11906" w:orient="landscape"/>
          <w:pgMar w:top="720" w:right="720" w:bottom="720" w:left="720" w:header="708" w:footer="459" w:gutter="0"/>
          <w:cols w:space="708"/>
          <w:docGrid w:linePitch="360"/>
        </w:sectPr>
      </w:pPr>
      <w:r>
        <w:rPr>
          <w:noProof/>
          <w:lang w:eastAsia="cs-CZ"/>
        </w:rPr>
        <w:lastRenderedPageBreak/>
        <w:drawing>
          <wp:inline distT="0" distB="0" distL="0" distR="0" wp14:anchorId="11BA8EC4" wp14:editId="3D03A921">
            <wp:extent cx="9777730" cy="56743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77730" cy="5674320"/>
                    </a:xfrm>
                    <a:prstGeom prst="rect">
                      <a:avLst/>
                    </a:prstGeom>
                    <a:noFill/>
                    <a:ln>
                      <a:noFill/>
                    </a:ln>
                  </pic:spPr>
                </pic:pic>
              </a:graphicData>
            </a:graphic>
          </wp:inline>
        </w:drawing>
      </w:r>
    </w:p>
    <w:p w:rsidR="005B4CC6" w:rsidRPr="0068052C" w:rsidRDefault="005B4CC6" w:rsidP="005B4CC6">
      <w:pPr>
        <w:pStyle w:val="Nadpis2"/>
        <w:spacing w:before="120" w:after="0"/>
        <w:rPr>
          <w:rFonts w:ascii="Arial" w:eastAsia="Times New Roman" w:hAnsi="Arial" w:cs="Arial"/>
          <w:szCs w:val="22"/>
          <w:lang w:eastAsia="ar-SA"/>
        </w:rPr>
      </w:pPr>
      <w:bookmarkStart w:id="1" w:name="_Toc321326229"/>
      <w:r w:rsidRPr="0068052C">
        <w:rPr>
          <w:rFonts w:ascii="Arial" w:eastAsia="Times New Roman" w:hAnsi="Arial" w:cs="Arial"/>
          <w:color w:val="auto"/>
          <w:szCs w:val="22"/>
          <w:lang w:eastAsia="ar-SA"/>
        </w:rPr>
        <w:t>Plnění indikátorů</w:t>
      </w:r>
      <w:bookmarkEnd w:id="1"/>
    </w:p>
    <w:p w:rsidR="005B4CC6" w:rsidRPr="0068052C" w:rsidRDefault="005B4CC6" w:rsidP="00BD651A">
      <w:pPr>
        <w:pStyle w:val="Styl1"/>
        <w:spacing w:before="120" w:after="0"/>
        <w:jc w:val="both"/>
        <w:rPr>
          <w:rFonts w:ascii="Arial" w:hAnsi="Arial" w:cs="Arial"/>
          <w:b w:val="0"/>
          <w:color w:val="auto"/>
          <w:sz w:val="22"/>
          <w:szCs w:val="22"/>
          <w:u w:val="none"/>
        </w:rPr>
      </w:pPr>
      <w:r w:rsidRPr="0068052C">
        <w:rPr>
          <w:rFonts w:ascii="Arial" w:hAnsi="Arial" w:cs="Arial"/>
          <w:b w:val="0"/>
          <w:color w:val="auto"/>
          <w:sz w:val="22"/>
          <w:szCs w:val="22"/>
          <w:u w:val="none"/>
        </w:rPr>
        <w:t xml:space="preserve">Ze statistik v IS Monit7+ vyplývá, že v jednom případě došlo k nenaplnění indikátoru (Počet nově vytvořených / inovovaných produktů), kde byly plánovány 2 kusy produktů, ale v IS Monit7+ je vykázán pouze jeden. Dle vyjádření projektové manažerky projektu ale došlo ke splnění i tohoto indikátoru (publikace </w:t>
      </w:r>
      <w:r w:rsidRPr="0068052C">
        <w:rPr>
          <w:rFonts w:ascii="Arial" w:hAnsi="Arial" w:cs="Arial"/>
          <w:b w:val="0"/>
          <w:i/>
          <w:color w:val="auto"/>
          <w:sz w:val="22"/>
          <w:szCs w:val="22"/>
          <w:u w:val="none"/>
        </w:rPr>
        <w:t>Katalog poskytovatelů sociálních a doprovodných služeb Písecka pro rok 2011</w:t>
      </w:r>
      <w:r w:rsidRPr="0068052C">
        <w:rPr>
          <w:rFonts w:ascii="Arial" w:hAnsi="Arial" w:cs="Arial"/>
          <w:b w:val="0"/>
          <w:color w:val="auto"/>
          <w:sz w:val="22"/>
          <w:szCs w:val="22"/>
          <w:u w:val="none"/>
        </w:rPr>
        <w:t xml:space="preserve"> a publikace </w:t>
      </w:r>
      <w:r w:rsidRPr="0068052C">
        <w:rPr>
          <w:rFonts w:ascii="Arial" w:hAnsi="Arial" w:cs="Arial"/>
          <w:b w:val="0"/>
          <w:i/>
          <w:color w:val="auto"/>
          <w:sz w:val="22"/>
          <w:szCs w:val="22"/>
          <w:u w:val="none"/>
        </w:rPr>
        <w:t>Komunitní plán sociálních služeb Písecka</w:t>
      </w:r>
      <w:r w:rsidRPr="0068052C">
        <w:rPr>
          <w:rFonts w:ascii="Arial" w:hAnsi="Arial" w:cs="Arial"/>
          <w:b w:val="0"/>
          <w:color w:val="auto"/>
          <w:sz w:val="22"/>
          <w:szCs w:val="22"/>
          <w:u w:val="none"/>
        </w:rPr>
        <w:t>, oba k dispozici online, na CD i v tištěné podobě) a jedná se tedy pouze o chybu v systému. Mezi podpořenými organizacemi byla jedna nezisková organizace (Centrum pro komunitní plánování, které bylo realizátorem projektu) a jedna organizace veřejné správy (MÚ Písek, partner projektu).</w:t>
      </w:r>
    </w:p>
    <w:p w:rsidR="00696AD8" w:rsidRPr="0068052C" w:rsidRDefault="00696AD8" w:rsidP="00696AD8">
      <w:pPr>
        <w:pStyle w:val="Styl1"/>
        <w:spacing w:after="0"/>
        <w:jc w:val="both"/>
        <w:rPr>
          <w:rFonts w:ascii="Arial" w:hAnsi="Arial" w:cs="Arial"/>
          <w:b w:val="0"/>
          <w:color w:val="auto"/>
          <w:sz w:val="22"/>
          <w:szCs w:val="22"/>
          <w:u w:val="none"/>
        </w:rPr>
      </w:pPr>
    </w:p>
    <w:p w:rsidR="005B4CC6" w:rsidRPr="00E156CB" w:rsidRDefault="005B4CC6" w:rsidP="00696AD8">
      <w:pPr>
        <w:spacing w:after="0"/>
        <w:jc w:val="both"/>
        <w:rPr>
          <w:rFonts w:ascii="Arial" w:hAnsi="Arial" w:cs="Arial"/>
          <w:b/>
          <w:i/>
        </w:rPr>
      </w:pPr>
      <w:r w:rsidRPr="00E156CB">
        <w:rPr>
          <w:rFonts w:ascii="Arial" w:hAnsi="Arial" w:cs="Arial"/>
          <w:b/>
          <w:i/>
        </w:rPr>
        <w:t xml:space="preserve">Tabulka </w:t>
      </w:r>
      <w:r w:rsidRPr="00E156CB">
        <w:rPr>
          <w:rFonts w:ascii="Arial" w:hAnsi="Arial" w:cs="Arial"/>
          <w:b/>
          <w:i/>
        </w:rPr>
        <w:fldChar w:fldCharType="begin"/>
      </w:r>
      <w:r w:rsidRPr="00E156CB">
        <w:rPr>
          <w:rFonts w:ascii="Arial" w:hAnsi="Arial" w:cs="Arial"/>
          <w:b/>
          <w:i/>
        </w:rPr>
        <w:instrText xml:space="preserve"> SEQ Tabulka \* ARABIC </w:instrText>
      </w:r>
      <w:r w:rsidRPr="00E156CB">
        <w:rPr>
          <w:rFonts w:ascii="Arial" w:hAnsi="Arial" w:cs="Arial"/>
          <w:b/>
          <w:i/>
        </w:rPr>
        <w:fldChar w:fldCharType="separate"/>
      </w:r>
      <w:r w:rsidR="00F634FB" w:rsidRPr="00E156CB">
        <w:rPr>
          <w:rFonts w:ascii="Arial" w:hAnsi="Arial" w:cs="Arial"/>
          <w:b/>
          <w:i/>
          <w:noProof/>
        </w:rPr>
        <w:t>1</w:t>
      </w:r>
      <w:r w:rsidRPr="00E156CB">
        <w:rPr>
          <w:rFonts w:ascii="Arial" w:hAnsi="Arial" w:cs="Arial"/>
          <w:b/>
          <w:i/>
        </w:rPr>
        <w:fldChar w:fldCharType="end"/>
      </w:r>
      <w:r w:rsidRPr="00E156CB">
        <w:rPr>
          <w:rFonts w:ascii="Arial" w:hAnsi="Arial" w:cs="Arial"/>
          <w:b/>
          <w:i/>
        </w:rPr>
        <w:t>: Dosažené hodnoty indikátorů projektu</w:t>
      </w:r>
    </w:p>
    <w:tbl>
      <w:tblPr>
        <w:tblW w:w="5000" w:type="pct"/>
        <w:tblCellMar>
          <w:left w:w="70" w:type="dxa"/>
          <w:right w:w="70" w:type="dxa"/>
        </w:tblCellMar>
        <w:tblLook w:val="04A0" w:firstRow="1" w:lastRow="0" w:firstColumn="1" w:lastColumn="0" w:noHBand="0" w:noVBand="1"/>
      </w:tblPr>
      <w:tblGrid>
        <w:gridCol w:w="1559"/>
        <w:gridCol w:w="4715"/>
        <w:gridCol w:w="980"/>
        <w:gridCol w:w="1140"/>
        <w:gridCol w:w="818"/>
      </w:tblGrid>
      <w:tr w:rsidR="005B4CC6" w:rsidRPr="00C76789" w:rsidTr="00F634FB">
        <w:trPr>
          <w:trHeight w:val="459"/>
        </w:trPr>
        <w:tc>
          <w:tcPr>
            <w:tcW w:w="846" w:type="pct"/>
            <w:tcBorders>
              <w:top w:val="single" w:sz="4" w:space="0" w:color="auto"/>
              <w:left w:val="single" w:sz="4" w:space="0" w:color="auto"/>
              <w:bottom w:val="single" w:sz="4" w:space="0" w:color="auto"/>
              <w:right w:val="single" w:sz="4" w:space="0" w:color="auto"/>
            </w:tcBorders>
            <w:shd w:val="clear" w:color="auto" w:fill="CCFFCC"/>
            <w:vAlign w:val="center"/>
            <w:hideMark/>
          </w:tcPr>
          <w:p w:rsidR="005B4CC6" w:rsidRPr="00C76789" w:rsidRDefault="005B4CC6" w:rsidP="00F634FB">
            <w:pPr>
              <w:jc w:val="center"/>
              <w:rPr>
                <w:rFonts w:ascii="Arial" w:eastAsia="Times New Roman" w:hAnsi="Arial" w:cs="Arial"/>
                <w:b/>
                <w:iCs/>
                <w:color w:val="000000"/>
                <w:sz w:val="20"/>
                <w:szCs w:val="20"/>
              </w:rPr>
            </w:pPr>
            <w:r w:rsidRPr="00C76789">
              <w:rPr>
                <w:rFonts w:ascii="Arial" w:eastAsia="Times New Roman" w:hAnsi="Arial" w:cs="Arial"/>
                <w:b/>
                <w:iCs/>
                <w:color w:val="000000"/>
                <w:sz w:val="20"/>
                <w:szCs w:val="20"/>
              </w:rPr>
              <w:t>Kód indikátoru</w:t>
            </w:r>
          </w:p>
        </w:tc>
        <w:tc>
          <w:tcPr>
            <w:tcW w:w="2559" w:type="pct"/>
            <w:tcBorders>
              <w:top w:val="single" w:sz="4" w:space="0" w:color="auto"/>
              <w:left w:val="nil"/>
              <w:bottom w:val="single" w:sz="4" w:space="0" w:color="auto"/>
              <w:right w:val="single" w:sz="4" w:space="0" w:color="auto"/>
            </w:tcBorders>
            <w:shd w:val="clear" w:color="auto" w:fill="CCFFCC"/>
            <w:vAlign w:val="center"/>
            <w:hideMark/>
          </w:tcPr>
          <w:p w:rsidR="005B4CC6" w:rsidRPr="00C76789" w:rsidRDefault="005B4CC6" w:rsidP="00F634FB">
            <w:pPr>
              <w:jc w:val="center"/>
              <w:rPr>
                <w:rFonts w:ascii="Arial" w:eastAsia="Times New Roman" w:hAnsi="Arial" w:cs="Arial"/>
                <w:b/>
                <w:iCs/>
                <w:color w:val="000000"/>
                <w:sz w:val="20"/>
                <w:szCs w:val="20"/>
              </w:rPr>
            </w:pPr>
            <w:r w:rsidRPr="00C76789">
              <w:rPr>
                <w:rFonts w:ascii="Arial" w:eastAsia="Times New Roman" w:hAnsi="Arial" w:cs="Arial"/>
                <w:b/>
                <w:iCs/>
                <w:color w:val="000000"/>
                <w:sz w:val="20"/>
                <w:szCs w:val="20"/>
              </w:rPr>
              <w:t>Název indikátoru</w:t>
            </w:r>
          </w:p>
        </w:tc>
        <w:tc>
          <w:tcPr>
            <w:tcW w:w="532" w:type="pct"/>
            <w:tcBorders>
              <w:top w:val="single" w:sz="4" w:space="0" w:color="auto"/>
              <w:left w:val="nil"/>
              <w:bottom w:val="single" w:sz="4" w:space="0" w:color="auto"/>
              <w:right w:val="single" w:sz="4" w:space="0" w:color="auto"/>
            </w:tcBorders>
            <w:shd w:val="clear" w:color="auto" w:fill="CCFFCC"/>
            <w:vAlign w:val="center"/>
            <w:hideMark/>
          </w:tcPr>
          <w:p w:rsidR="005B4CC6" w:rsidRPr="00C76789" w:rsidRDefault="005B4CC6" w:rsidP="00F634FB">
            <w:pPr>
              <w:jc w:val="center"/>
              <w:rPr>
                <w:rFonts w:ascii="Arial" w:eastAsia="Times New Roman" w:hAnsi="Arial" w:cs="Arial"/>
                <w:b/>
                <w:iCs/>
                <w:color w:val="000000"/>
                <w:sz w:val="20"/>
                <w:szCs w:val="20"/>
              </w:rPr>
            </w:pPr>
            <w:r w:rsidRPr="00C76789">
              <w:rPr>
                <w:rFonts w:ascii="Arial" w:eastAsia="Times New Roman" w:hAnsi="Arial" w:cs="Arial"/>
                <w:b/>
                <w:iCs/>
                <w:color w:val="000000"/>
                <w:sz w:val="20"/>
                <w:szCs w:val="20"/>
              </w:rPr>
              <w:t>Cílová hodnota</w:t>
            </w:r>
          </w:p>
        </w:tc>
        <w:tc>
          <w:tcPr>
            <w:tcW w:w="619" w:type="pct"/>
            <w:tcBorders>
              <w:top w:val="single" w:sz="4" w:space="0" w:color="auto"/>
              <w:left w:val="nil"/>
              <w:bottom w:val="single" w:sz="4" w:space="0" w:color="auto"/>
              <w:right w:val="single" w:sz="4" w:space="0" w:color="auto"/>
            </w:tcBorders>
            <w:shd w:val="clear" w:color="auto" w:fill="CCFFCC"/>
            <w:vAlign w:val="center"/>
            <w:hideMark/>
          </w:tcPr>
          <w:p w:rsidR="005B4CC6" w:rsidRPr="00C76789" w:rsidRDefault="005B4CC6" w:rsidP="00F634FB">
            <w:pPr>
              <w:jc w:val="center"/>
              <w:rPr>
                <w:rFonts w:ascii="Arial" w:eastAsia="Times New Roman" w:hAnsi="Arial" w:cs="Arial"/>
                <w:b/>
                <w:iCs/>
                <w:color w:val="000000"/>
                <w:sz w:val="20"/>
                <w:szCs w:val="20"/>
              </w:rPr>
            </w:pPr>
            <w:r w:rsidRPr="00C76789">
              <w:rPr>
                <w:rFonts w:ascii="Arial" w:eastAsia="Times New Roman" w:hAnsi="Arial" w:cs="Arial"/>
                <w:b/>
                <w:iCs/>
                <w:color w:val="000000"/>
                <w:sz w:val="20"/>
                <w:szCs w:val="20"/>
              </w:rPr>
              <w:t>Dosažená hodnota</w:t>
            </w:r>
          </w:p>
        </w:tc>
        <w:tc>
          <w:tcPr>
            <w:tcW w:w="444" w:type="pct"/>
            <w:tcBorders>
              <w:top w:val="single" w:sz="4" w:space="0" w:color="auto"/>
              <w:left w:val="nil"/>
              <w:bottom w:val="single" w:sz="4" w:space="0" w:color="auto"/>
              <w:right w:val="single" w:sz="4" w:space="0" w:color="auto"/>
            </w:tcBorders>
            <w:shd w:val="clear" w:color="auto" w:fill="CCFFCC"/>
            <w:vAlign w:val="center"/>
            <w:hideMark/>
          </w:tcPr>
          <w:p w:rsidR="005B4CC6" w:rsidRPr="00C76789" w:rsidRDefault="005B4CC6" w:rsidP="00F634FB">
            <w:pPr>
              <w:jc w:val="center"/>
              <w:rPr>
                <w:rFonts w:ascii="Arial" w:eastAsia="Times New Roman" w:hAnsi="Arial" w:cs="Arial"/>
                <w:b/>
                <w:iCs/>
                <w:color w:val="000000"/>
                <w:sz w:val="20"/>
                <w:szCs w:val="20"/>
              </w:rPr>
            </w:pPr>
            <w:r w:rsidRPr="00C76789">
              <w:rPr>
                <w:rFonts w:ascii="Arial" w:eastAsia="Times New Roman" w:hAnsi="Arial" w:cs="Arial"/>
                <w:b/>
                <w:iCs/>
                <w:color w:val="000000"/>
                <w:sz w:val="20"/>
                <w:szCs w:val="20"/>
              </w:rPr>
              <w:t>v %</w:t>
            </w:r>
          </w:p>
        </w:tc>
      </w:tr>
      <w:tr w:rsidR="005B4CC6" w:rsidRPr="00C76789" w:rsidTr="00C76789">
        <w:trPr>
          <w:trHeight w:val="230"/>
        </w:trPr>
        <w:tc>
          <w:tcPr>
            <w:tcW w:w="846" w:type="pct"/>
            <w:tcBorders>
              <w:top w:val="nil"/>
              <w:left w:val="single" w:sz="4" w:space="0" w:color="auto"/>
              <w:bottom w:val="single" w:sz="4" w:space="0" w:color="auto"/>
              <w:right w:val="single" w:sz="4" w:space="0" w:color="auto"/>
            </w:tcBorders>
            <w:shd w:val="clear" w:color="auto" w:fill="FFFF99"/>
            <w:vAlign w:val="center"/>
            <w:hideMark/>
          </w:tcPr>
          <w:p w:rsidR="005B4CC6" w:rsidRPr="00C76789" w:rsidRDefault="005B4CC6" w:rsidP="002463F5">
            <w:pPr>
              <w:rPr>
                <w:rFonts w:ascii="Arial" w:eastAsia="Times New Roman" w:hAnsi="Arial" w:cs="Arial"/>
                <w:iCs/>
                <w:color w:val="000000"/>
                <w:sz w:val="20"/>
                <w:szCs w:val="20"/>
              </w:rPr>
            </w:pPr>
            <w:r w:rsidRPr="00C76789">
              <w:rPr>
                <w:rFonts w:ascii="Arial" w:eastAsia="Times New Roman" w:hAnsi="Arial" w:cs="Arial"/>
                <w:iCs/>
                <w:color w:val="000000"/>
                <w:sz w:val="20"/>
                <w:szCs w:val="20"/>
              </w:rPr>
              <w:t>07.57.00</w:t>
            </w:r>
          </w:p>
        </w:tc>
        <w:tc>
          <w:tcPr>
            <w:tcW w:w="2559" w:type="pct"/>
            <w:tcBorders>
              <w:top w:val="nil"/>
              <w:left w:val="nil"/>
              <w:bottom w:val="single" w:sz="4" w:space="0" w:color="auto"/>
              <w:right w:val="single" w:sz="4" w:space="0" w:color="auto"/>
            </w:tcBorders>
            <w:shd w:val="clear" w:color="auto" w:fill="FFFF99"/>
            <w:vAlign w:val="center"/>
            <w:hideMark/>
          </w:tcPr>
          <w:p w:rsidR="005B4CC6" w:rsidRPr="00C76789" w:rsidRDefault="005B4CC6" w:rsidP="002463F5">
            <w:pPr>
              <w:rPr>
                <w:rFonts w:ascii="Arial" w:eastAsia="Times New Roman" w:hAnsi="Arial" w:cs="Arial"/>
                <w:iCs/>
                <w:color w:val="000000"/>
                <w:sz w:val="20"/>
                <w:szCs w:val="20"/>
              </w:rPr>
            </w:pPr>
            <w:r w:rsidRPr="00C76789">
              <w:rPr>
                <w:rFonts w:ascii="Arial" w:eastAsia="Times New Roman" w:hAnsi="Arial" w:cs="Arial"/>
                <w:iCs/>
                <w:color w:val="000000"/>
                <w:sz w:val="20"/>
                <w:szCs w:val="20"/>
              </w:rPr>
              <w:t>Počet nově vytvořených / inovovaných produktů</w:t>
            </w:r>
          </w:p>
        </w:tc>
        <w:tc>
          <w:tcPr>
            <w:tcW w:w="532" w:type="pct"/>
            <w:tcBorders>
              <w:top w:val="nil"/>
              <w:left w:val="nil"/>
              <w:bottom w:val="single" w:sz="4" w:space="0" w:color="auto"/>
              <w:right w:val="single" w:sz="4" w:space="0" w:color="auto"/>
            </w:tcBorders>
            <w:shd w:val="clear" w:color="auto" w:fill="auto"/>
            <w:vAlign w:val="center"/>
            <w:hideMark/>
          </w:tcPr>
          <w:p w:rsidR="005B4CC6" w:rsidRPr="00C76789" w:rsidRDefault="005B4CC6" w:rsidP="002463F5">
            <w:pPr>
              <w:jc w:val="center"/>
              <w:rPr>
                <w:rFonts w:ascii="Arial" w:eastAsia="Times New Roman" w:hAnsi="Arial" w:cs="Arial"/>
                <w:iCs/>
                <w:color w:val="000000"/>
                <w:sz w:val="20"/>
                <w:szCs w:val="20"/>
              </w:rPr>
            </w:pPr>
            <w:r w:rsidRPr="00C76789">
              <w:rPr>
                <w:rFonts w:ascii="Arial" w:eastAsia="Times New Roman" w:hAnsi="Arial" w:cs="Arial"/>
                <w:iCs/>
                <w:color w:val="000000"/>
                <w:sz w:val="20"/>
                <w:szCs w:val="20"/>
              </w:rPr>
              <w:t>2</w:t>
            </w:r>
          </w:p>
        </w:tc>
        <w:tc>
          <w:tcPr>
            <w:tcW w:w="619" w:type="pct"/>
            <w:tcBorders>
              <w:top w:val="nil"/>
              <w:left w:val="nil"/>
              <w:bottom w:val="single" w:sz="4" w:space="0" w:color="auto"/>
              <w:right w:val="single" w:sz="4" w:space="0" w:color="auto"/>
            </w:tcBorders>
            <w:shd w:val="clear" w:color="auto" w:fill="auto"/>
            <w:vAlign w:val="center"/>
            <w:hideMark/>
          </w:tcPr>
          <w:p w:rsidR="005B4CC6" w:rsidRPr="00C76789" w:rsidRDefault="005B4CC6" w:rsidP="002463F5">
            <w:pPr>
              <w:jc w:val="center"/>
              <w:rPr>
                <w:rFonts w:ascii="Arial" w:eastAsia="Times New Roman" w:hAnsi="Arial" w:cs="Arial"/>
                <w:iCs/>
                <w:color w:val="000000"/>
                <w:sz w:val="20"/>
                <w:szCs w:val="20"/>
              </w:rPr>
            </w:pPr>
            <w:r w:rsidRPr="00C76789">
              <w:rPr>
                <w:rFonts w:ascii="Arial" w:eastAsia="Times New Roman" w:hAnsi="Arial" w:cs="Arial"/>
                <w:iCs/>
                <w:color w:val="000000"/>
                <w:sz w:val="20"/>
                <w:szCs w:val="20"/>
              </w:rPr>
              <w:t>1*</w:t>
            </w:r>
          </w:p>
        </w:tc>
        <w:tc>
          <w:tcPr>
            <w:tcW w:w="444" w:type="pct"/>
            <w:tcBorders>
              <w:top w:val="nil"/>
              <w:left w:val="nil"/>
              <w:bottom w:val="single" w:sz="4" w:space="0" w:color="auto"/>
              <w:right w:val="single" w:sz="4" w:space="0" w:color="auto"/>
            </w:tcBorders>
            <w:shd w:val="clear" w:color="auto" w:fill="auto"/>
            <w:vAlign w:val="center"/>
            <w:hideMark/>
          </w:tcPr>
          <w:p w:rsidR="005B4CC6" w:rsidRPr="00C76789" w:rsidRDefault="005B4CC6" w:rsidP="002463F5">
            <w:pPr>
              <w:jc w:val="center"/>
              <w:rPr>
                <w:rFonts w:ascii="Arial" w:eastAsia="Times New Roman" w:hAnsi="Arial" w:cs="Arial"/>
                <w:iCs/>
                <w:color w:val="000000"/>
                <w:sz w:val="20"/>
                <w:szCs w:val="20"/>
              </w:rPr>
            </w:pPr>
            <w:r w:rsidRPr="00C76789">
              <w:rPr>
                <w:rFonts w:ascii="Arial" w:eastAsia="Times New Roman" w:hAnsi="Arial" w:cs="Arial"/>
                <w:iCs/>
                <w:color w:val="000000"/>
                <w:sz w:val="20"/>
                <w:szCs w:val="20"/>
              </w:rPr>
              <w:t>50</w:t>
            </w:r>
          </w:p>
        </w:tc>
      </w:tr>
      <w:tr w:rsidR="005B4CC6" w:rsidRPr="00C76789" w:rsidTr="00C76789">
        <w:trPr>
          <w:trHeight w:val="300"/>
        </w:trPr>
        <w:tc>
          <w:tcPr>
            <w:tcW w:w="846" w:type="pct"/>
            <w:tcBorders>
              <w:top w:val="nil"/>
              <w:left w:val="single" w:sz="4" w:space="0" w:color="auto"/>
              <w:bottom w:val="single" w:sz="4" w:space="0" w:color="auto"/>
              <w:right w:val="single" w:sz="4" w:space="0" w:color="auto"/>
            </w:tcBorders>
            <w:shd w:val="clear" w:color="auto" w:fill="FFFF99"/>
            <w:vAlign w:val="center"/>
            <w:hideMark/>
          </w:tcPr>
          <w:p w:rsidR="005B4CC6" w:rsidRPr="00C76789" w:rsidRDefault="005B4CC6" w:rsidP="002463F5">
            <w:pPr>
              <w:rPr>
                <w:rFonts w:ascii="Arial" w:eastAsia="Times New Roman" w:hAnsi="Arial" w:cs="Arial"/>
                <w:iCs/>
                <w:color w:val="000000"/>
                <w:sz w:val="20"/>
                <w:szCs w:val="20"/>
              </w:rPr>
            </w:pPr>
            <w:r w:rsidRPr="00C76789">
              <w:rPr>
                <w:rFonts w:ascii="Arial" w:eastAsia="Times New Roman" w:hAnsi="Arial" w:cs="Arial"/>
                <w:iCs/>
                <w:color w:val="000000"/>
                <w:sz w:val="20"/>
                <w:szCs w:val="20"/>
              </w:rPr>
              <w:t>07.45.00</w:t>
            </w:r>
          </w:p>
        </w:tc>
        <w:tc>
          <w:tcPr>
            <w:tcW w:w="2559" w:type="pct"/>
            <w:tcBorders>
              <w:top w:val="nil"/>
              <w:left w:val="nil"/>
              <w:bottom w:val="single" w:sz="4" w:space="0" w:color="auto"/>
              <w:right w:val="single" w:sz="4" w:space="0" w:color="auto"/>
            </w:tcBorders>
            <w:shd w:val="clear" w:color="auto" w:fill="FFFF99"/>
            <w:vAlign w:val="center"/>
            <w:hideMark/>
          </w:tcPr>
          <w:p w:rsidR="005B4CC6" w:rsidRPr="00C76789" w:rsidRDefault="005B4CC6" w:rsidP="002463F5">
            <w:pPr>
              <w:rPr>
                <w:rFonts w:ascii="Arial" w:eastAsia="Times New Roman" w:hAnsi="Arial" w:cs="Arial"/>
                <w:iCs/>
                <w:color w:val="000000"/>
                <w:sz w:val="20"/>
                <w:szCs w:val="20"/>
              </w:rPr>
            </w:pPr>
            <w:r w:rsidRPr="00C76789">
              <w:rPr>
                <w:rFonts w:ascii="Arial" w:eastAsia="Times New Roman" w:hAnsi="Arial" w:cs="Arial"/>
                <w:iCs/>
                <w:color w:val="000000"/>
                <w:sz w:val="20"/>
                <w:szCs w:val="20"/>
              </w:rPr>
              <w:t>Počet podpořených organizací - celkem</w:t>
            </w:r>
          </w:p>
        </w:tc>
        <w:tc>
          <w:tcPr>
            <w:tcW w:w="532" w:type="pct"/>
            <w:tcBorders>
              <w:top w:val="nil"/>
              <w:left w:val="nil"/>
              <w:bottom w:val="single" w:sz="4" w:space="0" w:color="auto"/>
              <w:right w:val="single" w:sz="4" w:space="0" w:color="auto"/>
            </w:tcBorders>
            <w:shd w:val="clear" w:color="auto" w:fill="auto"/>
            <w:vAlign w:val="center"/>
            <w:hideMark/>
          </w:tcPr>
          <w:p w:rsidR="005B4CC6" w:rsidRPr="00C76789" w:rsidRDefault="005B4CC6" w:rsidP="002463F5">
            <w:pPr>
              <w:jc w:val="center"/>
              <w:rPr>
                <w:rFonts w:ascii="Arial" w:eastAsia="Times New Roman" w:hAnsi="Arial" w:cs="Arial"/>
                <w:iCs/>
                <w:color w:val="000000"/>
                <w:sz w:val="20"/>
                <w:szCs w:val="20"/>
              </w:rPr>
            </w:pPr>
            <w:r w:rsidRPr="00C76789">
              <w:rPr>
                <w:rFonts w:ascii="Arial" w:eastAsia="Times New Roman" w:hAnsi="Arial" w:cs="Arial"/>
                <w:iCs/>
                <w:color w:val="000000"/>
                <w:sz w:val="20"/>
                <w:szCs w:val="20"/>
              </w:rPr>
              <w:t>2</w:t>
            </w:r>
          </w:p>
        </w:tc>
        <w:tc>
          <w:tcPr>
            <w:tcW w:w="619" w:type="pct"/>
            <w:tcBorders>
              <w:top w:val="nil"/>
              <w:left w:val="nil"/>
              <w:bottom w:val="single" w:sz="4" w:space="0" w:color="auto"/>
              <w:right w:val="single" w:sz="4" w:space="0" w:color="auto"/>
            </w:tcBorders>
            <w:shd w:val="clear" w:color="auto" w:fill="auto"/>
            <w:vAlign w:val="center"/>
            <w:hideMark/>
          </w:tcPr>
          <w:p w:rsidR="005B4CC6" w:rsidRPr="00C76789" w:rsidRDefault="005B4CC6" w:rsidP="002463F5">
            <w:pPr>
              <w:jc w:val="center"/>
              <w:rPr>
                <w:rFonts w:ascii="Arial" w:eastAsia="Times New Roman" w:hAnsi="Arial" w:cs="Arial"/>
                <w:iCs/>
                <w:color w:val="000000"/>
                <w:sz w:val="20"/>
                <w:szCs w:val="20"/>
              </w:rPr>
            </w:pPr>
            <w:r w:rsidRPr="00C76789">
              <w:rPr>
                <w:rFonts w:ascii="Arial" w:eastAsia="Times New Roman" w:hAnsi="Arial" w:cs="Arial"/>
                <w:iCs/>
                <w:color w:val="000000"/>
                <w:sz w:val="20"/>
                <w:szCs w:val="20"/>
              </w:rPr>
              <w:t>2</w:t>
            </w:r>
          </w:p>
        </w:tc>
        <w:tc>
          <w:tcPr>
            <w:tcW w:w="444" w:type="pct"/>
            <w:tcBorders>
              <w:top w:val="nil"/>
              <w:left w:val="nil"/>
              <w:bottom w:val="single" w:sz="4" w:space="0" w:color="auto"/>
              <w:right w:val="single" w:sz="4" w:space="0" w:color="auto"/>
            </w:tcBorders>
            <w:shd w:val="clear" w:color="auto" w:fill="auto"/>
            <w:vAlign w:val="center"/>
            <w:hideMark/>
          </w:tcPr>
          <w:p w:rsidR="005B4CC6" w:rsidRPr="00C76789" w:rsidRDefault="005B4CC6" w:rsidP="002463F5">
            <w:pPr>
              <w:jc w:val="center"/>
              <w:rPr>
                <w:rFonts w:ascii="Arial" w:eastAsia="Times New Roman" w:hAnsi="Arial" w:cs="Arial"/>
                <w:iCs/>
                <w:color w:val="000000"/>
                <w:sz w:val="20"/>
                <w:szCs w:val="20"/>
              </w:rPr>
            </w:pPr>
            <w:r w:rsidRPr="00C76789">
              <w:rPr>
                <w:rFonts w:ascii="Arial" w:eastAsia="Times New Roman" w:hAnsi="Arial" w:cs="Arial"/>
                <w:iCs/>
                <w:color w:val="000000"/>
                <w:sz w:val="20"/>
                <w:szCs w:val="20"/>
              </w:rPr>
              <w:t>100</w:t>
            </w:r>
          </w:p>
        </w:tc>
      </w:tr>
    </w:tbl>
    <w:p w:rsidR="005B4CC6" w:rsidRPr="00E156CB" w:rsidRDefault="005B4CC6" w:rsidP="00E156CB">
      <w:pPr>
        <w:keepNext/>
        <w:keepLines/>
        <w:spacing w:before="60" w:after="60"/>
        <w:jc w:val="both"/>
        <w:rPr>
          <w:rFonts w:ascii="Arial" w:eastAsia="Times New Roman" w:hAnsi="Arial" w:cs="Arial"/>
          <w:i/>
          <w:sz w:val="18"/>
          <w:szCs w:val="18"/>
        </w:rPr>
      </w:pPr>
      <w:r w:rsidRPr="00E156CB">
        <w:rPr>
          <w:rFonts w:ascii="Arial" w:eastAsia="Times New Roman" w:hAnsi="Arial" w:cs="Arial"/>
          <w:i/>
          <w:sz w:val="18"/>
          <w:szCs w:val="18"/>
        </w:rPr>
        <w:t>* dle vyjádření příjemce byly splněny všechny indikátory, v IS Monit7+ zatím není hodnota doplněna</w:t>
      </w:r>
    </w:p>
    <w:p w:rsidR="005B4CC6" w:rsidRPr="00E156CB" w:rsidRDefault="005B4CC6" w:rsidP="00E156CB">
      <w:pPr>
        <w:spacing w:before="60" w:after="60"/>
        <w:jc w:val="both"/>
        <w:rPr>
          <w:rFonts w:ascii="Arial" w:eastAsia="Times New Roman" w:hAnsi="Arial" w:cs="Arial"/>
          <w:i/>
          <w:sz w:val="18"/>
          <w:szCs w:val="18"/>
        </w:rPr>
      </w:pPr>
      <w:r w:rsidRPr="00E156CB">
        <w:rPr>
          <w:rFonts w:ascii="Arial" w:eastAsia="Times New Roman" w:hAnsi="Arial" w:cs="Arial"/>
          <w:i/>
          <w:sz w:val="18"/>
          <w:szCs w:val="18"/>
        </w:rPr>
        <w:t>Zdroj: IS Monit7+30. 3. 2012</w:t>
      </w:r>
    </w:p>
    <w:p w:rsidR="005B4CC6" w:rsidRPr="0068052C" w:rsidRDefault="005B4CC6" w:rsidP="005B4CC6">
      <w:pPr>
        <w:spacing w:after="0"/>
        <w:jc w:val="both"/>
        <w:rPr>
          <w:rFonts w:ascii="Arial" w:eastAsia="Times New Roman" w:hAnsi="Arial" w:cs="Arial"/>
        </w:rPr>
      </w:pPr>
    </w:p>
    <w:p w:rsidR="005B4CC6" w:rsidRPr="0068052C" w:rsidRDefault="005B4CC6" w:rsidP="005B4CC6">
      <w:pPr>
        <w:spacing w:before="120" w:after="0"/>
        <w:jc w:val="both"/>
        <w:rPr>
          <w:rFonts w:ascii="Arial" w:eastAsia="Times New Roman" w:hAnsi="Arial" w:cs="Arial"/>
          <w:b/>
        </w:rPr>
      </w:pPr>
      <w:r w:rsidRPr="0068052C">
        <w:rPr>
          <w:rFonts w:ascii="Arial" w:hAnsi="Arial" w:cs="Arial"/>
          <w:b/>
          <w:color w:val="000000"/>
        </w:rPr>
        <w:t>Zhodnocení výsledků projektu</w:t>
      </w:r>
    </w:p>
    <w:p w:rsidR="005B4CC6" w:rsidRPr="0068052C" w:rsidRDefault="005B4CC6" w:rsidP="00180F09">
      <w:pPr>
        <w:spacing w:before="120" w:after="0"/>
        <w:jc w:val="both"/>
        <w:rPr>
          <w:rFonts w:ascii="Arial" w:eastAsia="Times New Roman" w:hAnsi="Arial" w:cs="Arial"/>
        </w:rPr>
      </w:pPr>
      <w:r w:rsidRPr="0068052C">
        <w:rPr>
          <w:rFonts w:ascii="Arial" w:eastAsia="Times New Roman" w:hAnsi="Arial" w:cs="Arial"/>
          <w:b/>
        </w:rPr>
        <w:t>Na základě všech získaných informací lze po expertním zhodnocení evaluátora projekt hodnotit jako úspěšný, přestože některé aktivity nenaplnily všechny očekávané výsledky</w:t>
      </w:r>
      <w:r w:rsidRPr="0068052C">
        <w:rPr>
          <w:rFonts w:ascii="Arial" w:eastAsia="Times New Roman" w:hAnsi="Arial" w:cs="Arial"/>
        </w:rPr>
        <w:t>. Ve svém souhrnu vedly aktivity projektu k hlavnímu stanovenému cíli projektu, tj. zkvalitnění služeb v regionu ORP Písek. Komunitní plán dle zjištěných informací pomáhá podpořit rozvoj a udržitelnost služeb, které budou odpovídat potřebám obyvatel regionu.</w:t>
      </w:r>
    </w:p>
    <w:p w:rsidR="005B4CC6" w:rsidRPr="0068052C" w:rsidRDefault="005B4CC6" w:rsidP="005B4CC6">
      <w:pPr>
        <w:spacing w:after="60"/>
        <w:jc w:val="both"/>
        <w:rPr>
          <w:rFonts w:ascii="Arial" w:eastAsia="Times New Roman" w:hAnsi="Arial" w:cs="Arial"/>
        </w:rPr>
      </w:pPr>
      <w:r w:rsidRPr="0068052C">
        <w:rPr>
          <w:rFonts w:ascii="Arial" w:eastAsia="Times New Roman" w:hAnsi="Arial" w:cs="Arial"/>
        </w:rPr>
        <w:t xml:space="preserve">Plán vycházel z analýzy aktuální situace v regionu. Zjišťování aktuální situace mělo být zajištěno pomocí ankety mezi uživateli, zapojením aktivních aktérů ze všech cílových skupin a pomocí veřejných projednání. Bohužel zapojení uživatelů do procesu plánování nebylo v takové míře, jakou příjemce očekával. V rámci ankety bylo rozdáno více než 20 000 anketních lístků široké veřejnosti, ale návratnost byla minimální. Tato situace byla způsobena jednak obecnou pasivitou veřejnosti, ale dále je možné, že v projektu byla nesprávně nastavena aktivita č. 1 tedy informační kampaň, která měla cílové skupiny mobilizovat. Veřejnost se zapojovala jen minimálně do práce pracovních skupin a stejně tak do veřejných projednání. Tento nezájem by mohl teoreticky mít negativní dopad na komunitní plán, který by neodpovídal potřebám obyvatel ORP Písek. Dle zjištění evaluátora byl ale tento nezájem široké veřejnosti bohatě nahrazen úzkou spoluprací aktivních členů pracovních skupin, do kterých jsou zapojeni odborníci různých zaměření, zástupci zadavatelů, poskytovatelů i uživatelů služeb, takže se plán podařilo co nejvíce přiblížit potřebám regionu. </w:t>
      </w:r>
    </w:p>
    <w:p w:rsidR="00BD651A" w:rsidRDefault="005B4CC6" w:rsidP="005B4CC6">
      <w:pPr>
        <w:spacing w:after="60"/>
        <w:jc w:val="both"/>
        <w:rPr>
          <w:rFonts w:ascii="Arial" w:eastAsia="Times New Roman" w:hAnsi="Arial" w:cs="Arial"/>
        </w:rPr>
      </w:pPr>
      <w:r w:rsidRPr="0068052C">
        <w:rPr>
          <w:rFonts w:ascii="Arial" w:eastAsia="Times New Roman" w:hAnsi="Arial" w:cs="Arial"/>
        </w:rPr>
        <w:t xml:space="preserve">Nezájem veřejnosti ovlivňuje také splnění cíle dokumentu </w:t>
      </w:r>
      <w:r w:rsidRPr="0068052C">
        <w:rPr>
          <w:rFonts w:ascii="Arial" w:eastAsia="Times New Roman" w:hAnsi="Arial" w:cs="Arial"/>
          <w:i/>
        </w:rPr>
        <w:t>Katalog poskytovatelů sociálních a doprovodných služeb Písek</w:t>
      </w:r>
      <w:r w:rsidRPr="0068052C">
        <w:rPr>
          <w:rFonts w:ascii="Arial" w:eastAsia="Times New Roman" w:hAnsi="Arial" w:cs="Arial"/>
        </w:rPr>
        <w:t xml:space="preserve">, který měl podpořit informovanost občanů, ale na základě výpovědí respondentů o něj veřejnost příliš velký zájem neprojevuje. Z dotazníkového šetření mezi poskytovateli vyplývá, že hodnocení a využívání katalogu a samotného </w:t>
      </w:r>
    </w:p>
    <w:p w:rsidR="00BD651A" w:rsidRDefault="00BD651A" w:rsidP="005B4CC6">
      <w:pPr>
        <w:spacing w:after="60"/>
        <w:jc w:val="both"/>
        <w:rPr>
          <w:rFonts w:ascii="Arial" w:eastAsia="Times New Roman" w:hAnsi="Arial" w:cs="Arial"/>
        </w:rPr>
      </w:pPr>
    </w:p>
    <w:p w:rsidR="005B4CC6" w:rsidRPr="0068052C" w:rsidRDefault="005B4CC6" w:rsidP="005B4CC6">
      <w:pPr>
        <w:spacing w:after="60"/>
        <w:jc w:val="both"/>
        <w:rPr>
          <w:rFonts w:ascii="Arial" w:eastAsia="Times New Roman" w:hAnsi="Arial" w:cs="Arial"/>
        </w:rPr>
      </w:pPr>
      <w:r w:rsidRPr="0068052C">
        <w:rPr>
          <w:rFonts w:ascii="Arial" w:eastAsia="Times New Roman" w:hAnsi="Arial" w:cs="Arial"/>
        </w:rPr>
        <w:t>komunitního plánu se liší. Naprostá většina z poskytovatelů, kteří se na plánování podíleli, oba výstupy projektu považuje za přínosné a využívá je ve své praxi. Příklady komentářů respondentů k využití výstupů: „</w:t>
      </w:r>
      <w:r w:rsidRPr="0068052C">
        <w:rPr>
          <w:rFonts w:ascii="Arial" w:eastAsia="Times New Roman" w:hAnsi="Arial" w:cs="Arial"/>
          <w:i/>
        </w:rPr>
        <w:t>mohu je použít jako opěrný bod při jednání s úřady a institucemi při prosazování potřebných záměrů</w:t>
      </w:r>
      <w:r w:rsidRPr="0068052C">
        <w:rPr>
          <w:rFonts w:ascii="Arial" w:eastAsia="Times New Roman" w:hAnsi="Arial" w:cs="Arial"/>
        </w:rPr>
        <w:t>“, „</w:t>
      </w:r>
      <w:r w:rsidRPr="0068052C">
        <w:rPr>
          <w:rFonts w:ascii="Arial" w:eastAsia="Times New Roman" w:hAnsi="Arial" w:cs="Arial"/>
          <w:i/>
        </w:rPr>
        <w:t>používám je jako argument potřebnosti naší služby</w:t>
      </w:r>
      <w:r w:rsidRPr="0068052C">
        <w:rPr>
          <w:rFonts w:ascii="Arial" w:eastAsia="Times New Roman" w:hAnsi="Arial" w:cs="Arial"/>
        </w:rPr>
        <w:t xml:space="preserve">“, díky katalogu </w:t>
      </w:r>
      <w:r w:rsidRPr="0068052C">
        <w:rPr>
          <w:rFonts w:ascii="Arial" w:eastAsia="Times New Roman" w:hAnsi="Arial" w:cs="Arial"/>
          <w:i/>
        </w:rPr>
        <w:t>„mám zmapované služby v regionu a mohu je využít při poradenské činnosti a doporučit adekvátní službu pro danou cílovou skupinu - jedince“</w:t>
      </w:r>
      <w:r w:rsidRPr="0068052C">
        <w:rPr>
          <w:rFonts w:ascii="Arial" w:eastAsia="Times New Roman" w:hAnsi="Arial" w:cs="Arial"/>
        </w:rPr>
        <w:t xml:space="preserve">. Poskytovatelé, kteří se na plánování nepodíleli, výstupy používají méně. </w:t>
      </w:r>
    </w:p>
    <w:p w:rsidR="005B4CC6" w:rsidRPr="0068052C" w:rsidRDefault="005B4CC6" w:rsidP="005B4CC6">
      <w:pPr>
        <w:spacing w:after="60"/>
        <w:jc w:val="both"/>
        <w:rPr>
          <w:rFonts w:ascii="Arial" w:eastAsia="Times New Roman" w:hAnsi="Arial" w:cs="Arial"/>
        </w:rPr>
      </w:pPr>
      <w:r w:rsidRPr="0068052C">
        <w:rPr>
          <w:rFonts w:ascii="Arial" w:eastAsia="Times New Roman" w:hAnsi="Arial" w:cs="Arial"/>
        </w:rPr>
        <w:t xml:space="preserve">Důležitým výsledkem projektu je dle respondentů udržení a rozvoj místního partnerství, především pak mezi aktivními občany, poskytovateli služeb, veřejnými činiteli, obcemi regionu i odborníky na problematiku sociálních služeb. Díky kontinuitě tohoto partnerství se daří nastavovat služby tak, aby co nejvíce odpovídaly potřebám všech zainteresovaných subjektů. Klíčové je, že materiály, které jsou výsledkem projektu, skutečně slouží zadavateli služeb – tedy Městskému úřadu Písek pro další rozhodování a plánování služeb ve střednědobém horizontu, což potvrzují zástupci MÚ. </w:t>
      </w:r>
    </w:p>
    <w:p w:rsidR="005B4CC6" w:rsidRDefault="005B4CC6" w:rsidP="005B4CC6">
      <w:pPr>
        <w:spacing w:after="60"/>
        <w:jc w:val="both"/>
        <w:rPr>
          <w:rFonts w:ascii="Arial" w:eastAsia="Times New Roman" w:hAnsi="Arial" w:cs="Arial"/>
        </w:rPr>
      </w:pPr>
    </w:p>
    <w:p w:rsidR="000B6A65" w:rsidRPr="000B6A65" w:rsidRDefault="000B6A65" w:rsidP="000B6A65">
      <w:pPr>
        <w:spacing w:after="60"/>
        <w:jc w:val="both"/>
        <w:rPr>
          <w:rFonts w:ascii="Arial" w:eastAsia="Times New Roman" w:hAnsi="Arial" w:cs="Arial"/>
          <w:b/>
        </w:rPr>
      </w:pPr>
      <w:bookmarkStart w:id="2" w:name="_Toc321326232"/>
      <w:r w:rsidRPr="000B6A65">
        <w:rPr>
          <w:rFonts w:ascii="Arial" w:eastAsia="Times New Roman" w:hAnsi="Arial" w:cs="Arial"/>
          <w:b/>
        </w:rPr>
        <w:t>Klíčové faktory pro dosažení výsledků</w:t>
      </w:r>
      <w:bookmarkEnd w:id="2"/>
    </w:p>
    <w:p w:rsidR="003D4187" w:rsidRDefault="000B6A65" w:rsidP="00BD651A">
      <w:pPr>
        <w:spacing w:after="60"/>
        <w:jc w:val="both"/>
        <w:rPr>
          <w:rFonts w:ascii="Arial" w:eastAsia="Times New Roman" w:hAnsi="Arial" w:cs="Arial"/>
        </w:rPr>
      </w:pPr>
      <w:r w:rsidRPr="000B6A65">
        <w:rPr>
          <w:rFonts w:ascii="Arial" w:eastAsia="Times New Roman" w:hAnsi="Arial" w:cs="Arial"/>
        </w:rPr>
        <w:t>Komunitní plánování má v regionu dlouhodobou tradici.  Díky realizaci pilotního programu MOLSA už od roku 2000 mělo město příležitost se věnovat komunitnímu plánování dlouhodobě a optimálně nastavit procesy plánování. Ve srovnání s jinými komunitními plány byly do Píseckého plánu také výrazně zapojeny obce s pověřeným obecním úřadem – Protivín, Mirotice a Mirovice – tedy nižší správní jednotky. Zapojení těchto obcí velmi pomohlo při stanovování cílů a aktivit plánu tak, aby odpovídaly potřebám všech oblastí regionu ORP Písek.</w:t>
      </w:r>
      <w:r w:rsidR="00180F09">
        <w:rPr>
          <w:rFonts w:ascii="Arial" w:eastAsia="Times New Roman" w:hAnsi="Arial" w:cs="Arial"/>
        </w:rPr>
        <w:t xml:space="preserve"> </w:t>
      </w:r>
      <w:r w:rsidRPr="000B6A65">
        <w:rPr>
          <w:rFonts w:ascii="Arial" w:eastAsia="Times New Roman" w:hAnsi="Arial" w:cs="Arial"/>
        </w:rPr>
        <w:t>Dalším faktorem úspěchu byla aktivita všech zúčastněných, kteří jsou již tak většinou podchyceni v Komunitní koalici (KOKO). Existence této platformy pro neformální setkávání aktivních poskytovatelů (většinou vedoucích pracovníků NNO) usnadňuje jednání pracovních skupin a tvorbu plánu.</w:t>
      </w:r>
      <w:bookmarkStart w:id="3" w:name="_Toc321326233"/>
    </w:p>
    <w:p w:rsidR="00BD651A" w:rsidRPr="00BD651A" w:rsidRDefault="00BD651A" w:rsidP="00BD651A">
      <w:pPr>
        <w:spacing w:after="60"/>
        <w:jc w:val="both"/>
        <w:rPr>
          <w:rFonts w:ascii="Arial" w:eastAsia="Times New Roman" w:hAnsi="Arial" w:cs="Arial"/>
        </w:rPr>
      </w:pPr>
    </w:p>
    <w:p w:rsidR="003D4187" w:rsidRPr="003D4187" w:rsidRDefault="003D4187" w:rsidP="003D4187">
      <w:pPr>
        <w:spacing w:after="60"/>
        <w:jc w:val="both"/>
        <w:rPr>
          <w:rFonts w:ascii="Arial" w:eastAsia="Times New Roman" w:hAnsi="Arial" w:cs="Arial"/>
          <w:b/>
        </w:rPr>
      </w:pPr>
      <w:r w:rsidRPr="003D4187">
        <w:rPr>
          <w:rFonts w:ascii="Arial" w:eastAsia="Times New Roman" w:hAnsi="Arial" w:cs="Arial"/>
          <w:b/>
        </w:rPr>
        <w:t>Dlouhodobé výsledky projektu</w:t>
      </w:r>
      <w:bookmarkEnd w:id="3"/>
    </w:p>
    <w:p w:rsidR="003D4187" w:rsidRPr="003D4187" w:rsidRDefault="003D4187" w:rsidP="003D4187">
      <w:pPr>
        <w:spacing w:after="60"/>
        <w:jc w:val="both"/>
        <w:rPr>
          <w:rFonts w:ascii="Arial" w:eastAsia="Times New Roman" w:hAnsi="Arial" w:cs="Arial"/>
        </w:rPr>
      </w:pPr>
      <w:r w:rsidRPr="003D4187">
        <w:rPr>
          <w:rFonts w:ascii="Arial" w:eastAsia="Times New Roman" w:hAnsi="Arial" w:cs="Arial"/>
        </w:rPr>
        <w:t>Výstupem projektu byly podklady pro plánování na krajské úrovni, což se promítne až v dlouhodobém horizontu. Předpokladem projektu je, že krajské plánování se bude řídit výsledky komunitního plánu Písek a bude z nich vycházet při nastavování svých priorit a cílů. Díky tomu, že bude mít kraj k dispozici aktuální analýzy z regionu s jasně nastavenými cíli a aktivitami budou mít plány i větší šanci na realizaci s pomocí krajských financí. Tento předpoklad by ale bylo možné ověřit až s delším časovým odstupem, bylo by potřeba realizovat analýzu materiálů krajského plánování sociálních služeb (např. Střednědobý plán rozvoje sociálních služeb Jihočeského kraje), jeho cíle a aktivity a jejich návaznost na Komunitní plán sociálních služeb Písek.</w:t>
      </w:r>
    </w:p>
    <w:p w:rsidR="00BD651A" w:rsidRDefault="003D4187" w:rsidP="00180F09">
      <w:pPr>
        <w:spacing w:after="60"/>
        <w:jc w:val="both"/>
        <w:rPr>
          <w:rFonts w:ascii="Arial" w:eastAsia="Times New Roman" w:hAnsi="Arial" w:cs="Arial"/>
        </w:rPr>
      </w:pPr>
      <w:r w:rsidRPr="003D4187">
        <w:rPr>
          <w:rFonts w:ascii="Arial" w:eastAsia="Times New Roman" w:hAnsi="Arial" w:cs="Arial"/>
        </w:rPr>
        <w:t>Z dlouhodobého pohledu by výstupem projektu měly být fungující sociální služby v regionu ORP Písek, které reagují na potřeby obyvatel regionu. Tento dlouhodobý výsledek bude nadále hodnocen díky monitoringu plnění aktivit komunitního plánu a bude realizován ORP Písek.</w:t>
      </w:r>
      <w:r w:rsidR="00180F09">
        <w:rPr>
          <w:rFonts w:ascii="Arial" w:eastAsia="Times New Roman" w:hAnsi="Arial" w:cs="Arial"/>
        </w:rPr>
        <w:t xml:space="preserve"> </w:t>
      </w:r>
      <w:r w:rsidRPr="003D4187">
        <w:rPr>
          <w:rFonts w:ascii="Arial" w:eastAsia="Times New Roman" w:hAnsi="Arial" w:cs="Arial"/>
        </w:rPr>
        <w:t xml:space="preserve">Dlouhodobým výstupem by také mělo být nadále fungující partnerství mezi aktivními občany, poskytovateli služeb, veřejnými činiteli, obcemi regionu i odborníky na problematiku </w:t>
      </w:r>
    </w:p>
    <w:p w:rsidR="00BD651A" w:rsidRDefault="00BD651A" w:rsidP="00180F09">
      <w:pPr>
        <w:spacing w:after="60"/>
        <w:jc w:val="both"/>
        <w:rPr>
          <w:rFonts w:ascii="Arial" w:eastAsia="Times New Roman" w:hAnsi="Arial" w:cs="Arial"/>
        </w:rPr>
      </w:pPr>
    </w:p>
    <w:p w:rsidR="00BD651A" w:rsidRDefault="00BD651A" w:rsidP="00180F09">
      <w:pPr>
        <w:spacing w:after="60"/>
        <w:jc w:val="both"/>
        <w:rPr>
          <w:rFonts w:ascii="Arial" w:eastAsia="Times New Roman" w:hAnsi="Arial" w:cs="Arial"/>
        </w:rPr>
      </w:pPr>
    </w:p>
    <w:p w:rsidR="00180F09" w:rsidRDefault="003D4187" w:rsidP="00180F09">
      <w:pPr>
        <w:spacing w:after="60"/>
        <w:jc w:val="both"/>
        <w:rPr>
          <w:rFonts w:ascii="Arial" w:eastAsia="Times New Roman" w:hAnsi="Arial" w:cs="Arial"/>
        </w:rPr>
      </w:pPr>
      <w:r w:rsidRPr="003D4187">
        <w:rPr>
          <w:rFonts w:ascii="Arial" w:eastAsia="Times New Roman" w:hAnsi="Arial" w:cs="Arial"/>
        </w:rPr>
        <w:t>sociálních služeb. Funkčnost nastavených vazeb bude možné prověřit například další případovou studií po uplynutí určitého času od ukončení projektu (např. interval 2 let).</w:t>
      </w:r>
    </w:p>
    <w:p w:rsidR="00A636CE" w:rsidRPr="0068052C" w:rsidRDefault="005B4CC6" w:rsidP="00180F09">
      <w:pPr>
        <w:spacing w:after="60"/>
        <w:rPr>
          <w:rFonts w:ascii="Arial" w:hAnsi="Arial" w:cs="Arial"/>
        </w:rPr>
      </w:pPr>
      <w:r w:rsidRPr="0068052C">
        <w:rPr>
          <w:rFonts w:ascii="Arial" w:hAnsi="Arial" w:cs="Arial"/>
        </w:rPr>
        <w:t xml:space="preserve">Kompletní znění této případové studie je dostupné na </w:t>
      </w:r>
      <w:hyperlink r:id="rId15" w:history="1">
        <w:r w:rsidRPr="0068052C">
          <w:rPr>
            <w:rStyle w:val="Hypertextovodkaz"/>
            <w:rFonts w:ascii="Arial" w:hAnsi="Arial" w:cs="Arial"/>
          </w:rPr>
          <w:t>https://forum.esfcr.cz/node/discussion.files.htm?ident=50&amp;1334219154</w:t>
        </w:r>
      </w:hyperlink>
      <w:r w:rsidRPr="0068052C">
        <w:rPr>
          <w:rStyle w:val="Hypertextovodkaz"/>
          <w:rFonts w:ascii="Arial" w:hAnsi="Arial" w:cs="Arial"/>
        </w:rPr>
        <w:t>.</w:t>
      </w:r>
    </w:p>
    <w:sectPr w:rsidR="00A636CE" w:rsidRPr="006805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CC6" w:rsidRDefault="005B4CC6" w:rsidP="005B4CC6">
      <w:pPr>
        <w:spacing w:after="0" w:line="240" w:lineRule="auto"/>
      </w:pPr>
      <w:r>
        <w:separator/>
      </w:r>
    </w:p>
  </w:endnote>
  <w:endnote w:type="continuationSeparator" w:id="0">
    <w:p w:rsidR="005B4CC6" w:rsidRDefault="005B4CC6" w:rsidP="005B4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DF" w:rsidRDefault="00147DD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8402639"/>
      <w:docPartObj>
        <w:docPartGallery w:val="Page Numbers (Bottom of Page)"/>
        <w:docPartUnique/>
      </w:docPartObj>
    </w:sdtPr>
    <w:sdtEndPr/>
    <w:sdtContent>
      <w:p w:rsidR="005B4CC6" w:rsidRDefault="005B4CC6">
        <w:pPr>
          <w:pStyle w:val="Zpat"/>
          <w:jc w:val="center"/>
        </w:pPr>
        <w:r>
          <w:fldChar w:fldCharType="begin"/>
        </w:r>
        <w:r>
          <w:instrText>PAGE   \* MERGEFORMAT</w:instrText>
        </w:r>
        <w:r>
          <w:fldChar w:fldCharType="separate"/>
        </w:r>
        <w:r w:rsidR="00147DDF">
          <w:rPr>
            <w:noProof/>
          </w:rPr>
          <w:t>1</w:t>
        </w:r>
        <w:r>
          <w:fldChar w:fldCharType="end"/>
        </w:r>
      </w:p>
    </w:sdtContent>
  </w:sdt>
  <w:p w:rsidR="005B4CC6" w:rsidRDefault="005B4CC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DF" w:rsidRDefault="00147DD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CC6" w:rsidRDefault="005B4CC6" w:rsidP="005B4CC6">
      <w:pPr>
        <w:spacing w:after="0" w:line="240" w:lineRule="auto"/>
      </w:pPr>
      <w:r>
        <w:separator/>
      </w:r>
    </w:p>
  </w:footnote>
  <w:footnote w:type="continuationSeparator" w:id="0">
    <w:p w:rsidR="005B4CC6" w:rsidRDefault="005B4CC6" w:rsidP="005B4C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DF" w:rsidRDefault="00147DD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CC6" w:rsidRDefault="00BD651A" w:rsidP="00916FA6">
    <w:pPr>
      <w:pStyle w:val="Zhlav"/>
      <w:jc w:val="center"/>
    </w:pPr>
    <w:bookmarkStart w:id="0" w:name="_GoBack"/>
    <w:bookmarkEnd w:id="0"/>
    <w:r>
      <w:rPr>
        <w:noProof/>
        <w:lang w:eastAsia="cs-CZ"/>
      </w:rPr>
      <w:drawing>
        <wp:inline distT="0" distB="0" distL="0" distR="0" wp14:anchorId="0060C838" wp14:editId="1BEDCB70">
          <wp:extent cx="5760720" cy="589915"/>
          <wp:effectExtent l="0" t="0" r="0" b="635"/>
          <wp:docPr id="5" name="Obrázek 5" descr="slogan_RGB_ver1_2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gan_RGB_ver1_200dpi"/>
                  <pic:cNvPicPr>
                    <a:picLocks noChangeAspect="1" noChangeArrowheads="1"/>
                  </pic:cNvPicPr>
                </pic:nvPicPr>
                <pic:blipFill>
                  <a:blip r:embed="rId1">
                    <a:extLst>
                      <a:ext uri="{28A0092B-C50C-407E-A947-70E740481C1C}">
                        <a14:useLocalDpi xmlns:a14="http://schemas.microsoft.com/office/drawing/2010/main" val="0"/>
                      </a:ext>
                    </a:extLst>
                  </a:blip>
                  <a:srcRect l="4039" t="22983" r="2592" b="19385"/>
                  <a:stretch>
                    <a:fillRect/>
                  </a:stretch>
                </pic:blipFill>
                <pic:spPr bwMode="auto">
                  <a:xfrm>
                    <a:off x="0" y="0"/>
                    <a:ext cx="5760720" cy="589915"/>
                  </a:xfrm>
                  <a:prstGeom prst="rect">
                    <a:avLst/>
                  </a:prstGeom>
                  <a:noFill/>
                  <a:ln>
                    <a:noFill/>
                  </a:ln>
                </pic:spPr>
              </pic:pic>
            </a:graphicData>
          </a:graphic>
        </wp:inline>
      </w:drawing>
    </w:r>
  </w:p>
  <w:p w:rsidR="00E156CB" w:rsidRDefault="00E156CB" w:rsidP="00916FA6">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DDF" w:rsidRDefault="00147DD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F067A"/>
    <w:multiLevelType w:val="hybridMultilevel"/>
    <w:tmpl w:val="4016F998"/>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
    <w:nsid w:val="3BD645F2"/>
    <w:multiLevelType w:val="hybridMultilevel"/>
    <w:tmpl w:val="DA407204"/>
    <w:lvl w:ilvl="0" w:tplc="7528FF90">
      <w:start w:val="1"/>
      <w:numFmt w:val="decimal"/>
      <w:lvlText w:val="%1)"/>
      <w:lvlJc w:val="left"/>
      <w:pPr>
        <w:ind w:left="2914" w:hanging="360"/>
      </w:pPr>
      <w:rPr>
        <w:rFonts w:hint="default"/>
        <w:b/>
        <w:color w:val="auto"/>
      </w:rPr>
    </w:lvl>
    <w:lvl w:ilvl="1" w:tplc="04050003">
      <w:start w:val="1"/>
      <w:numFmt w:val="bullet"/>
      <w:lvlText w:val="o"/>
      <w:lvlJc w:val="left"/>
      <w:pPr>
        <w:ind w:left="2576" w:hanging="360"/>
      </w:pPr>
      <w:rPr>
        <w:rFonts w:ascii="Courier New" w:hAnsi="Courier New" w:cs="Courier New" w:hint="default"/>
      </w:rPr>
    </w:lvl>
    <w:lvl w:ilvl="2" w:tplc="04050005" w:tentative="1">
      <w:start w:val="1"/>
      <w:numFmt w:val="bullet"/>
      <w:lvlText w:val=""/>
      <w:lvlJc w:val="left"/>
      <w:pPr>
        <w:ind w:left="3296" w:hanging="360"/>
      </w:pPr>
      <w:rPr>
        <w:rFonts w:ascii="Wingdings" w:hAnsi="Wingdings" w:hint="default"/>
      </w:rPr>
    </w:lvl>
    <w:lvl w:ilvl="3" w:tplc="04050001" w:tentative="1">
      <w:start w:val="1"/>
      <w:numFmt w:val="bullet"/>
      <w:lvlText w:val=""/>
      <w:lvlJc w:val="left"/>
      <w:pPr>
        <w:ind w:left="4016" w:hanging="360"/>
      </w:pPr>
      <w:rPr>
        <w:rFonts w:ascii="Symbol" w:hAnsi="Symbol" w:hint="default"/>
      </w:rPr>
    </w:lvl>
    <w:lvl w:ilvl="4" w:tplc="04050003" w:tentative="1">
      <w:start w:val="1"/>
      <w:numFmt w:val="bullet"/>
      <w:lvlText w:val="o"/>
      <w:lvlJc w:val="left"/>
      <w:pPr>
        <w:ind w:left="4736" w:hanging="360"/>
      </w:pPr>
      <w:rPr>
        <w:rFonts w:ascii="Courier New" w:hAnsi="Courier New" w:cs="Courier New" w:hint="default"/>
      </w:rPr>
    </w:lvl>
    <w:lvl w:ilvl="5" w:tplc="04050005" w:tentative="1">
      <w:start w:val="1"/>
      <w:numFmt w:val="bullet"/>
      <w:lvlText w:val=""/>
      <w:lvlJc w:val="left"/>
      <w:pPr>
        <w:ind w:left="5456" w:hanging="360"/>
      </w:pPr>
      <w:rPr>
        <w:rFonts w:ascii="Wingdings" w:hAnsi="Wingdings" w:hint="default"/>
      </w:rPr>
    </w:lvl>
    <w:lvl w:ilvl="6" w:tplc="04050001" w:tentative="1">
      <w:start w:val="1"/>
      <w:numFmt w:val="bullet"/>
      <w:lvlText w:val=""/>
      <w:lvlJc w:val="left"/>
      <w:pPr>
        <w:ind w:left="6176" w:hanging="360"/>
      </w:pPr>
      <w:rPr>
        <w:rFonts w:ascii="Symbol" w:hAnsi="Symbol" w:hint="default"/>
      </w:rPr>
    </w:lvl>
    <w:lvl w:ilvl="7" w:tplc="04050003" w:tentative="1">
      <w:start w:val="1"/>
      <w:numFmt w:val="bullet"/>
      <w:lvlText w:val="o"/>
      <w:lvlJc w:val="left"/>
      <w:pPr>
        <w:ind w:left="6896" w:hanging="360"/>
      </w:pPr>
      <w:rPr>
        <w:rFonts w:ascii="Courier New" w:hAnsi="Courier New" w:cs="Courier New" w:hint="default"/>
      </w:rPr>
    </w:lvl>
    <w:lvl w:ilvl="8" w:tplc="04050005" w:tentative="1">
      <w:start w:val="1"/>
      <w:numFmt w:val="bullet"/>
      <w:lvlText w:val=""/>
      <w:lvlJc w:val="left"/>
      <w:pPr>
        <w:ind w:left="761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C6"/>
    <w:rsid w:val="000B6A65"/>
    <w:rsid w:val="00147DDF"/>
    <w:rsid w:val="00160AE4"/>
    <w:rsid w:val="00180F09"/>
    <w:rsid w:val="003D4187"/>
    <w:rsid w:val="005B4CC6"/>
    <w:rsid w:val="005F2BB4"/>
    <w:rsid w:val="0068052C"/>
    <w:rsid w:val="00696AD8"/>
    <w:rsid w:val="00A636CE"/>
    <w:rsid w:val="00BD651A"/>
    <w:rsid w:val="00C76789"/>
    <w:rsid w:val="00D94929"/>
    <w:rsid w:val="00E156CB"/>
    <w:rsid w:val="00E94BC3"/>
    <w:rsid w:val="00F634FB"/>
    <w:rsid w:val="00F97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4CC6"/>
  </w:style>
  <w:style w:type="paragraph" w:styleId="Nadpis1">
    <w:name w:val="heading 1"/>
    <w:basedOn w:val="Normln"/>
    <w:next w:val="Normln"/>
    <w:link w:val="Nadpis1Char"/>
    <w:uiPriority w:val="9"/>
    <w:qFormat/>
    <w:rsid w:val="005B4C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B4CC6"/>
    <w:pPr>
      <w:keepNext/>
      <w:keepLines/>
      <w:spacing w:after="60"/>
      <w:outlineLvl w:val="1"/>
    </w:pPr>
    <w:rPr>
      <w:rFonts w:ascii="Calibri" w:eastAsiaTheme="majorEastAsia" w:hAnsi="Calibri" w:cstheme="majorBidi"/>
      <w:b/>
      <w:bCs/>
      <w:color w:val="1F497D"/>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B4CC6"/>
    <w:rPr>
      <w:rFonts w:ascii="Calibri" w:eastAsiaTheme="majorEastAsia" w:hAnsi="Calibri" w:cstheme="majorBidi"/>
      <w:b/>
      <w:bCs/>
      <w:color w:val="1F497D"/>
      <w:szCs w:val="26"/>
    </w:rPr>
  </w:style>
  <w:style w:type="paragraph" w:styleId="Zhlav">
    <w:name w:val="header"/>
    <w:basedOn w:val="Normln"/>
    <w:link w:val="ZhlavChar"/>
    <w:uiPriority w:val="99"/>
    <w:unhideWhenUsed/>
    <w:rsid w:val="005B4CC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4CC6"/>
  </w:style>
  <w:style w:type="paragraph" w:styleId="Zpat">
    <w:name w:val="footer"/>
    <w:basedOn w:val="Normln"/>
    <w:link w:val="ZpatChar"/>
    <w:uiPriority w:val="99"/>
    <w:unhideWhenUsed/>
    <w:rsid w:val="005B4CC6"/>
    <w:pPr>
      <w:tabs>
        <w:tab w:val="center" w:pos="4536"/>
        <w:tab w:val="right" w:pos="9072"/>
      </w:tabs>
      <w:spacing w:after="0" w:line="240" w:lineRule="auto"/>
    </w:pPr>
  </w:style>
  <w:style w:type="character" w:customStyle="1" w:styleId="ZpatChar">
    <w:name w:val="Zápatí Char"/>
    <w:basedOn w:val="Standardnpsmoodstavce"/>
    <w:link w:val="Zpat"/>
    <w:uiPriority w:val="99"/>
    <w:rsid w:val="005B4CC6"/>
  </w:style>
  <w:style w:type="character" w:styleId="Hypertextovodkaz">
    <w:name w:val="Hyperlink"/>
    <w:uiPriority w:val="99"/>
    <w:rsid w:val="005B4CC6"/>
    <w:rPr>
      <w:color w:val="0000FF"/>
      <w:u w:val="single"/>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rsid w:val="005B4CC6"/>
    <w:pPr>
      <w:suppressAutoHyphens/>
      <w:spacing w:after="0" w:line="240" w:lineRule="auto"/>
    </w:pPr>
    <w:rPr>
      <w:rFonts w:ascii="Arial" w:eastAsia="Calibri" w:hAnsi="Arial" w:cs="Times New Roman"/>
      <w:sz w:val="20"/>
      <w:szCs w:val="20"/>
      <w:lang w:eastAsia="ar-SA"/>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5B4CC6"/>
    <w:rPr>
      <w:rFonts w:ascii="Arial" w:eastAsia="Calibri" w:hAnsi="Arial" w:cs="Times New Roman"/>
      <w:sz w:val="20"/>
      <w:szCs w:val="20"/>
      <w:lang w:eastAsia="ar-SA"/>
    </w:rPr>
  </w:style>
  <w:style w:type="character" w:styleId="Znakapoznpodarou">
    <w:name w:val="footnote reference"/>
    <w:aliases w:val="PGI Fußnote Ziffer"/>
    <w:uiPriority w:val="99"/>
    <w:semiHidden/>
    <w:rsid w:val="005B4CC6"/>
    <w:rPr>
      <w:vertAlign w:val="superscript"/>
    </w:rPr>
  </w:style>
  <w:style w:type="paragraph" w:styleId="Odstavecseseznamem">
    <w:name w:val="List Paragraph"/>
    <w:basedOn w:val="Normln"/>
    <w:uiPriority w:val="34"/>
    <w:qFormat/>
    <w:rsid w:val="005B4CC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B4CC6"/>
    <w:pPr>
      <w:spacing w:before="0" w:after="120"/>
    </w:pPr>
    <w:rPr>
      <w:rFonts w:ascii="Calibri" w:eastAsia="Times New Roman" w:hAnsi="Calibri" w:cs="Calibri"/>
      <w:color w:val="1F497D"/>
      <w:sz w:val="24"/>
      <w:u w:val="single"/>
      <w:lang w:eastAsia="ar-SA"/>
    </w:rPr>
  </w:style>
  <w:style w:type="character" w:customStyle="1" w:styleId="Styl1Char">
    <w:name w:val="Styl1 Char"/>
    <w:link w:val="Styl1"/>
    <w:rsid w:val="005B4CC6"/>
    <w:rPr>
      <w:rFonts w:ascii="Calibri" w:eastAsia="Times New Roman" w:hAnsi="Calibri" w:cs="Calibri"/>
      <w:b/>
      <w:bCs/>
      <w:color w:val="1F497D"/>
      <w:sz w:val="24"/>
      <w:szCs w:val="28"/>
      <w:u w:val="single"/>
      <w:lang w:eastAsia="ar-SA"/>
    </w:rPr>
  </w:style>
  <w:style w:type="table" w:styleId="Mkatabulky">
    <w:name w:val="Table Grid"/>
    <w:basedOn w:val="Normlntabulka"/>
    <w:uiPriority w:val="59"/>
    <w:rsid w:val="005B4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basedOn w:val="Standardnpsmoodstavce"/>
    <w:link w:val="Nadpis1"/>
    <w:uiPriority w:val="9"/>
    <w:rsid w:val="005B4CC6"/>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5B4CC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4C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B4CC6"/>
  </w:style>
  <w:style w:type="paragraph" w:styleId="Nadpis1">
    <w:name w:val="heading 1"/>
    <w:basedOn w:val="Normln"/>
    <w:next w:val="Normln"/>
    <w:link w:val="Nadpis1Char"/>
    <w:uiPriority w:val="9"/>
    <w:qFormat/>
    <w:rsid w:val="005B4C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5B4CC6"/>
    <w:pPr>
      <w:keepNext/>
      <w:keepLines/>
      <w:spacing w:after="60"/>
      <w:outlineLvl w:val="1"/>
    </w:pPr>
    <w:rPr>
      <w:rFonts w:ascii="Calibri" w:eastAsiaTheme="majorEastAsia" w:hAnsi="Calibri" w:cstheme="majorBidi"/>
      <w:b/>
      <w:bCs/>
      <w:color w:val="1F497D"/>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B4CC6"/>
    <w:rPr>
      <w:rFonts w:ascii="Calibri" w:eastAsiaTheme="majorEastAsia" w:hAnsi="Calibri" w:cstheme="majorBidi"/>
      <w:b/>
      <w:bCs/>
      <w:color w:val="1F497D"/>
      <w:szCs w:val="26"/>
    </w:rPr>
  </w:style>
  <w:style w:type="paragraph" w:styleId="Zhlav">
    <w:name w:val="header"/>
    <w:basedOn w:val="Normln"/>
    <w:link w:val="ZhlavChar"/>
    <w:uiPriority w:val="99"/>
    <w:unhideWhenUsed/>
    <w:rsid w:val="005B4CC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4CC6"/>
  </w:style>
  <w:style w:type="paragraph" w:styleId="Zpat">
    <w:name w:val="footer"/>
    <w:basedOn w:val="Normln"/>
    <w:link w:val="ZpatChar"/>
    <w:uiPriority w:val="99"/>
    <w:unhideWhenUsed/>
    <w:rsid w:val="005B4CC6"/>
    <w:pPr>
      <w:tabs>
        <w:tab w:val="center" w:pos="4536"/>
        <w:tab w:val="right" w:pos="9072"/>
      </w:tabs>
      <w:spacing w:after="0" w:line="240" w:lineRule="auto"/>
    </w:pPr>
  </w:style>
  <w:style w:type="character" w:customStyle="1" w:styleId="ZpatChar">
    <w:name w:val="Zápatí Char"/>
    <w:basedOn w:val="Standardnpsmoodstavce"/>
    <w:link w:val="Zpat"/>
    <w:uiPriority w:val="99"/>
    <w:rsid w:val="005B4CC6"/>
  </w:style>
  <w:style w:type="character" w:styleId="Hypertextovodkaz">
    <w:name w:val="Hyperlink"/>
    <w:uiPriority w:val="99"/>
    <w:rsid w:val="005B4CC6"/>
    <w:rPr>
      <w:color w:val="0000FF"/>
      <w:u w:val="single"/>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uiPriority w:val="99"/>
    <w:rsid w:val="005B4CC6"/>
    <w:pPr>
      <w:suppressAutoHyphens/>
      <w:spacing w:after="0" w:line="240" w:lineRule="auto"/>
    </w:pPr>
    <w:rPr>
      <w:rFonts w:ascii="Arial" w:eastAsia="Calibri" w:hAnsi="Arial" w:cs="Times New Roman"/>
      <w:sz w:val="20"/>
      <w:szCs w:val="20"/>
      <w:lang w:eastAsia="ar-SA"/>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uiPriority w:val="99"/>
    <w:rsid w:val="005B4CC6"/>
    <w:rPr>
      <w:rFonts w:ascii="Arial" w:eastAsia="Calibri" w:hAnsi="Arial" w:cs="Times New Roman"/>
      <w:sz w:val="20"/>
      <w:szCs w:val="20"/>
      <w:lang w:eastAsia="ar-SA"/>
    </w:rPr>
  </w:style>
  <w:style w:type="character" w:styleId="Znakapoznpodarou">
    <w:name w:val="footnote reference"/>
    <w:aliases w:val="PGI Fußnote Ziffer"/>
    <w:uiPriority w:val="99"/>
    <w:semiHidden/>
    <w:rsid w:val="005B4CC6"/>
    <w:rPr>
      <w:vertAlign w:val="superscript"/>
    </w:rPr>
  </w:style>
  <w:style w:type="paragraph" w:styleId="Odstavecseseznamem">
    <w:name w:val="List Paragraph"/>
    <w:basedOn w:val="Normln"/>
    <w:uiPriority w:val="34"/>
    <w:qFormat/>
    <w:rsid w:val="005B4CC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B4CC6"/>
    <w:pPr>
      <w:spacing w:before="0" w:after="120"/>
    </w:pPr>
    <w:rPr>
      <w:rFonts w:ascii="Calibri" w:eastAsia="Times New Roman" w:hAnsi="Calibri" w:cs="Calibri"/>
      <w:color w:val="1F497D"/>
      <w:sz w:val="24"/>
      <w:u w:val="single"/>
      <w:lang w:eastAsia="ar-SA"/>
    </w:rPr>
  </w:style>
  <w:style w:type="character" w:customStyle="1" w:styleId="Styl1Char">
    <w:name w:val="Styl1 Char"/>
    <w:link w:val="Styl1"/>
    <w:rsid w:val="005B4CC6"/>
    <w:rPr>
      <w:rFonts w:ascii="Calibri" w:eastAsia="Times New Roman" w:hAnsi="Calibri" w:cs="Calibri"/>
      <w:b/>
      <w:bCs/>
      <w:color w:val="1F497D"/>
      <w:sz w:val="24"/>
      <w:szCs w:val="28"/>
      <w:u w:val="single"/>
      <w:lang w:eastAsia="ar-SA"/>
    </w:rPr>
  </w:style>
  <w:style w:type="table" w:styleId="Mkatabulky">
    <w:name w:val="Table Grid"/>
    <w:basedOn w:val="Normlntabulka"/>
    <w:uiPriority w:val="59"/>
    <w:rsid w:val="005B4C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1Char">
    <w:name w:val="Nadpis 1 Char"/>
    <w:basedOn w:val="Standardnpsmoodstavce"/>
    <w:link w:val="Nadpis1"/>
    <w:uiPriority w:val="9"/>
    <w:rsid w:val="005B4CC6"/>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5B4CC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4C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forum.esfcr.cz/node/discussion.files.htm?ident=50&amp;1334219154"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1565</Words>
  <Characters>9239</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Opočenská Martina Ing. (MPSV)</dc:creator>
  <cp:lastModifiedBy>Opočenská Martina Ing. (MPSV)</cp:lastModifiedBy>
  <cp:revision>16</cp:revision>
  <cp:lastPrinted>2012-04-20T12:22:00Z</cp:lastPrinted>
  <dcterms:created xsi:type="dcterms:W3CDTF">2012-04-12T12:37:00Z</dcterms:created>
  <dcterms:modified xsi:type="dcterms:W3CDTF">2012-05-22T09:06:00Z</dcterms:modified>
</cp:coreProperties>
</file>