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815" w:rsidRDefault="00523815" w:rsidP="00845030">
      <w:pPr>
        <w:spacing w:after="0" w:line="240" w:lineRule="auto"/>
        <w:jc w:val="center"/>
        <w:rPr>
          <w:rFonts w:ascii="Calibri" w:eastAsia="Times New Roman" w:hAnsi="Calibri" w:cs="Calibri"/>
          <w:b/>
          <w:bCs/>
          <w:color w:val="000000"/>
          <w:sz w:val="24"/>
          <w:szCs w:val="24"/>
          <w:lang w:eastAsia="cs-CZ"/>
        </w:rPr>
      </w:pPr>
    </w:p>
    <w:p w:rsidR="00523815" w:rsidRPr="009874E1" w:rsidRDefault="00523815" w:rsidP="00523815">
      <w:pPr>
        <w:jc w:val="center"/>
        <w:rPr>
          <w:rFonts w:ascii="Arial" w:hAnsi="Arial" w:cs="Arial"/>
          <w:b/>
          <w:u w:val="single"/>
        </w:rPr>
      </w:pPr>
      <w:r w:rsidRPr="009874E1">
        <w:rPr>
          <w:rFonts w:ascii="Arial" w:hAnsi="Arial" w:cs="Arial"/>
          <w:b/>
          <w:u w:val="single"/>
        </w:rPr>
        <w:t>Příloha č. 1 Výroční zprávy OP LZZ 2011</w:t>
      </w:r>
    </w:p>
    <w:p w:rsidR="00651F7E" w:rsidRDefault="00651F7E" w:rsidP="00845030">
      <w:pPr>
        <w:spacing w:after="0" w:line="240" w:lineRule="auto"/>
        <w:jc w:val="center"/>
        <w:rPr>
          <w:rFonts w:ascii="Calibri" w:eastAsia="Times New Roman" w:hAnsi="Calibri" w:cs="Calibri"/>
          <w:b/>
          <w:bCs/>
          <w:color w:val="000000"/>
          <w:sz w:val="24"/>
          <w:szCs w:val="24"/>
          <w:lang w:eastAsia="cs-CZ"/>
        </w:rPr>
      </w:pPr>
      <w:r>
        <w:rPr>
          <w:rFonts w:ascii="Calibri" w:eastAsia="Times New Roman" w:hAnsi="Calibri" w:cs="Calibri"/>
          <w:b/>
          <w:bCs/>
          <w:color w:val="000000"/>
          <w:sz w:val="24"/>
          <w:szCs w:val="24"/>
          <w:lang w:eastAsia="cs-CZ"/>
        </w:rPr>
        <w:t>Přehled zavádění evaluačních doporučení k 1. 12. 2011</w:t>
      </w:r>
    </w:p>
    <w:p w:rsidR="00845030" w:rsidRDefault="00651F7E" w:rsidP="00845030">
      <w:pPr>
        <w:spacing w:after="0" w:line="240" w:lineRule="auto"/>
        <w:jc w:val="center"/>
        <w:rPr>
          <w:rFonts w:ascii="Calibri" w:eastAsia="Times New Roman" w:hAnsi="Calibri" w:cs="Calibri"/>
          <w:bCs/>
          <w:i/>
          <w:color w:val="000000"/>
          <w:lang w:eastAsia="cs-CZ"/>
        </w:rPr>
      </w:pPr>
      <w:r w:rsidRPr="00651F7E">
        <w:rPr>
          <w:rFonts w:ascii="Calibri" w:eastAsia="Times New Roman" w:hAnsi="Calibri" w:cs="Calibri"/>
          <w:bCs/>
          <w:i/>
          <w:color w:val="000000"/>
          <w:sz w:val="24"/>
          <w:szCs w:val="24"/>
          <w:lang w:eastAsia="cs-CZ"/>
        </w:rPr>
        <w:t xml:space="preserve">Zpracováno na základě </w:t>
      </w:r>
      <w:r w:rsidR="00845030" w:rsidRPr="00651F7E">
        <w:rPr>
          <w:rFonts w:ascii="Calibri" w:eastAsia="Times New Roman" w:hAnsi="Calibri" w:cs="Calibri"/>
          <w:bCs/>
          <w:i/>
          <w:color w:val="000000"/>
          <w:sz w:val="24"/>
          <w:szCs w:val="24"/>
          <w:lang w:eastAsia="cs-CZ"/>
        </w:rPr>
        <w:t xml:space="preserve">VPŘED </w:t>
      </w:r>
      <w:r>
        <w:rPr>
          <w:rFonts w:ascii="Calibri" w:eastAsia="Times New Roman" w:hAnsi="Calibri" w:cs="Calibri"/>
          <w:bCs/>
          <w:i/>
          <w:color w:val="000000"/>
          <w:sz w:val="24"/>
          <w:szCs w:val="24"/>
          <w:lang w:eastAsia="cs-CZ"/>
        </w:rPr>
        <w:t xml:space="preserve">- </w:t>
      </w:r>
      <w:r>
        <w:rPr>
          <w:rFonts w:ascii="Calibri" w:eastAsia="Times New Roman" w:hAnsi="Calibri" w:cs="Calibri"/>
          <w:bCs/>
          <w:i/>
          <w:color w:val="000000"/>
          <w:lang w:eastAsia="cs-CZ"/>
        </w:rPr>
        <w:t>verze 3 schválené</w:t>
      </w:r>
      <w:r w:rsidR="00845030" w:rsidRPr="00651F7E">
        <w:rPr>
          <w:rFonts w:ascii="Calibri" w:eastAsia="Times New Roman" w:hAnsi="Calibri" w:cs="Calibri"/>
          <w:bCs/>
          <w:i/>
          <w:color w:val="000000"/>
          <w:lang w:eastAsia="cs-CZ"/>
        </w:rPr>
        <w:t xml:space="preserve"> 1.</w:t>
      </w:r>
      <w:r w:rsidR="00523815" w:rsidRPr="00651F7E">
        <w:rPr>
          <w:rFonts w:ascii="Calibri" w:eastAsia="Times New Roman" w:hAnsi="Calibri" w:cs="Calibri"/>
          <w:bCs/>
          <w:i/>
          <w:color w:val="000000"/>
          <w:lang w:eastAsia="cs-CZ"/>
        </w:rPr>
        <w:t xml:space="preserve"> </w:t>
      </w:r>
      <w:r w:rsidR="00845030" w:rsidRPr="00651F7E">
        <w:rPr>
          <w:rFonts w:ascii="Calibri" w:eastAsia="Times New Roman" w:hAnsi="Calibri" w:cs="Calibri"/>
          <w:bCs/>
          <w:i/>
          <w:color w:val="000000"/>
          <w:lang w:eastAsia="cs-CZ"/>
        </w:rPr>
        <w:t>12.</w:t>
      </w:r>
      <w:r w:rsidR="00523815" w:rsidRPr="00651F7E">
        <w:rPr>
          <w:rFonts w:ascii="Calibri" w:eastAsia="Times New Roman" w:hAnsi="Calibri" w:cs="Calibri"/>
          <w:bCs/>
          <w:i/>
          <w:color w:val="000000"/>
          <w:lang w:eastAsia="cs-CZ"/>
        </w:rPr>
        <w:t xml:space="preserve"> </w:t>
      </w:r>
      <w:r w:rsidR="00845030" w:rsidRPr="00651F7E">
        <w:rPr>
          <w:rFonts w:ascii="Calibri" w:eastAsia="Times New Roman" w:hAnsi="Calibri" w:cs="Calibri"/>
          <w:bCs/>
          <w:i/>
          <w:color w:val="000000"/>
          <w:lang w:eastAsia="cs-CZ"/>
        </w:rPr>
        <w:t xml:space="preserve">2011 </w:t>
      </w:r>
      <w:r>
        <w:rPr>
          <w:rFonts w:ascii="Calibri" w:eastAsia="Times New Roman" w:hAnsi="Calibri" w:cs="Calibri"/>
          <w:bCs/>
          <w:i/>
          <w:color w:val="000000"/>
          <w:lang w:eastAsia="cs-CZ"/>
        </w:rPr>
        <w:t>PS</w:t>
      </w:r>
      <w:r w:rsidR="00845030" w:rsidRPr="00651F7E">
        <w:rPr>
          <w:rFonts w:ascii="Calibri" w:eastAsia="Times New Roman" w:hAnsi="Calibri" w:cs="Calibri"/>
          <w:bCs/>
          <w:i/>
          <w:color w:val="000000"/>
          <w:lang w:eastAsia="cs-CZ"/>
        </w:rPr>
        <w:t xml:space="preserve"> pro evaluace MV OP LZZ</w:t>
      </w:r>
    </w:p>
    <w:p w:rsidR="00182985" w:rsidRDefault="00182985" w:rsidP="00845030">
      <w:pPr>
        <w:spacing w:after="0" w:line="240" w:lineRule="auto"/>
        <w:jc w:val="center"/>
        <w:rPr>
          <w:rFonts w:ascii="Calibri" w:eastAsia="Times New Roman" w:hAnsi="Calibri" w:cs="Calibri"/>
          <w:bCs/>
          <w:i/>
          <w:color w:val="000000"/>
          <w:lang w:eastAsia="cs-CZ"/>
        </w:rPr>
      </w:pPr>
    </w:p>
    <w:p w:rsidR="009F0ABE" w:rsidRPr="00E05AEA" w:rsidRDefault="009F0ABE" w:rsidP="000E2077">
      <w:pPr>
        <w:spacing w:after="0" w:line="240" w:lineRule="auto"/>
        <w:jc w:val="both"/>
        <w:rPr>
          <w:rFonts w:ascii="Calibri" w:eastAsia="Times New Roman" w:hAnsi="Calibri" w:cs="Calibri"/>
          <w:bCs/>
          <w:color w:val="000000"/>
          <w:sz w:val="20"/>
          <w:szCs w:val="20"/>
          <w:lang w:eastAsia="cs-CZ"/>
        </w:rPr>
      </w:pPr>
      <w:r w:rsidRPr="00E05AEA">
        <w:rPr>
          <w:rFonts w:ascii="Calibri" w:eastAsia="Times New Roman" w:hAnsi="Calibri" w:cs="Calibri"/>
          <w:bCs/>
          <w:color w:val="000000"/>
          <w:sz w:val="20"/>
          <w:szCs w:val="20"/>
          <w:lang w:eastAsia="cs-CZ"/>
        </w:rPr>
        <w:t xml:space="preserve">Pozn.: Doporučení jsou </w:t>
      </w:r>
      <w:r w:rsidR="00823F3D">
        <w:rPr>
          <w:rFonts w:ascii="Calibri" w:eastAsia="Times New Roman" w:hAnsi="Calibri" w:cs="Calibri"/>
          <w:bCs/>
          <w:color w:val="000000"/>
          <w:sz w:val="20"/>
          <w:szCs w:val="20"/>
          <w:lang w:eastAsia="cs-CZ"/>
        </w:rPr>
        <w:t xml:space="preserve">v tomto přehledu </w:t>
      </w:r>
      <w:r w:rsidR="00182985" w:rsidRPr="00E05AEA">
        <w:rPr>
          <w:rFonts w:ascii="Calibri" w:eastAsia="Times New Roman" w:hAnsi="Calibri" w:cs="Calibri"/>
          <w:bCs/>
          <w:color w:val="000000"/>
          <w:sz w:val="20"/>
          <w:szCs w:val="20"/>
          <w:lang w:eastAsia="cs-CZ"/>
        </w:rPr>
        <w:t xml:space="preserve">řazena chronologicky dle data dokončení evaluace, resp. obdržení doporučení – nejprve jsou uvedena doporučení starší (2009) a </w:t>
      </w:r>
      <w:r w:rsidR="00E05AEA" w:rsidRPr="00E05AEA">
        <w:rPr>
          <w:rFonts w:ascii="Calibri" w:eastAsia="Times New Roman" w:hAnsi="Calibri" w:cs="Calibri"/>
          <w:bCs/>
          <w:color w:val="000000"/>
          <w:sz w:val="20"/>
          <w:szCs w:val="20"/>
          <w:lang w:eastAsia="cs-CZ"/>
        </w:rPr>
        <w:t xml:space="preserve">sestupně </w:t>
      </w:r>
      <w:r w:rsidR="00182985" w:rsidRPr="00E05AEA">
        <w:rPr>
          <w:rFonts w:ascii="Calibri" w:eastAsia="Times New Roman" w:hAnsi="Calibri" w:cs="Calibri"/>
          <w:bCs/>
          <w:color w:val="000000"/>
          <w:sz w:val="20"/>
          <w:szCs w:val="20"/>
          <w:lang w:eastAsia="cs-CZ"/>
        </w:rPr>
        <w:t xml:space="preserve">následují </w:t>
      </w:r>
      <w:r w:rsidR="00E05AEA" w:rsidRPr="00E05AEA">
        <w:rPr>
          <w:rFonts w:ascii="Calibri" w:eastAsia="Times New Roman" w:hAnsi="Calibri" w:cs="Calibri"/>
          <w:bCs/>
          <w:color w:val="000000"/>
          <w:sz w:val="20"/>
          <w:szCs w:val="20"/>
          <w:lang w:eastAsia="cs-CZ"/>
        </w:rPr>
        <w:t>doporučení</w:t>
      </w:r>
      <w:r w:rsidR="00182985" w:rsidRPr="00E05AEA">
        <w:rPr>
          <w:rFonts w:ascii="Calibri" w:eastAsia="Times New Roman" w:hAnsi="Calibri" w:cs="Calibri"/>
          <w:bCs/>
          <w:color w:val="000000"/>
          <w:sz w:val="20"/>
          <w:szCs w:val="20"/>
          <w:lang w:eastAsia="cs-CZ"/>
        </w:rPr>
        <w:t xml:space="preserve"> novější (2010)</w:t>
      </w:r>
      <w:r w:rsidR="00E05AEA" w:rsidRPr="00E05AEA">
        <w:rPr>
          <w:rFonts w:ascii="Calibri" w:eastAsia="Times New Roman" w:hAnsi="Calibri" w:cs="Calibri"/>
          <w:bCs/>
          <w:color w:val="000000"/>
          <w:sz w:val="20"/>
          <w:szCs w:val="20"/>
          <w:lang w:eastAsia="cs-CZ"/>
        </w:rPr>
        <w:t>.</w:t>
      </w:r>
      <w:r w:rsidR="00182985" w:rsidRPr="00E05AEA">
        <w:rPr>
          <w:rFonts w:ascii="Calibri" w:eastAsia="Times New Roman" w:hAnsi="Calibri" w:cs="Calibri"/>
          <w:bCs/>
          <w:color w:val="000000"/>
          <w:sz w:val="20"/>
          <w:szCs w:val="20"/>
          <w:lang w:eastAsia="cs-CZ"/>
        </w:rPr>
        <w:t xml:space="preserve"> </w:t>
      </w:r>
      <w:r w:rsidR="00E05AEA" w:rsidRPr="00E05AEA">
        <w:rPr>
          <w:rFonts w:ascii="Calibri" w:eastAsia="Times New Roman" w:hAnsi="Calibri" w:cs="Calibri"/>
          <w:bCs/>
          <w:color w:val="000000"/>
          <w:sz w:val="20"/>
          <w:szCs w:val="20"/>
          <w:lang w:eastAsia="cs-CZ"/>
        </w:rPr>
        <w:t>J</w:t>
      </w:r>
      <w:r w:rsidR="00182985" w:rsidRPr="00E05AEA">
        <w:rPr>
          <w:rFonts w:ascii="Calibri" w:eastAsia="Times New Roman" w:hAnsi="Calibri" w:cs="Calibri"/>
          <w:bCs/>
          <w:color w:val="000000"/>
          <w:sz w:val="20"/>
          <w:szCs w:val="20"/>
          <w:lang w:eastAsia="cs-CZ"/>
        </w:rPr>
        <w:t xml:space="preserve">iné možnosti seřazení doporučení, např. dle oblasti implementace, stavu řešení atd., jsou možné v kompletní elektronické verzi </w:t>
      </w:r>
      <w:r w:rsidR="00FF0B9E">
        <w:rPr>
          <w:rFonts w:ascii="Calibri" w:eastAsia="Times New Roman" w:hAnsi="Calibri" w:cs="Calibri"/>
          <w:bCs/>
          <w:color w:val="000000"/>
          <w:sz w:val="20"/>
          <w:szCs w:val="20"/>
          <w:lang w:eastAsia="cs-CZ"/>
        </w:rPr>
        <w:t xml:space="preserve">databáze </w:t>
      </w:r>
      <w:r w:rsidR="00182985" w:rsidRPr="00E05AEA">
        <w:rPr>
          <w:rFonts w:ascii="Calibri" w:eastAsia="Times New Roman" w:hAnsi="Calibri" w:cs="Calibri"/>
          <w:bCs/>
          <w:color w:val="000000"/>
          <w:sz w:val="20"/>
          <w:szCs w:val="20"/>
          <w:lang w:eastAsia="cs-CZ"/>
        </w:rPr>
        <w:t>VPŘED</w:t>
      </w:r>
      <w:r w:rsidR="00FF0B9E">
        <w:rPr>
          <w:rFonts w:ascii="Calibri" w:eastAsia="Times New Roman" w:hAnsi="Calibri" w:cs="Calibri"/>
          <w:bCs/>
          <w:color w:val="000000"/>
          <w:sz w:val="20"/>
          <w:szCs w:val="20"/>
          <w:lang w:eastAsia="cs-CZ"/>
        </w:rPr>
        <w:t xml:space="preserve">, kterou je </w:t>
      </w:r>
      <w:r w:rsidR="00823F3D">
        <w:rPr>
          <w:rFonts w:ascii="Calibri" w:eastAsia="Times New Roman" w:hAnsi="Calibri" w:cs="Calibri"/>
          <w:bCs/>
          <w:color w:val="000000"/>
          <w:sz w:val="20"/>
          <w:szCs w:val="20"/>
          <w:lang w:eastAsia="cs-CZ"/>
        </w:rPr>
        <w:t xml:space="preserve">volně dostupná na </w:t>
      </w:r>
      <w:hyperlink r:id="rId7" w:history="1">
        <w:r w:rsidR="00FF0B9E" w:rsidRPr="00E05AEA">
          <w:rPr>
            <w:rStyle w:val="Hypertextovodkaz"/>
            <w:rFonts w:cs="Arial"/>
            <w:sz w:val="20"/>
            <w:szCs w:val="20"/>
          </w:rPr>
          <w:t>http://www.esfcr.cz/folder/4889/</w:t>
        </w:r>
      </w:hyperlink>
      <w:r w:rsidR="000E2077" w:rsidRPr="000E2077">
        <w:rPr>
          <w:rFonts w:ascii="Calibri" w:eastAsia="Times New Roman" w:hAnsi="Calibri" w:cs="Calibri"/>
          <w:bCs/>
          <w:color w:val="000000"/>
          <w:sz w:val="20"/>
          <w:szCs w:val="20"/>
          <w:lang w:eastAsia="cs-CZ"/>
        </w:rPr>
        <w:t xml:space="preserve"> </w:t>
      </w:r>
      <w:r w:rsidR="000E2077">
        <w:rPr>
          <w:rFonts w:ascii="Calibri" w:eastAsia="Times New Roman" w:hAnsi="Calibri" w:cs="Calibri"/>
          <w:bCs/>
          <w:color w:val="000000"/>
          <w:sz w:val="20"/>
          <w:szCs w:val="20"/>
          <w:lang w:eastAsia="cs-CZ"/>
        </w:rPr>
        <w:t xml:space="preserve">, </w:t>
      </w:r>
      <w:r w:rsidR="000E2077">
        <w:rPr>
          <w:rFonts w:ascii="Calibri" w:eastAsia="Times New Roman" w:hAnsi="Calibri" w:cs="Calibri"/>
          <w:bCs/>
          <w:color w:val="000000"/>
          <w:sz w:val="20"/>
          <w:szCs w:val="20"/>
          <w:lang w:eastAsia="cs-CZ"/>
        </w:rPr>
        <w:t>po vybrání možnosti „Povolit úpravy“</w:t>
      </w:r>
      <w:r w:rsidR="000E2077">
        <w:rPr>
          <w:rFonts w:ascii="Calibri" w:eastAsia="Times New Roman" w:hAnsi="Calibri" w:cs="Calibri"/>
          <w:bCs/>
          <w:color w:val="000000"/>
          <w:sz w:val="20"/>
          <w:szCs w:val="20"/>
          <w:lang w:eastAsia="cs-CZ"/>
        </w:rPr>
        <w:t>.</w:t>
      </w:r>
      <w:bookmarkStart w:id="0" w:name="_GoBack"/>
      <w:bookmarkEnd w:id="0"/>
    </w:p>
    <w:p w:rsidR="003E5F71" w:rsidRPr="00730C13" w:rsidRDefault="003E5F71" w:rsidP="00845030">
      <w:pPr>
        <w:spacing w:after="0" w:line="240" w:lineRule="auto"/>
        <w:jc w:val="center"/>
        <w:rPr>
          <w:rFonts w:ascii="Calibri" w:eastAsia="Times New Roman" w:hAnsi="Calibri" w:cs="Calibri"/>
          <w:bCs/>
          <w:i/>
          <w:color w:val="000000"/>
          <w:lang w:eastAsia="cs-CZ"/>
        </w:rPr>
      </w:pPr>
    </w:p>
    <w:tbl>
      <w:tblPr>
        <w:tblW w:w="1077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851"/>
        <w:gridCol w:w="1984"/>
        <w:gridCol w:w="2693"/>
        <w:gridCol w:w="709"/>
        <w:gridCol w:w="3544"/>
      </w:tblGrid>
      <w:tr w:rsidR="00FC265D" w:rsidRPr="00FC265D" w:rsidTr="009D1DEF">
        <w:trPr>
          <w:trHeight w:val="480"/>
        </w:trPr>
        <w:tc>
          <w:tcPr>
            <w:tcW w:w="99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C1795" w:rsidRPr="00260593" w:rsidRDefault="009F0ABE" w:rsidP="009C1795">
            <w:pPr>
              <w:spacing w:after="0" w:line="240" w:lineRule="auto"/>
              <w:jc w:val="center"/>
              <w:rPr>
                <w:rFonts w:eastAsia="Times New Roman" w:cstheme="minorHAnsi"/>
                <w:b/>
                <w:bCs/>
                <w:color w:val="000000" w:themeColor="text1"/>
                <w:lang w:eastAsia="cs-CZ"/>
              </w:rPr>
            </w:pPr>
            <w:bookmarkStart w:id="1" w:name="RANGE!B2"/>
            <w:r>
              <w:rPr>
                <w:rFonts w:eastAsia="Times New Roman" w:cstheme="minorHAnsi"/>
                <w:b/>
                <w:bCs/>
                <w:color w:val="000000" w:themeColor="text1"/>
                <w:lang w:eastAsia="cs-CZ"/>
              </w:rPr>
              <w:t>O</w:t>
            </w:r>
            <w:r w:rsidR="009C1795" w:rsidRPr="00260593">
              <w:rPr>
                <w:rFonts w:eastAsia="Times New Roman" w:cstheme="minorHAnsi"/>
                <w:b/>
                <w:bCs/>
                <w:color w:val="000000" w:themeColor="text1"/>
                <w:lang w:eastAsia="cs-CZ"/>
              </w:rPr>
              <w:t xml:space="preserve">blast </w:t>
            </w:r>
            <w:bookmarkEnd w:id="1"/>
          </w:p>
        </w:tc>
        <w:tc>
          <w:tcPr>
            <w:tcW w:w="851"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C1795" w:rsidRPr="00260593" w:rsidRDefault="00FC265D" w:rsidP="00FC265D">
            <w:pPr>
              <w:spacing w:after="0" w:line="240" w:lineRule="auto"/>
              <w:jc w:val="center"/>
              <w:rPr>
                <w:rFonts w:eastAsia="Times New Roman" w:cstheme="minorHAnsi"/>
                <w:b/>
                <w:bCs/>
                <w:color w:val="000000" w:themeColor="text1"/>
                <w:lang w:eastAsia="cs-CZ"/>
              </w:rPr>
            </w:pPr>
            <w:r w:rsidRPr="00260593">
              <w:rPr>
                <w:rFonts w:eastAsia="Times New Roman" w:cstheme="minorHAnsi"/>
                <w:b/>
                <w:bCs/>
                <w:color w:val="000000" w:themeColor="text1"/>
                <w:lang w:eastAsia="cs-CZ"/>
              </w:rPr>
              <w:t xml:space="preserve">Zdroj </w:t>
            </w:r>
          </w:p>
        </w:tc>
        <w:tc>
          <w:tcPr>
            <w:tcW w:w="1984"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9C1795" w:rsidRPr="00260593" w:rsidRDefault="009C1795" w:rsidP="009C1795">
            <w:pPr>
              <w:spacing w:after="0" w:line="240" w:lineRule="auto"/>
              <w:jc w:val="center"/>
              <w:rPr>
                <w:rFonts w:eastAsia="Times New Roman" w:cstheme="minorHAnsi"/>
                <w:b/>
                <w:bCs/>
                <w:color w:val="000000" w:themeColor="text1"/>
                <w:lang w:eastAsia="cs-CZ"/>
              </w:rPr>
            </w:pPr>
            <w:r w:rsidRPr="00260593">
              <w:rPr>
                <w:rFonts w:eastAsia="Times New Roman" w:cstheme="minorHAnsi"/>
                <w:b/>
                <w:bCs/>
                <w:color w:val="000000" w:themeColor="text1"/>
                <w:lang w:eastAsia="cs-CZ"/>
              </w:rPr>
              <w:t>Doporučení</w:t>
            </w:r>
          </w:p>
        </w:tc>
        <w:tc>
          <w:tcPr>
            <w:tcW w:w="2693"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9C1795" w:rsidRPr="00260593" w:rsidRDefault="009C1795" w:rsidP="009C1795">
            <w:pPr>
              <w:spacing w:after="0" w:line="240" w:lineRule="auto"/>
              <w:jc w:val="center"/>
              <w:rPr>
                <w:rFonts w:eastAsia="Times New Roman" w:cstheme="minorHAnsi"/>
                <w:b/>
                <w:bCs/>
                <w:color w:val="000000" w:themeColor="text1"/>
                <w:lang w:eastAsia="cs-CZ"/>
              </w:rPr>
            </w:pPr>
            <w:r w:rsidRPr="00260593">
              <w:rPr>
                <w:rFonts w:eastAsia="Times New Roman" w:cstheme="minorHAnsi"/>
                <w:b/>
                <w:bCs/>
                <w:color w:val="000000" w:themeColor="text1"/>
                <w:lang w:eastAsia="cs-CZ"/>
              </w:rPr>
              <w:t>Aktivity vedoucí ke splnění doporučení</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C1795" w:rsidRPr="00260593" w:rsidRDefault="009C1795" w:rsidP="00FC265D">
            <w:pPr>
              <w:spacing w:after="0" w:line="240" w:lineRule="auto"/>
              <w:jc w:val="center"/>
              <w:rPr>
                <w:rFonts w:eastAsia="Times New Roman" w:cstheme="minorHAnsi"/>
                <w:b/>
                <w:bCs/>
                <w:color w:val="000000" w:themeColor="text1"/>
                <w:lang w:eastAsia="cs-CZ"/>
              </w:rPr>
            </w:pPr>
            <w:r w:rsidRPr="00260593">
              <w:rPr>
                <w:rFonts w:eastAsia="Times New Roman" w:cstheme="minorHAnsi"/>
                <w:b/>
                <w:bCs/>
                <w:color w:val="000000" w:themeColor="text1"/>
                <w:lang w:eastAsia="cs-CZ"/>
              </w:rPr>
              <w:t xml:space="preserve">Stav </w:t>
            </w:r>
          </w:p>
        </w:tc>
        <w:tc>
          <w:tcPr>
            <w:tcW w:w="3544"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9C1795" w:rsidRPr="00260593" w:rsidRDefault="009C1795" w:rsidP="009C1795">
            <w:pPr>
              <w:spacing w:after="0" w:line="240" w:lineRule="auto"/>
              <w:jc w:val="center"/>
              <w:rPr>
                <w:rFonts w:eastAsia="Times New Roman" w:cstheme="minorHAnsi"/>
                <w:b/>
                <w:bCs/>
                <w:color w:val="000000" w:themeColor="text1"/>
                <w:lang w:eastAsia="cs-CZ"/>
              </w:rPr>
            </w:pPr>
            <w:r w:rsidRPr="00260593">
              <w:rPr>
                <w:rFonts w:eastAsia="Times New Roman" w:cstheme="minorHAnsi"/>
                <w:b/>
                <w:bCs/>
                <w:color w:val="000000" w:themeColor="text1"/>
                <w:lang w:eastAsia="cs-CZ"/>
              </w:rPr>
              <w:t>Výsledek</w:t>
            </w:r>
          </w:p>
        </w:tc>
      </w:tr>
      <w:tr w:rsidR="00FC265D" w:rsidRPr="00FC265D" w:rsidTr="009D1DEF">
        <w:trPr>
          <w:trHeight w:val="1195"/>
        </w:trPr>
        <w:tc>
          <w:tcPr>
            <w:tcW w:w="993" w:type="dxa"/>
            <w:tcBorders>
              <w:top w:val="single" w:sz="4" w:space="0" w:color="auto"/>
            </w:tcBorders>
            <w:shd w:val="clear" w:color="auto" w:fill="D9D9D9" w:themeFill="background1" w:themeFillShade="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6. Externí komunikace a publicita</w:t>
            </w:r>
          </w:p>
        </w:tc>
        <w:tc>
          <w:tcPr>
            <w:tcW w:w="851" w:type="dxa"/>
            <w:tcBorders>
              <w:top w:val="single" w:sz="4" w:space="0" w:color="auto"/>
            </w:tcBorders>
            <w:shd w:val="clear" w:color="auto" w:fill="D9D9D9" w:themeFill="background1" w:themeFillShade="D9"/>
            <w:hideMark/>
          </w:tcPr>
          <w:p w:rsidR="009C1795" w:rsidRPr="009C1795" w:rsidRDefault="007D2822" w:rsidP="007D2822">
            <w:pPr>
              <w:spacing w:after="0" w:line="240" w:lineRule="auto"/>
              <w:rPr>
                <w:rFonts w:eastAsia="Times New Roman" w:cstheme="minorHAnsi"/>
                <w:b/>
                <w:bCs/>
                <w:sz w:val="16"/>
                <w:szCs w:val="16"/>
                <w:lang w:eastAsia="cs-CZ"/>
              </w:rPr>
            </w:pPr>
            <w:r>
              <w:rPr>
                <w:rFonts w:eastAsia="Times New Roman" w:cstheme="minorHAnsi"/>
                <w:b/>
                <w:bCs/>
                <w:sz w:val="16"/>
                <w:szCs w:val="16"/>
                <w:lang w:eastAsia="cs-CZ"/>
              </w:rPr>
              <w:t>ROV</w:t>
            </w:r>
            <w:r w:rsidR="00D249A1" w:rsidRPr="00D249A1">
              <w:rPr>
                <w:rFonts w:eastAsia="Times New Roman" w:cstheme="minorHAnsi"/>
                <w:b/>
                <w:bCs/>
                <w:sz w:val="16"/>
                <w:szCs w:val="16"/>
                <w:lang w:eastAsia="cs-CZ"/>
              </w:rPr>
              <w:t xml:space="preserve"> 2009 </w:t>
            </w:r>
          </w:p>
        </w:tc>
        <w:tc>
          <w:tcPr>
            <w:tcW w:w="1984" w:type="dxa"/>
            <w:tcBorders>
              <w:top w:val="single" w:sz="4" w:space="0" w:color="auto"/>
            </w:tcBorders>
            <w:shd w:val="clear" w:color="auto" w:fill="D9D9D9" w:themeFill="background1" w:themeFillShade="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Publikovat ve větší míře ilustrativní příklady podporovaných aktivit a dalších částí projektové žádosti, případně vzorové projekty</w:t>
            </w:r>
          </w:p>
        </w:tc>
        <w:tc>
          <w:tcPr>
            <w:tcW w:w="2693" w:type="dxa"/>
            <w:tcBorders>
              <w:top w:val="single" w:sz="4" w:space="0" w:color="auto"/>
            </w:tcBorders>
            <w:shd w:val="clear" w:color="auto" w:fill="D9D9D9" w:themeFill="background1" w:themeFillShade="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tcBorders>
              <w:top w:val="single" w:sz="4" w:space="0" w:color="auto"/>
            </w:tcBorders>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tcBorders>
              <w:top w:val="single" w:sz="4" w:space="0" w:color="auto"/>
            </w:tcBorders>
            <w:shd w:val="clear" w:color="auto" w:fill="D9D9D9" w:themeFill="background1" w:themeFillShade="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r>
      <w:tr w:rsidR="00FC265D" w:rsidRPr="00FC265D" w:rsidTr="00260593">
        <w:trPr>
          <w:trHeight w:val="1609"/>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1. Všichni vyhlašovatelé výzev budou zveřejňovat upřesňující pokyny a příklady pro vyplnění projektové žádosti, nadále využívat nástroje FAQ  a -  tam, kde je to vhodné – zveřejňovat i celé vzorové projekty, zejména pokud je v rámci dané oblasti podpory (GG, výzvy) potřeba zajistit vyšší kvalitu projektových žádostí</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splněno</w:t>
            </w:r>
          </w:p>
        </w:tc>
        <w:tc>
          <w:tcPr>
            <w:tcW w:w="3544" w:type="dxa"/>
            <w:shd w:val="clear" w:color="auto" w:fill="auto"/>
            <w:hideMark/>
          </w:tcPr>
          <w:p w:rsidR="009C1795" w:rsidRPr="009C1795" w:rsidRDefault="009C1795" w:rsidP="00730C13">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11/2011:Všichni vyhlašovatelé ve větší míře zpracovávají a/či publikují návodné materiály pro žadatele a příjemce, doporučené studijní materiály, e-learningové kurzy pro žadatele a příjemce, databáze organizací řešících příslušnou problematiku (např. gender), zveřejňují výstupy ze seminářů a workshopů a FAQ na www.esfcr.cz apod.</w:t>
            </w:r>
          </w:p>
        </w:tc>
      </w:tr>
      <w:tr w:rsidR="00FC265D" w:rsidRPr="00FC265D" w:rsidTr="00260593">
        <w:trPr>
          <w:trHeight w:val="223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Odkazy na platformy vyhledávání mezinárodních partnerů, případně další relevantní podklady a formuláře  přikládat k textům jednotlivých výzev v PO Mezinárodní spolupráce</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splněno</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Na www.esfcr.cz jsou v záložce prioritní osy 5 průběžně aktualizovány informace o možnostech vyhledávání zahraničních partnerů (odkazy databáze pro vyhledávání zahraničních partnerů, nabídky účasti na mezinárodních setkáních zaměřených na vyhledávání zahraničních partnerů, nabídky konkrétních zahraničních partnerství, odkaz na kalendář výzev na mezinárodní spolupráci v ostatních členských státech EU). Odkaz na uvedenou záložku je rovněž přímo u informací k aktuálním výzvám PO 5 a je i součástí textu výzvy</w:t>
            </w:r>
          </w:p>
        </w:tc>
      </w:tr>
      <w:tr w:rsidR="00FC265D" w:rsidRPr="00FC265D" w:rsidTr="00260593">
        <w:trPr>
          <w:trHeight w:val="143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3. V rámci publicity OP LZZ budou zveřejněny, případně vytištěny příklady úspěšných projektů realizovaných v partnerství, které budou zpracovány v rámci evaluační zakázky Hodnocení  implementace principu partnerství v OP LZZ.</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9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6. Externí komunikace a publicita</w:t>
            </w:r>
          </w:p>
        </w:tc>
        <w:tc>
          <w:tcPr>
            <w:tcW w:w="851" w:type="dxa"/>
            <w:shd w:val="clear" w:color="000000" w:fill="D9D9D9"/>
            <w:hideMark/>
          </w:tcPr>
          <w:p w:rsidR="009C1795" w:rsidRPr="009C1795" w:rsidRDefault="00D249A1" w:rsidP="007D2822">
            <w:pPr>
              <w:spacing w:after="0" w:line="240" w:lineRule="auto"/>
              <w:rPr>
                <w:rFonts w:eastAsia="Times New Roman" w:cstheme="minorHAnsi"/>
                <w:b/>
                <w:bCs/>
                <w:sz w:val="16"/>
                <w:szCs w:val="16"/>
                <w:lang w:eastAsia="cs-CZ"/>
              </w:rPr>
            </w:pPr>
            <w:r w:rsidRPr="00D249A1">
              <w:rPr>
                <w:rFonts w:eastAsia="Times New Roman" w:cstheme="minorHAnsi"/>
                <w:b/>
                <w:bCs/>
                <w:sz w:val="16"/>
                <w:szCs w:val="16"/>
                <w:lang w:eastAsia="cs-CZ"/>
              </w:rPr>
              <w:t xml:space="preserve">Fokusní skupiny a evaluační workshop 2009 </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Poskytovat výstupy programu k dispozici ostatním subjektům k dalšímu využití a rozvoji</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r>
      <w:tr w:rsidR="00FC265D" w:rsidRPr="00FC265D" w:rsidTr="00260593">
        <w:trPr>
          <w:trHeight w:val="1213"/>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FC265D" w:rsidP="009C1795">
            <w:pPr>
              <w:spacing w:after="0" w:line="240" w:lineRule="auto"/>
              <w:rPr>
                <w:rFonts w:eastAsia="Times New Roman" w:cstheme="minorHAnsi"/>
                <w:color w:val="000000"/>
                <w:sz w:val="16"/>
                <w:szCs w:val="16"/>
                <w:lang w:eastAsia="cs-CZ"/>
              </w:rPr>
            </w:pPr>
            <w:r>
              <w:rPr>
                <w:rFonts w:eastAsia="Times New Roman" w:cstheme="minorHAnsi"/>
                <w:color w:val="000000"/>
                <w:sz w:val="16"/>
                <w:szCs w:val="16"/>
                <w:lang w:eastAsia="cs-CZ"/>
              </w:rPr>
              <w:t>1. Finali</w:t>
            </w:r>
            <w:r w:rsidR="009C1795" w:rsidRPr="009C1795">
              <w:rPr>
                <w:rFonts w:eastAsia="Times New Roman" w:cstheme="minorHAnsi"/>
                <w:color w:val="000000"/>
                <w:sz w:val="16"/>
                <w:szCs w:val="16"/>
                <w:lang w:eastAsia="cs-CZ"/>
              </w:rPr>
              <w:t xml:space="preserve">zace Databáze produktů ESF www.esfdb.esfcr.cz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i/>
                <w:iCs/>
                <w:color w:val="000000"/>
                <w:sz w:val="16"/>
                <w:szCs w:val="16"/>
                <w:lang w:eastAsia="cs-CZ"/>
              </w:rPr>
            </w:pPr>
            <w:r w:rsidRPr="009C1795">
              <w:rPr>
                <w:rFonts w:eastAsia="Times New Roman" w:cstheme="minorHAnsi"/>
                <w:i/>
                <w:iCs/>
                <w:color w:val="000000"/>
                <w:sz w:val="16"/>
                <w:szCs w:val="16"/>
                <w:lang w:eastAsia="cs-CZ"/>
              </w:rPr>
              <w:t xml:space="preserve">11/2011 - </w:t>
            </w:r>
            <w:r w:rsidRPr="009C1795">
              <w:rPr>
                <w:rFonts w:eastAsia="Times New Roman" w:cstheme="minorHAnsi"/>
                <w:color w:val="000000"/>
                <w:sz w:val="16"/>
                <w:szCs w:val="16"/>
                <w:lang w:eastAsia="cs-CZ"/>
              </w:rPr>
              <w:t>Finalizace databáze pro produkty 2007-2013 probíhá (úprava esfdb.esfcr.cz pro nahrávání produktů samotnými příjemci + finalizace vzorových licenčních smluv). 9/2011překlopeny projekty OP LZZ z www.esfcr.cz do esfdb.esfcr.cz – je možné nahrávat produkty OP LZZ</w:t>
            </w:r>
          </w:p>
        </w:tc>
      </w:tr>
      <w:tr w:rsidR="00FC265D" w:rsidRPr="00FC265D" w:rsidTr="00260593">
        <w:trPr>
          <w:trHeight w:val="409"/>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Databáze produktů ESF  - finalizace vzorů licenčních smluv</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Probíhá.</w:t>
            </w:r>
          </w:p>
        </w:tc>
      </w:tr>
      <w:tr w:rsidR="00FC265D" w:rsidRPr="00FC265D" w:rsidTr="00260593">
        <w:trPr>
          <w:trHeight w:val="414"/>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 xml:space="preserve">3. Nastavit systém zveřejňování produktů pro 2014+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čeká se</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FF"/>
                <w:sz w:val="16"/>
                <w:szCs w:val="16"/>
                <w:lang w:eastAsia="cs-CZ"/>
              </w:rPr>
            </w:pPr>
            <w:r w:rsidRPr="009C1795">
              <w:rPr>
                <w:rFonts w:eastAsia="Times New Roman" w:cstheme="minorHAnsi"/>
                <w:color w:val="0000FF"/>
                <w:sz w:val="16"/>
                <w:szCs w:val="16"/>
                <w:lang w:eastAsia="cs-CZ"/>
              </w:rPr>
              <w:t> </w:t>
            </w:r>
          </w:p>
        </w:tc>
      </w:tr>
      <w:tr w:rsidR="00FC265D" w:rsidRPr="00FC265D" w:rsidTr="00260593">
        <w:trPr>
          <w:trHeight w:val="2465"/>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lastRenderedPageBreak/>
              <w:t>2. Projekty a jejich výsledky</w:t>
            </w:r>
          </w:p>
        </w:tc>
        <w:tc>
          <w:tcPr>
            <w:tcW w:w="851" w:type="dxa"/>
            <w:shd w:val="clear" w:color="000000" w:fill="D9D9D9"/>
            <w:hideMark/>
          </w:tcPr>
          <w:p w:rsidR="009C1795" w:rsidRPr="009C1795" w:rsidRDefault="00D249A1" w:rsidP="007D2822">
            <w:pPr>
              <w:spacing w:after="0" w:line="240" w:lineRule="auto"/>
              <w:rPr>
                <w:rFonts w:eastAsia="Times New Roman" w:cstheme="minorHAnsi"/>
                <w:b/>
                <w:bCs/>
                <w:sz w:val="16"/>
                <w:szCs w:val="16"/>
                <w:lang w:eastAsia="cs-CZ"/>
              </w:rPr>
            </w:pPr>
            <w:r w:rsidRPr="00D249A1">
              <w:rPr>
                <w:rFonts w:eastAsia="Times New Roman" w:cstheme="minorHAnsi"/>
                <w:b/>
                <w:bCs/>
                <w:sz w:val="16"/>
                <w:szCs w:val="16"/>
                <w:lang w:eastAsia="cs-CZ"/>
              </w:rPr>
              <w:t xml:space="preserve">Evaluace ve vazbě na monitoring 2009 - vyhodnocení indikátorové soustavy </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Sledovat ve větší míře vývoj externího prostředí a reagovat na něj pomocí výzev připravovaných ve spolupráci vyhlašovatelů, externích odborníků, hodnotitelů projektů a odborné veřejnosti.</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V OP LZZ má funkční systém sledování externího prostředí prostřednictvím krátkodobých i dlouhodobých evaluací. Výzvy jsou připravovány na základě výstupů z evaluace nebo v rámci veřejného připomínkování (např. výzvy č. 51, 76 a 77).  Dle potřeby se konají a) evaluačně-expertní fokusní skupiny za účastni klíčových aktérů a expertů b) jsou realizovány ad-hoc evaluace/analýzy za účelem zhodnocení potřebnosti či vhodného zaměření dalších výzev či průřezových aktivit (např. v oblasti rovných příležitostí). </w:t>
            </w:r>
          </w:p>
        </w:tc>
      </w:tr>
      <w:tr w:rsidR="00FC265D" w:rsidRPr="00FC265D" w:rsidTr="00260593">
        <w:trPr>
          <w:trHeight w:val="1481"/>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7D2822" w:rsidP="007D2822">
            <w:pPr>
              <w:spacing w:after="0" w:line="240" w:lineRule="auto"/>
              <w:rPr>
                <w:rFonts w:eastAsia="Times New Roman" w:cstheme="minorHAnsi"/>
                <w:b/>
                <w:bCs/>
                <w:sz w:val="16"/>
                <w:szCs w:val="16"/>
                <w:lang w:eastAsia="cs-CZ"/>
              </w:rPr>
            </w:pPr>
            <w:r>
              <w:rPr>
                <w:rFonts w:eastAsia="Times New Roman" w:cstheme="minorHAnsi"/>
                <w:b/>
                <w:bCs/>
                <w:sz w:val="16"/>
                <w:szCs w:val="16"/>
                <w:lang w:eastAsia="cs-CZ"/>
              </w:rPr>
              <w:t xml:space="preserve">ROV 2009 </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Připravit a realizovat případná opatření na zvýšení absorpční kapacity v regionech, které by začaly vykazovat zaostávající míru čerpání alokovaných prostředků</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V rámci ROV 2010 nebyly identifikovány nedostatky v této oblasti. Nastavení příp. nového systému regionálních analýz bude řešeno při  přípravě OP 2014+ (tým ŘO „Analytik“).</w:t>
            </w:r>
          </w:p>
        </w:tc>
      </w:tr>
      <w:tr w:rsidR="00FC265D" w:rsidRPr="00FC265D" w:rsidTr="00260593">
        <w:trPr>
          <w:trHeight w:val="15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7D2822" w:rsidRDefault="009C1795" w:rsidP="009C1795">
            <w:pPr>
              <w:spacing w:after="0" w:line="240" w:lineRule="auto"/>
              <w:rPr>
                <w:rFonts w:eastAsia="Times New Roman" w:cstheme="minorHAnsi"/>
                <w:b/>
                <w:bCs/>
                <w:sz w:val="16"/>
                <w:szCs w:val="16"/>
                <w:lang w:eastAsia="cs-CZ"/>
              </w:rPr>
            </w:pPr>
            <w:r w:rsidRPr="007D2822">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 Analyzovat možnosti navýšení dalších částí dotace tak, aby se zlepšilo cash flow příjemců.</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3/2011: V Příručce L 1 (vzor právního aktu) došlo k úpravě možnosti nastavení dalších částí dotace. Změnu nastavení dalších částí dotace je možné nyní provést v uzavíraném právním aktu, eventuálně vydáním změny již uzavřeného právního aktu</w:t>
            </w:r>
          </w:p>
        </w:tc>
      </w:tr>
      <w:tr w:rsidR="00FC265D" w:rsidRPr="00FC265D" w:rsidTr="00260593">
        <w:trPr>
          <w:trHeight w:val="7707"/>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7D2822" w:rsidRDefault="009C1795" w:rsidP="009C1795">
            <w:pPr>
              <w:spacing w:after="0" w:line="240" w:lineRule="auto"/>
              <w:rPr>
                <w:rFonts w:eastAsia="Times New Roman" w:cstheme="minorHAnsi"/>
                <w:b/>
                <w:bCs/>
                <w:sz w:val="16"/>
                <w:szCs w:val="16"/>
                <w:lang w:eastAsia="cs-CZ"/>
              </w:rPr>
            </w:pPr>
            <w:r w:rsidRPr="007D2822">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Nadále zvyšovat kvalitu hodnocení projektových žádostí systematickou prací s externími hodnotiteli resp. Zajistit využití služeb těch nejkvalitnějších externích hodnotitelů prostřednictvím efektivní práce se systémem ratingu hodnotitelů, případně dalších opatření jako je eliminace hodnotitelů udílejících systematicky extrémní hodnocení.</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E41128">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Splněno 11/2011: Probíhá pokračování v seminářích pro EH před zahájením hodnocení. Semináře pokrývají vedle specifik zaměření dané výzvy i problémové oblasti v  předložených žádostech a v hodnoceních EH v předešlých výzvách. Více je zdůrazněna informovanost EH o výhodách paušálních výdajů. Problematika odměňování hodnotitelů pracujících na základě dohod mimo pracovní poměr je ošetřena vydáním metodického dopisu č. 10. Vzory dohod s hodnotiteli o pracích konaných mimo pracovní poměr jsou doplněny do přílohy Operačního manuálu L2. Databáze hodnotitelů – nová verze byla spuštěna koncem března 2011 a průběžně se aktualizuje na základě ohlasů ze strany projektových manažerů. Hodnotitelé jsou z DBH losováni automaticky na základě zadaných kritérií (proškolení, rating, výzva, počet projektů na hodnotitele). Rating v DBH je v nové verzi povinný, ale byl (též na základě požadavků PM) upraven tak, že je možno jej v DBH zadat souhrnně pro více projektů v rámci dávky , kterou PM naimportoval. Špatní hodnotitelé jsou vyeliminováni ratingem 4-5. Je zpracovávána analýza extrémních hodnotitelů a výstupy předány k využití v rámci ŘO. Další rozvoj DBH z hlediska zajištění větší objektivnosti a použitelnost ratingu bude jedním z úkolů pracovní  skupiny ŘO 81 - Tým Hodnotitel. Dále v rámci Opce s externím administrátorem probíhá realizace části 1 – Zkvalitnění procesu výběru projektů a práce s hodnotiteli, v rámci které bude probíhat analýza dosavadního systému a návrh změn, zejména v oblasti školení hodnotitelů a výběrové komise. Dále bude proveden benchmarking systému vzdělávání hodnotitelů/výběrových komisí s dalšími systémy vzdělávání v jiných grantových schématech a v neposlední řadě budou předloženy návrhy na změnu systému pro budoucí období. </w:t>
            </w:r>
            <w:r w:rsidR="00E41128">
              <w:rPr>
                <w:rFonts w:eastAsia="Times New Roman" w:cstheme="minorHAnsi"/>
                <w:b/>
                <w:bCs/>
                <w:color w:val="000000"/>
                <w:sz w:val="16"/>
                <w:szCs w:val="16"/>
                <w:lang w:eastAsia="cs-CZ"/>
              </w:rPr>
              <w:t>Atd. …</w:t>
            </w:r>
          </w:p>
        </w:tc>
      </w:tr>
      <w:tr w:rsidR="00FC265D" w:rsidRPr="00FC265D" w:rsidTr="00260593">
        <w:trPr>
          <w:trHeight w:val="18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lastRenderedPageBreak/>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7D2822">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Vyhodnotit dosavadní zkušenosti se systémem hodnocení projektových žádostí, včetně zvážení posílení významu udržitelnosti aktivit tak, aby pokračovaly i po skončení podpory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r>
      <w:tr w:rsidR="00FC265D" w:rsidRPr="00FC265D" w:rsidTr="00260593">
        <w:trPr>
          <w:trHeight w:val="2854"/>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 V rámci analýz pro přípravu období 2014+ budou opětovně vyhodnoceny zkušenosti se stávajícím systémem hodnocení, proveden desk-research, popř. průzkum praxe hodnocení grantů jiných grantových subjektů (např. GAČR, nadace apod.); nejlepší praxe pak zohledněna v dalším období; vyhodnoceny budou též slovní deskriptory i význam udržitelnosti aktivit. Bude zohledněno doporučení Při nastavování pravidel hodnocení projektů spolupracovat s vybranými hodnotiteli OP LZZ</w:t>
            </w:r>
          </w:p>
        </w:tc>
        <w:tc>
          <w:tcPr>
            <w:tcW w:w="709" w:type="dxa"/>
            <w:shd w:val="clear" w:color="auto" w:fill="D9D9D9" w:themeFill="background1" w:themeFillShade="D9"/>
            <w:hideMark/>
          </w:tcPr>
          <w:p w:rsidR="009C1795" w:rsidRPr="009C1795" w:rsidRDefault="009C1795" w:rsidP="00E41128">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w:t>
            </w:r>
            <w:r w:rsidR="00E41128">
              <w:rPr>
                <w:rFonts w:eastAsia="Times New Roman" w:cstheme="minorHAnsi"/>
                <w:color w:val="000000"/>
                <w:sz w:val="16"/>
                <w:szCs w:val="16"/>
                <w:lang w:eastAsia="cs-CZ"/>
              </w:rPr>
              <w:t>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41"/>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2. Při nastavování systému hodnocení využití výstupů z 1. 2013 – zapracování do Manuálu nového OP/ V návaznosti na 1.</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čeká se</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965"/>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D249A1" w:rsidP="007D2822">
            <w:pPr>
              <w:spacing w:after="0" w:line="240" w:lineRule="auto"/>
              <w:rPr>
                <w:rFonts w:eastAsia="Times New Roman" w:cstheme="minorHAnsi"/>
                <w:b/>
                <w:bCs/>
                <w:sz w:val="16"/>
                <w:szCs w:val="16"/>
                <w:lang w:eastAsia="cs-CZ"/>
              </w:rPr>
            </w:pPr>
            <w:r w:rsidRPr="00D249A1">
              <w:rPr>
                <w:rFonts w:eastAsia="Times New Roman" w:cstheme="minorHAnsi"/>
                <w:b/>
                <w:bCs/>
                <w:sz w:val="16"/>
                <w:szCs w:val="16"/>
                <w:lang w:eastAsia="cs-CZ"/>
              </w:rPr>
              <w:t xml:space="preserve">Evaluace ve vazbě na monitoring 2009 - vyhodnocení indikátorové soustavy </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Snižovat riziko nepochopení /stanovení neadekvátních hodnot indikátorů žadatelem zvýšenou konzultační činností ŘO/ZS/administrátora</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11/ 2011: Pro metodickou podporu řešení problematiky indikátorů funguje tematický klub na ESF fóru „Monitorování a informační systémy; indikátory”  https://forum.esfcr.cz/node/discussion.htm?ident=114&amp;1293097143 (2010). Byly vytvořeny metodické návody a příklady a byly předány k využití v rámci implementační struktury. 2011: Na seminářích pro žadatele a příjemce je věnován dostatečný prostor informaci o indikátorech a nutnosti jejich vhodného nastavení a plnění. Hodnocení reálnosti plánovaných hodnot indikátorů je také zdůrazňováno na školeních hodnotitelů a zabývají se jimi dle potřeby i výběrové komise při projednávání žádostí. </w:t>
            </w:r>
          </w:p>
        </w:tc>
      </w:tr>
      <w:tr w:rsidR="00FC265D" w:rsidRPr="00FC265D" w:rsidTr="00260593">
        <w:trPr>
          <w:trHeight w:val="2555"/>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D249A1" w:rsidP="007D2822">
            <w:pPr>
              <w:spacing w:after="0" w:line="240" w:lineRule="auto"/>
              <w:rPr>
                <w:rFonts w:eastAsia="Times New Roman" w:cstheme="minorHAnsi"/>
                <w:b/>
                <w:bCs/>
                <w:sz w:val="16"/>
                <w:szCs w:val="16"/>
                <w:lang w:eastAsia="cs-CZ"/>
              </w:rPr>
            </w:pPr>
            <w:r w:rsidRPr="00D249A1">
              <w:rPr>
                <w:rFonts w:eastAsia="Times New Roman" w:cstheme="minorHAnsi"/>
                <w:b/>
                <w:bCs/>
                <w:sz w:val="16"/>
                <w:szCs w:val="16"/>
                <w:lang w:eastAsia="cs-CZ"/>
              </w:rPr>
              <w:t xml:space="preserve">Evaluace ve vazbě na monitoring 2009 - vyhodnocení indikátorové soustavy </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Nadále zpřesňovat definice monitorovacích indikátorů ve smyslu srozumitelnosti a jednoznačnost a přitom ověřovat, že nebude docházet k podstatným změnám projektů</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11/2011: Vzhledem k hrozícímu nebezpečí , že změny definic povedou k neúměrnému zvýšení administrativní zátěže (podávání a schvalování žádostí o podstatné změny v projektech) bylo po zvážení rozhodnuto definice neměnit. U problematických indikátorů 43.05.00 Počet vytvořených partnerství v MMI a 07.45.00 Počet podpořených organizací – celkem bylo vše vyřešeno zapracováním dodatečných formálních kontrol v monitorovacím systému Benefit (02/2011). Nicméně problémy s těmito či dalšími indikátory budou zohledněny při přípravě systému monitorovacích indikátorů v období 2014+. </w:t>
            </w:r>
          </w:p>
        </w:tc>
      </w:tr>
      <w:tr w:rsidR="00FC265D" w:rsidRPr="00FC265D" w:rsidTr="00260593">
        <w:trPr>
          <w:trHeight w:val="12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D249A1" w:rsidP="009C1795">
            <w:pPr>
              <w:spacing w:after="0" w:line="240" w:lineRule="auto"/>
              <w:rPr>
                <w:rFonts w:eastAsia="Times New Roman" w:cstheme="minorHAnsi"/>
                <w:b/>
                <w:bCs/>
                <w:sz w:val="16"/>
                <w:szCs w:val="16"/>
                <w:lang w:eastAsia="cs-CZ"/>
              </w:rPr>
            </w:pPr>
            <w:r w:rsidRPr="00D249A1">
              <w:rPr>
                <w:rFonts w:eastAsia="Times New Roman" w:cstheme="minorHAnsi"/>
                <w:b/>
                <w:bCs/>
                <w:sz w:val="16"/>
                <w:szCs w:val="16"/>
                <w:lang w:eastAsia="cs-CZ"/>
              </w:rPr>
              <w:t>Evaluace ve vazbě na monitoring 2009 - vyhodnocení indikátorové soustavy (DHV)</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 Indikátory, jejichž údaje budou získávány z evaluace opakovaně - dbát na užití stejné metodiky evaluace</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06/2011: Popis metodologie vznikl v rámci projektu externí evaluace Roční operační vyhodnocení 2010. Metodika bude obsažena v průběžné zprávě.  Při následných zjišťováním bude užita shodná metodologie.  </w:t>
            </w:r>
          </w:p>
        </w:tc>
      </w:tr>
      <w:tr w:rsidR="00FC265D" w:rsidRPr="00FC265D" w:rsidTr="00260593">
        <w:trPr>
          <w:trHeight w:val="4721"/>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7D2822" w:rsidRDefault="009C1795" w:rsidP="009C1795">
            <w:pPr>
              <w:spacing w:after="0" w:line="240" w:lineRule="auto"/>
              <w:rPr>
                <w:rFonts w:eastAsia="Times New Roman" w:cstheme="minorHAnsi"/>
                <w:b/>
                <w:bCs/>
                <w:sz w:val="16"/>
                <w:szCs w:val="16"/>
                <w:lang w:eastAsia="cs-CZ"/>
              </w:rPr>
            </w:pPr>
            <w:r w:rsidRPr="007D2822">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Sjednotit definice indikátorů ve všech dokumentech</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Průběžně realizováno v případě koherence MMI (D8), agregační mapy a Národního číselníku indikátorů. Nelze však řešit některé nekonzistence s Operačním programem, neboť jeho změna jen kvůli koherenci indikátorů je příliš nákladným procesem. V rámci revize programu OP LZZ, která proběhla v létě 2011, byly upraveny definice monitorovacích indikátorů tak, aby byly konzistentní s NČI a byly navýšeny některé cílové hodnoty. Aktuální definice indikátoru 074280 Udržitelnost vytvořených partnerství uvedená v revidovaném OP LZZ zní: „Podíl vytvořených a fungujících partnerství po šesti měsících od ukončení podpory (%)“ (Reakce na: Sladit definici indikátoru 074280 Udržitelnost vytvořených partnerství v Prováděcím dokumentu a v agregační mapě. Definice dle Prováděcího dokumentu: Podíl partnerství fungujících po šesti měsících od ukončení podpory. Definice dle AM: Podíl vytvořených a fungujících partnerství po šesti měsících od ukončení podpory. Návrh úpravy definice: Podíl vytvořených a fungujících partnerství na všech vytvořených partnerstvích po šesti měsících od ukončení podpory.)</w:t>
            </w:r>
          </w:p>
        </w:tc>
      </w:tr>
      <w:tr w:rsidR="00FC265D" w:rsidRPr="00FC265D" w:rsidTr="00260593">
        <w:trPr>
          <w:trHeight w:val="99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D249A1" w:rsidP="009C1795">
            <w:pPr>
              <w:spacing w:after="0" w:line="240" w:lineRule="auto"/>
              <w:rPr>
                <w:rFonts w:eastAsia="Times New Roman" w:cstheme="minorHAnsi"/>
                <w:b/>
                <w:bCs/>
                <w:sz w:val="16"/>
                <w:szCs w:val="16"/>
                <w:lang w:eastAsia="cs-CZ"/>
              </w:rPr>
            </w:pPr>
            <w:r w:rsidRPr="00D249A1">
              <w:rPr>
                <w:rFonts w:eastAsia="Times New Roman" w:cstheme="minorHAnsi"/>
                <w:b/>
                <w:bCs/>
                <w:sz w:val="16"/>
                <w:szCs w:val="16"/>
                <w:lang w:eastAsia="cs-CZ"/>
              </w:rPr>
              <w:t>Evaluace ve vazbě na monitoring 2009 - vyhodnocení indikátorové soustavy (DHV)</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Uvádět postup stanovení cílové hodnoty indikátorů v projektové žádosti</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6/2010: V rámci revize metodik byla ukotvena povinnost vysvětlit způsob stanovení cílové hodnoty indikátorů v projektové žádosti. Proběhla úprava Benefit7+, který nyní obsahuje příslušné pole</w:t>
            </w:r>
          </w:p>
        </w:tc>
      </w:tr>
      <w:tr w:rsidR="00FC265D" w:rsidRPr="00FC265D" w:rsidTr="00260593">
        <w:trPr>
          <w:trHeight w:val="1200"/>
        </w:trPr>
        <w:tc>
          <w:tcPr>
            <w:tcW w:w="993" w:type="dxa"/>
            <w:shd w:val="clear" w:color="000000" w:fill="D9D9D9"/>
            <w:hideMark/>
          </w:tcPr>
          <w:p w:rsidR="009C1795" w:rsidRPr="007D2822" w:rsidRDefault="009C1795" w:rsidP="009C1795">
            <w:pPr>
              <w:spacing w:after="0" w:line="240" w:lineRule="auto"/>
              <w:rPr>
                <w:rFonts w:eastAsia="Times New Roman" w:cstheme="minorHAnsi"/>
                <w:b/>
                <w:bCs/>
                <w:color w:val="000000"/>
                <w:sz w:val="16"/>
                <w:szCs w:val="16"/>
                <w:lang w:eastAsia="cs-CZ"/>
              </w:rPr>
            </w:pPr>
            <w:r w:rsidRPr="007D2822">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7D2822" w:rsidRDefault="009C1795" w:rsidP="009C1795">
            <w:pPr>
              <w:spacing w:after="0" w:line="240" w:lineRule="auto"/>
              <w:rPr>
                <w:rFonts w:eastAsia="Times New Roman" w:cstheme="minorHAnsi"/>
                <w:b/>
                <w:bCs/>
                <w:sz w:val="16"/>
                <w:szCs w:val="16"/>
                <w:lang w:eastAsia="cs-CZ"/>
              </w:rPr>
            </w:pPr>
            <w:r w:rsidRPr="007D2822">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PO 4 - Vyhodnotit indikátor 430702 Efektivnost podpořených projektů i u PO 4 (získat informaci o efektivnosti projektů v PO 4</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Je zařazeno do zadání evaluace indikátorů, jejíž vyhlášení je plánováno do konce roku 2011.</w:t>
            </w:r>
          </w:p>
        </w:tc>
      </w:tr>
      <w:tr w:rsidR="00FC265D" w:rsidRPr="00FC265D" w:rsidTr="00260593">
        <w:trPr>
          <w:trHeight w:val="4619"/>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Při hodnocení úspěšnosti implementace OP LZZ vzít v potaz indikátory výsledků (tj. 07.46.13 a 43.06.00) také z hlediska PO 6 (Technická asistence)</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6/2011: Zhodnocení indikátorů výsledku PO 6 bylo uskutečněno k termínu 5. 1. 2011 v rámci Ročního operačního vyhodnocení OP LZZ 2010. V rámci indikátoru 07.46.13 (Počet úspěšných absolventů kurzů – celkem, tj. Počet podpořených osob, které získaly kvalifikaci/doklad o kvalifikaci, kde cílová hodnota je 500) byla dosažená hodnota na úrovni 1333 úspěšných absolventů kurzů. Z věcného hlediska byla více než dvojnásobně překročena původní cílová hodnota tohoto indikátoru stanovená v programu. (Proto byla hodnota indikátoru 07.46.13 vykazovaného v prioritní ose 6 – Technická pomoc v rámci revize Operačního programu v létě 2011 navýšena z původní cílové hodnoty 500 na cílovou hodnotu 3000) Druhý indikátor 43.06.00 (Míra čerpání prostředků programu, tj. Dosažení cílů n+3/n+2, kde předpokládaná hodnota naplnění je 100 %) je zatím hluboko pod cílovou hodnotou. Prostředky kryté Rozhodnutím však již téměř cílové hodnoty dosáhly, proto jsou nastaveny podmínky pro bezproblémové vyčerpání finančních prostředků v rámci pravidla n+3/n+2</w:t>
            </w:r>
          </w:p>
          <w:p w:rsidR="00D14A92" w:rsidRDefault="00D14A92" w:rsidP="009C1795">
            <w:pPr>
              <w:spacing w:after="0" w:line="240" w:lineRule="auto"/>
              <w:rPr>
                <w:rFonts w:eastAsia="Times New Roman" w:cstheme="minorHAnsi"/>
                <w:b/>
                <w:bCs/>
                <w:color w:val="000000"/>
                <w:sz w:val="16"/>
                <w:szCs w:val="16"/>
                <w:lang w:eastAsia="cs-CZ"/>
              </w:rPr>
            </w:pPr>
          </w:p>
          <w:p w:rsidR="00D14A92" w:rsidRPr="009C1795" w:rsidRDefault="00D14A92" w:rsidP="009C1795">
            <w:pPr>
              <w:spacing w:after="0" w:line="240" w:lineRule="auto"/>
              <w:rPr>
                <w:rFonts w:eastAsia="Times New Roman" w:cstheme="minorHAnsi"/>
                <w:b/>
                <w:bCs/>
                <w:color w:val="000000"/>
                <w:sz w:val="16"/>
                <w:szCs w:val="16"/>
                <w:lang w:eastAsia="cs-CZ"/>
              </w:rPr>
            </w:pPr>
          </w:p>
        </w:tc>
      </w:tr>
    </w:tbl>
    <w:p w:rsidR="00260593" w:rsidRDefault="00260593">
      <w:r>
        <w:br w:type="page"/>
      </w:r>
    </w:p>
    <w:tbl>
      <w:tblPr>
        <w:tblW w:w="1077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851"/>
        <w:gridCol w:w="1984"/>
        <w:gridCol w:w="2693"/>
        <w:gridCol w:w="709"/>
        <w:gridCol w:w="3544"/>
      </w:tblGrid>
      <w:tr w:rsidR="00FC265D" w:rsidRPr="00FC265D" w:rsidTr="00260593">
        <w:trPr>
          <w:trHeight w:val="6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Zavést pro realizátory projektů povinnost sebeevaluace</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r>
      <w:tr w:rsidR="00FC265D" w:rsidRPr="00FC265D" w:rsidTr="00260593">
        <w:trPr>
          <w:trHeight w:val="3068"/>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 xml:space="preserve">1. V rámci aktualizace „Příručky pro sebeevaluaci“ budou vyhodnoceny zkušenosti s prováděním sebeevaluace na úrovni GG a IP a zohledněny v úpravě Příručky pro sebeevaluaci.  Bude také analyzována možnost zveřejňování sebe-evaluačních zpráv IP na www.esfcr.cz  pro splnění cíle </w:t>
            </w:r>
            <w:r w:rsidRPr="009C1795">
              <w:rPr>
                <w:rFonts w:eastAsia="Times New Roman" w:cstheme="minorHAnsi"/>
                <w:b/>
                <w:bCs/>
                <w:sz w:val="16"/>
                <w:szCs w:val="16"/>
                <w:lang w:eastAsia="cs-CZ"/>
              </w:rPr>
              <w:t xml:space="preserve">Zajistit, aby veřejnost měla více informací o individuálních projektech a zvýšit tak jejich transparentnost vůči veřejnosti  </w:t>
            </w:r>
            <w:r w:rsidRPr="009C1795">
              <w:rPr>
                <w:rFonts w:eastAsia="Times New Roman" w:cstheme="minorHAnsi"/>
                <w:sz w:val="16"/>
                <w:szCs w:val="16"/>
                <w:lang w:eastAsia="cs-CZ"/>
              </w:rPr>
              <w:t xml:space="preserve"> V rámci tohoto bude také řešen cíl </w:t>
            </w:r>
            <w:r w:rsidRPr="009C1795">
              <w:rPr>
                <w:rFonts w:eastAsia="Times New Roman" w:cstheme="minorHAnsi"/>
                <w:b/>
                <w:bCs/>
                <w:sz w:val="16"/>
                <w:szCs w:val="16"/>
                <w:lang w:eastAsia="cs-CZ"/>
              </w:rPr>
              <w:t>PO 2 – Zajistit, aby analytická a evaluační činnost probíhala i na úrovni oblasti podpory formou sebeevaluace</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 Nový termín: do 6/2012.. Při aktualizaci Příručky pro sebeevaluaci –1. pol. 2011. Sebeevaluace je již podporována v některých výzvách ZS MV přímo jako aktivita (CAF). Příručka bude upravena s ohledem na tuto skutečnost. V rámci CoP RBM 812 získalo nové poznatky a zkušenosti se sebehodnocením a s projektovým řízením zahraničních partnerů (Švédsko, Polsko, Vlámsko), které budou využity pro aktualizaci příručky a při celkovém nastavení systému.</w:t>
            </w:r>
          </w:p>
        </w:tc>
      </w:tr>
      <w:tr w:rsidR="00FC265D" w:rsidRPr="00FC265D" w:rsidTr="00260593">
        <w:trPr>
          <w:trHeight w:val="141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 xml:space="preserve">2. Možnost povinného zavedení sebeevaluace u grantových projektů pro vybrané oblasti podpory (GG) bude zvážena, systém bude případně odzkoušen a tam, kde to z hledisek účelnosti a účinnosti bude vhodné, bude sebeevaluace zakotvena jako povinná.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 Nový termín: do 6/2012. V závislosti na výstupech „longitudinální evaluace“. (2/2011+)</w:t>
            </w:r>
          </w:p>
        </w:tc>
      </w:tr>
      <w:tr w:rsidR="00FC265D" w:rsidRPr="00FC265D" w:rsidTr="00260593">
        <w:trPr>
          <w:trHeight w:val="1417"/>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3. Samostatně budou v návaznosti na projekty TESSEA</w:t>
            </w:r>
            <w:r w:rsidRPr="009C1795">
              <w:rPr>
                <w:rFonts w:eastAsia="Times New Roman" w:cstheme="minorHAnsi"/>
                <w:sz w:val="16"/>
                <w:szCs w:val="16"/>
                <w:vertAlign w:val="superscript"/>
                <w:lang w:eastAsia="cs-CZ"/>
              </w:rPr>
              <w:t>[1]</w:t>
            </w:r>
            <w:r w:rsidRPr="009C1795">
              <w:rPr>
                <w:rFonts w:eastAsia="Times New Roman" w:cstheme="minorHAnsi"/>
                <w:sz w:val="16"/>
                <w:szCs w:val="16"/>
                <w:lang w:eastAsia="cs-CZ"/>
              </w:rPr>
              <w:t xml:space="preserve"> a NFBSE</w:t>
            </w:r>
            <w:r w:rsidRPr="009C1795">
              <w:rPr>
                <w:rFonts w:eastAsia="Times New Roman" w:cstheme="minorHAnsi"/>
                <w:sz w:val="16"/>
                <w:szCs w:val="16"/>
                <w:vertAlign w:val="superscript"/>
                <w:lang w:eastAsia="cs-CZ"/>
              </w:rPr>
              <w:t>[2]</w:t>
            </w:r>
            <w:r w:rsidRPr="009C1795">
              <w:rPr>
                <w:rFonts w:eastAsia="Times New Roman" w:cstheme="minorHAnsi"/>
                <w:sz w:val="16"/>
                <w:szCs w:val="16"/>
                <w:lang w:eastAsia="cs-CZ"/>
              </w:rPr>
              <w:t xml:space="preserve"> analyzovány a případně zaváděny metody měření a hodnocení přidané hodnoty sociálních podniků (např. SROI, Social accounting), které představují specifickou formu sebeevaluace.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 Nový termín: do 6/2012. 8/2010-5/2012.  V rámci NBFSE byl zpracován návrh komplexního modelu pro hodnocení kvality organizace a měření sociální přidané hodnoty. Po posouzení vhodnosti těchto metod pro ESF v ČR budou případně otestovány a zavedeny i jako součást sebehodnocení.</w:t>
            </w:r>
          </w:p>
        </w:tc>
      </w:tr>
      <w:tr w:rsidR="00FC265D" w:rsidRPr="00FC265D" w:rsidTr="00260593">
        <w:trPr>
          <w:trHeight w:val="1111"/>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Při hodnocení (zejm. výsledky a dopady) očistit hrubé dosažené hodnoty indikátorů o externí vlivy</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 11/2011: Evaluace typu CIE probíhá v o.p. 1.1.( „</w:t>
            </w:r>
            <w:r w:rsidRPr="009C1795">
              <w:rPr>
                <w:rFonts w:eastAsia="Times New Roman" w:cstheme="minorHAnsi"/>
                <w:b/>
                <w:bCs/>
                <w:i/>
                <w:iCs/>
                <w:color w:val="000000"/>
                <w:sz w:val="16"/>
                <w:szCs w:val="16"/>
                <w:lang w:eastAsia="cs-CZ"/>
              </w:rPr>
              <w:t>Pilotní Counterfactual Impact Evaluation  OP LZZ, oblast podpory 1.1“</w:t>
            </w:r>
            <w:r w:rsidRPr="009C1795">
              <w:rPr>
                <w:rFonts w:eastAsia="Times New Roman" w:cstheme="minorHAnsi"/>
                <w:b/>
                <w:bCs/>
                <w:color w:val="000000"/>
                <w:sz w:val="16"/>
                <w:szCs w:val="16"/>
                <w:lang w:eastAsia="cs-CZ"/>
              </w:rPr>
              <w:t xml:space="preserve"> )  a je zvažována/plánována v dalších vhodných oblastech s velkým počtem obdobných grantových projektů (2.1. – APZ).</w:t>
            </w:r>
          </w:p>
        </w:tc>
      </w:tr>
      <w:tr w:rsidR="00FC265D" w:rsidRPr="00FC265D" w:rsidTr="00260593">
        <w:trPr>
          <w:trHeight w:val="1992"/>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E41128">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PO 2 – provést návazná hodnocení na základě indikátoru 43.07.02 „Efektivnost podpořených projektů“: Vyhodnotit zaměření rekvalifikačních kurzů na potřeby TP a souladu získaných kvalifikací s požadavky TP</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bookmarkStart w:id="2" w:name="RANGE!E36"/>
            <w:r w:rsidRPr="009C1795">
              <w:rPr>
                <w:rFonts w:eastAsia="Times New Roman" w:cstheme="minorHAnsi"/>
                <w:b/>
                <w:bCs/>
                <w:sz w:val="16"/>
                <w:szCs w:val="16"/>
                <w:lang w:eastAsia="cs-CZ"/>
              </w:rPr>
              <w:t> </w:t>
            </w:r>
            <w:bookmarkEnd w:id="2"/>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r>
      <w:tr w:rsidR="00FC265D" w:rsidRPr="00FC265D" w:rsidTr="00260593">
        <w:trPr>
          <w:trHeight w:val="41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bookmarkStart w:id="3" w:name="RANGE!E37"/>
            <w:r w:rsidRPr="009C1795">
              <w:rPr>
                <w:rFonts w:eastAsia="Times New Roman" w:cstheme="minorHAnsi"/>
                <w:sz w:val="16"/>
                <w:szCs w:val="16"/>
                <w:lang w:eastAsia="cs-CZ"/>
              </w:rPr>
              <w:t>1. Zjištění hodnoty indikátoru 43.07.02 v rámci ROV 2010</w:t>
            </w:r>
            <w:bookmarkEnd w:id="3"/>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splněno</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6/2011: Zjištěno v ROV 2010.</w:t>
            </w:r>
          </w:p>
        </w:tc>
      </w:tr>
      <w:tr w:rsidR="00FC265D" w:rsidRPr="00FC265D" w:rsidTr="00260593">
        <w:trPr>
          <w:trHeight w:val="699"/>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2. Zvážit zařazení do Evaluačního plánu, resp. do zadání zvažované evaluace APZ (CIE).</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rámci evaluace k indikátoru 15.37.00 Zlepšování kvality regulace zadat rovněž šetření odstranění nadbytečné regulace</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199"/>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1. Evaluace bude zajištěna nezávislou externí evaluací v rámci veřejné zakázky v gesci ZS. Opatření na odstraňování nadbytečné regulace jsou hodnocena na základě indikátoru 15.37.00 Zlepšování kvality regulace, který sleduje % snížení administrativní zátěže a vytvoření fungujícího systému řízení kvality regulace na úrovni ústřední státní správy</w:t>
            </w:r>
          </w:p>
        </w:tc>
        <w:tc>
          <w:tcPr>
            <w:tcW w:w="709" w:type="dxa"/>
            <w:shd w:val="clear" w:color="auto" w:fill="92D050"/>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 V  září 2011 byla vyhlášena a v měsíci říjnu</w:t>
            </w:r>
            <w:r w:rsidR="00280F5B">
              <w:rPr>
                <w:rFonts w:eastAsia="Times New Roman" w:cstheme="minorHAnsi"/>
                <w:color w:val="000000"/>
                <w:sz w:val="16"/>
                <w:szCs w:val="16"/>
                <w:lang w:eastAsia="cs-CZ"/>
              </w:rPr>
              <w:t xml:space="preserve"> </w:t>
            </w:r>
            <w:r w:rsidRPr="009C1795">
              <w:rPr>
                <w:rFonts w:eastAsia="Times New Roman" w:cstheme="minorHAnsi"/>
                <w:color w:val="000000"/>
                <w:sz w:val="16"/>
                <w:szCs w:val="16"/>
                <w:lang w:eastAsia="cs-CZ"/>
              </w:rPr>
              <w:t xml:space="preserve">  vyhodnocena zakázka „Evaluace monitorovacích indikátorů v oblasti podpory 4.1 OPLZZ“. Předmětem této zakázky je měření indikátorů celé oblasti podpory 4.1 OPLZZ, tj. zejména těch specifických MI (ne projektových MI) Zlepšení kvality regulace (kód 153100), Rozvoj hodnocení dopadu regulace (kód 153213), Zveřejňování formou dálkového přístupu (kód 153600), Míra administrativní zátěže (kód 153700), Zvýšení efektivnosti územní veřejné správy (kód 430701).</w:t>
            </w:r>
            <w:r w:rsidRPr="009C1795">
              <w:rPr>
                <w:rFonts w:eastAsia="Times New Roman" w:cstheme="minorHAnsi"/>
                <w:color w:val="1F497D"/>
                <w:sz w:val="16"/>
                <w:szCs w:val="16"/>
                <w:lang w:eastAsia="cs-CZ"/>
              </w:rPr>
              <w:t xml:space="preserve"> </w:t>
            </w:r>
          </w:p>
        </w:tc>
      </w:tr>
      <w:tr w:rsidR="00FC265D" w:rsidRPr="00FC265D" w:rsidTr="00260593">
        <w:trPr>
          <w:trHeight w:val="4088"/>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2. V návaznosti na výstupy 1. a na výstupy plánované evaluace indikátorů OP LZZ, která má být vyhlášena cca do konce 2011, bude zváženo další hodnocení  PO 4 dle námětů evaluátora: PO 4 – provést návazná hodnocení na základě indikátoru 43.07.02 „Efektivnost podpořených projektů“: Vyhodnotit dopady intervencí v rámci PO 4 se zaměřením na inovace (Ind. 07.57.00), kapacitu, účelnost a účinnost veřejné správy; Vyhodnotit dosahování cíle zmírnění regionálních rozdílů v poskytování veřejných služeb vč. vyhodnocení: zvýšení kvality řízení a managementu veřejné správy a veřejných služeb; snížení počtu administrativních úkonů a nákladů na chod veřejné správy a transparentnější a otevřenější veřejnou správu</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čeká se</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6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Provést analýzu a revizi pojmu „inovativnost“ v kontextu OP LZZ</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r>
      <w:tr w:rsidR="00FC265D" w:rsidRPr="00FC265D" w:rsidTr="00260593">
        <w:trPr>
          <w:trHeight w:val="164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1. Bude řešeno v rámci evaluace inovativnosti</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Realizace zakázky na evaluace implementace principu inovativnosti zahájena v 10/2011, závěrečná .zpráva bude v 9/2012. V rámci evaluace budou identifikovány skutečně inovativní produkty, rozčleněny do tematických oblastí a navržena metodologie hodnocení kvality inovací, což umožní v jednotlivých PO dle potřeby provést vyhodnocení jednotlivých produktů, či jejich skupin</w:t>
            </w:r>
          </w:p>
        </w:tc>
      </w:tr>
      <w:tr w:rsidR="00FC265D" w:rsidRPr="00FC265D" w:rsidTr="00260593">
        <w:trPr>
          <w:trHeight w:val="60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 xml:space="preserve">2. V návaznosti na 1. nastavit pravidla pro implementaci inovativnosti pro 2014+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čeká se</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5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Vyhodnotit na základě indikátoru 07.46.16 „Podíl úspěšně podpořených osob“ vliv podpory projektů na ženy a příslušníky romských komunit</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Hodnocení vlivu podpory projektů na ženy a příslušníky romských komunit je součástí probíhající „Longitudinální evaluace účinků podpory OP LZZ na cílové skupiny programu“ (4/2013 Závěrečná zpráva) i dalších evaluačních studií.</w:t>
            </w:r>
          </w:p>
        </w:tc>
      </w:tr>
      <w:tr w:rsidR="00FC265D" w:rsidRPr="00FC265D" w:rsidTr="00260593">
        <w:trPr>
          <w:trHeight w:val="396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5. Zaměstnanci - hrajeme fér a v týmu</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xml:space="preserve">Zvýšit mezi zaměstnanci povědomí o nutnosti transparentnosti přerozdělování veřejných financí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 2011: Je realizováno v rámci projektu „</w:t>
            </w:r>
            <w:r w:rsidRPr="009C1795">
              <w:rPr>
                <w:rFonts w:eastAsia="Times New Roman" w:cstheme="minorHAnsi"/>
                <w:b/>
                <w:bCs/>
                <w:i/>
                <w:iCs/>
                <w:color w:val="000000"/>
                <w:sz w:val="16"/>
                <w:szCs w:val="16"/>
                <w:lang w:eastAsia="cs-CZ"/>
              </w:rPr>
              <w:t>Zajištění vzdělávání zaměstnanců zapojených do práce IS OP LZZ v období 2010-2015</w:t>
            </w:r>
            <w:r w:rsidRPr="009C1795">
              <w:rPr>
                <w:rFonts w:eastAsia="Times New Roman" w:cstheme="minorHAnsi"/>
                <w:b/>
                <w:bCs/>
                <w:color w:val="000000"/>
                <w:sz w:val="16"/>
                <w:szCs w:val="16"/>
                <w:lang w:eastAsia="cs-CZ"/>
              </w:rPr>
              <w:t>“, kdy je realizována celá škála seminářů zaměřených přímo na administraci OP LZZ a na správu a nakládání s veřejnými financemi (např. Finanční řízení OP LZZ, Zadávání veřejných zakázek, Legislativní rámec OP LZZ, Nesrovnalosti, Finanční kontrola apod.). V rámci vzdělávání je zohledněn i cíl Vzdělávat pracovníky IS v oblasti správné a efektivní aplikace pravidel pro změny v projektech (zahrnuto do kurzu Základy projektového řízení v rámci OP LZZ).  Jsou publikovány výsledky spravování veřejných prostředků tak, aby byly srozumitelné všem skupinám a vešly tak do povědomí široké veřejnosti. Toto je zajišťováno zejména uveřejňováním zadávacích řízení, seznamu příjemců a ostatních dokumentů spojených s implementací OP LZZ (výzvy, příručky, výroční zprávy atd.) na webu www.esfcr.cz</w:t>
            </w:r>
          </w:p>
        </w:tc>
      </w:tr>
      <w:tr w:rsidR="00FC265D" w:rsidRPr="00FC265D" w:rsidTr="00260593">
        <w:trPr>
          <w:trHeight w:val="3972"/>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1. Interní fungování ŘO a ZS </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Zavést/rozpracovat systémy správy informací a znalostí a Pokračovat v dalším rozpracování a zpřehledňování dělby odpovědností za dílčí fáze implementace programu</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11/2011: Rozpracování a zpřehledňování dělby odpovědností za dílčí fáze a oblasti implementace programu je obsahem dokumentu VIZE A STRATEGIE odboru řízení z ESF MPSV, na jehož základě jsou vytvářeny dlouhodobé týmy pro řešení jednotlivých oblastí (indikátory, analytická činnost, hodnocení, publicita, rovné příležitosti apod.).  Je zaveden mentoring, který je funkční a v řadě případů se osvědčil. Je zaveden online nástroj SharePoint pro předávání/přebírání konkrétních agend a úkolů Je připraven společný klub pro implementační strukturu v ESF Fóru pro sdílení řešení metodických problémů a otázek. Systém správy znalostí při přípravě výzev např. obsahuje tématické zprávy z fokusních skupin konaných při přípravě výzev či další analytické a evaluační materiály, které sloužili jako podklady pro učiněná rozhodnutí. Všechny tyto materiály jsou volně dostupné na ESF Fóru či na www.esfcr.cz . </w:t>
            </w:r>
          </w:p>
        </w:tc>
      </w:tr>
      <w:tr w:rsidR="00FC265D" w:rsidRPr="00FC265D" w:rsidTr="00260593">
        <w:trPr>
          <w:trHeight w:val="6228"/>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Zkvalitňovat a zprofesionalizovat komunikaci se žadateli</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Dochází k zapojování Externích administrátorů, realizaci seminářů pro žadatele a příjemce dle jejich potřeb, osobním konzultacím ze strany EA, zveřejňování informačních materiálů. Téma „Klientského přístupu“ je zohledněno jako jedna z hlavních vizí ŘO v dokumentu VIZE A STRATEGIE odboru řízení pomoci z ESF MPSV. Byl vytvořen průřezový tým v rámci ŘO „Vydefinovat front office a back office, rozdělení lidí, vyjasnění kompetencí, nastavení spolupráce“. Nastavení systému a realizace pravidelného průzkumu zpětné vazby od klientů je součástí ROV 2011. Příjemci se rovněž účastní fokusních skupin s cílem zjistit jejich spokojenost s prací EA apod. Na ZS MV je komunikace se žadateli uchopena systémově v rámci realizace Komunikačního plánu, velmi úspěšná je série specifických, na míru šitých seminářů pro vybrané cílové skupiny příjemců. ZS – MPSV Odbor 82 (821, 824) – konzultace jsou poskytovány žadatelům ve vazbě na dosavadní kapacity 82. Zdůrazňována důležitost účasti na seminářích pro žadatele a příjemce, zveřejňovány prezentace, odpovědi na dotazy . 813 Na základě uzavřené smlouvy s externím administrátorem probíhají i osobní konzultace v Praze a regionech (Brno, Ostrava) vždy jednou měsíčně. Obdobně v PO 5.  ZS MPO zveřejnilo konzultační hodiny s kontakty na jednotlivé projektové manažery; standardně jsou poskytovány konzultace telefonicky či emailem; po předchozí domluvě je možná i osobní konzultace.</w:t>
            </w:r>
          </w:p>
        </w:tc>
      </w:tr>
      <w:tr w:rsidR="00FC265D" w:rsidRPr="00FC265D" w:rsidTr="00260593">
        <w:trPr>
          <w:trHeight w:val="2117"/>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3. Okolí - partneři, nadřízené subjekty, evropské struktury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Pravidelně apelovat na MMR za účelem zabezpečení správného fungování MSC7+, aby dobře sloužil potřebám monitorování (a zobrazoval skutečnost)</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11/2011: Pravidelně důsledně připomínkujeme metodické dokumenty a další materiály MMR a jednáme s MMR o potřebných zlepšení MSC7+. Systém MSC2007 je v zásadě funkční, ne vždy však optimálně nastavený a uživatelsky příjemný (např. data je nutno odečítat z více sestav a dále číselně zpracovávat do vhodné podoby, některé údaje, např. ve členění za jednotlivé výzvy, sestavy neposkytují a získáváme je z pravidelných databázových výpisů zasílaných z MMR). </w:t>
            </w:r>
          </w:p>
        </w:tc>
      </w:tr>
      <w:tr w:rsidR="00FC265D" w:rsidRPr="00FC265D" w:rsidTr="00260593">
        <w:trPr>
          <w:trHeight w:val="1139"/>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3. Okolí - partneři, nadřízené subjekty, evropské struktury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Analyzovat možnosti zlepšení Monitu a Benefitu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Informační systémy jsou upravovány a vylepšovány každý měsíc. Komplexní analýza je zajištěna v rámci externí zakázky na evaluaci IT infrastruktury pro zajištění monitorovacího systému</w:t>
            </w:r>
          </w:p>
        </w:tc>
      </w:tr>
      <w:tr w:rsidR="00FC265D" w:rsidRPr="00FC265D" w:rsidTr="00260593">
        <w:trPr>
          <w:trHeight w:val="1369"/>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3. Okolí - partneři, nadřízené subjekty, evropské struktury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Zjistit kontaktní osoby MMR-NOK pro řešení problémů s monitorovacími systémy</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3/2011: Seznam kompetentních osob na MMR-NOK již ŘO má. Splnění cíle by mělo dílčím způsobem přispět ke zlepšení komunikace s MMR-NOK, resp. k účinnějšímu řešení problémů s monitorovacími systémy, nicméně určitě zde není hlavním faktorem (viz výše cíl: „Pravidelně apelovat na MMR …“)</w:t>
            </w:r>
          </w:p>
        </w:tc>
      </w:tr>
      <w:tr w:rsidR="00FC265D" w:rsidRPr="00FC265D" w:rsidTr="00260593">
        <w:trPr>
          <w:trHeight w:val="282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Nevyžadovat od příjemce, aby v monitorovacích zprávách uváděl u indikátoru hodnotu „0“ v případě, že z důvodu technického řešení monitorovacího systému si žadatel musí zvolit i indikátor, který neplánuje</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Splnění cíle usnadňuje práci příjemcům i ŘO/ZS. U nových výzev OP LZZ je u MI nastaveno „povinně volitelný“, tj. žadatel si jej může, ale nemusí vybrat, tzn. nemusí vyplňovat nulu. Příjemci v MZ musí vyplnit všechny MI. Pokud jsou pro ně nerelevantní, automaticky se vyplní nula a tyto MI nesledují a nejsou předmětem kontroly. Ale jsou MI v MZ pro příjemce a projekt relevantní, ale zrovna v konkrétním sledovaném období některý z MI nesledovali, takže vyplní nulu a do pole Popis napíší, proč daný MI nevykazují, ale budou vykazovat v dalším. MI příjemce zadává kumulativně. V MZ a v Monit7+ byly DB odstraněny nulové MI.</w:t>
            </w:r>
          </w:p>
        </w:tc>
      </w:tr>
      <w:tr w:rsidR="00FC265D" w:rsidRPr="00FC265D" w:rsidTr="00260593">
        <w:trPr>
          <w:trHeight w:val="1698"/>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Při přípravě programu a jeho indikátorů  zpracovat logické rámce, které budou dekomponovat vnitřní prostředí programu a definovat vzájemné vazby a vlivy</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688"/>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1. 812 dodá potřebné vstupy k indikátorům a z evaluací</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 Návrhy logických rámců (teorie změny) pro nový OP jsou zpracovávány v rámci Strategické evaluace I. Výstup: 1/2012.</w:t>
            </w:r>
          </w:p>
        </w:tc>
      </w:tr>
      <w:tr w:rsidR="00FC265D" w:rsidRPr="00FC265D" w:rsidTr="00260593">
        <w:trPr>
          <w:trHeight w:val="184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2. (1-6/2013 / V návaznosti na 1) Zvážit zakomponování logických rámců do nového OP (pro úrovně OP a PO) a prováděcího dokumentu (pro úroveň oblastí podpory) pro zajištění jasné provázanosti aktivit, cílů a dopadů OP. Lze využít metodických nástrojů, kterými disponuje COP Results Based Management (např. ESF Flandry).</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čeká se</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V příručkách a metodikách zajistit rovnováhu mezi detailností popisu a prostorem pro specifika podmínek projektů</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Je průběžně analyzováno, došlé podněty jsou průběžně zapracovávány v rámci pravidelných revizí Operačního manuálu pro OP LZZ a jeho příloh</w:t>
            </w:r>
          </w:p>
        </w:tc>
      </w:tr>
      <w:tr w:rsidR="00FC265D" w:rsidRPr="00FC265D" w:rsidTr="00260593">
        <w:trPr>
          <w:trHeight w:val="21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Dále zpřehledňovat systém příruček pro žadatele a příjemce a zajistit, aby informace týkající se určité tématiky byly uvedeny na jednom místě (v jednom dokumentu / jedné kapitole dokumentu)</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Zpřehlednění příruček a odstranění duplicitních informací je průběžně analyzováno, došlé podněty jsou průběžně zapracovávány v rámci pravidelných revizí Operačního manuálu pro OP LZZ a jeho příloh</w:t>
            </w:r>
          </w:p>
        </w:tc>
      </w:tr>
      <w:tr w:rsidR="00FC265D" w:rsidRPr="00FC265D" w:rsidTr="00260593">
        <w:trPr>
          <w:trHeight w:val="21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Sjednotit názvosloví používaných termínů napříč SF EU za účelem usnadnění práce jak žadatelům a příjemcům, tak subjektům implementační struktury, kteří pracují s OP financovanými z různých SF</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11/2011: ŘO při společných jednání s MMR-NOK průběžně upozorňuje ve vhodným případech na potřebu sjednocení terminologie napříč SF EU. </w:t>
            </w:r>
          </w:p>
        </w:tc>
      </w:tr>
      <w:tr w:rsidR="00FC265D" w:rsidRPr="00FC265D" w:rsidTr="00260593">
        <w:trPr>
          <w:trHeight w:val="12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2. Projekty a jejich výsledky </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Evaluace 2009</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Prověřit opodstatnění opatření, kdy v rámci přímé podpory lze zažádat o mzdové příspěvky pro školící se zaměstnance</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r>
      <w:tr w:rsidR="00FC265D" w:rsidRPr="00FC265D" w:rsidTr="00260593">
        <w:trPr>
          <w:trHeight w:val="178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1. Budou vyhodnoceny výsledky a dopady projektu „</w:t>
            </w:r>
            <w:r w:rsidRPr="009C1795">
              <w:rPr>
                <w:rFonts w:eastAsia="Times New Roman" w:cstheme="minorHAnsi"/>
                <w:i/>
                <w:iCs/>
                <w:sz w:val="16"/>
                <w:szCs w:val="16"/>
                <w:lang w:eastAsia="cs-CZ"/>
              </w:rPr>
              <w:t>Vzdělávejte se</w:t>
            </w:r>
            <w:r w:rsidRPr="009C1795">
              <w:rPr>
                <w:rFonts w:eastAsia="Times New Roman" w:cstheme="minorHAnsi"/>
                <w:sz w:val="16"/>
                <w:szCs w:val="16"/>
                <w:lang w:eastAsia="cs-CZ"/>
              </w:rPr>
              <w:t xml:space="preserve">“ v rámci externí zakázky „Evaluace projektu Vzdělávejte se!“ zpracovávané společností Navreme Boheme, s.r.o.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splněno</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Provedená evaluace hodnotí mzdové příspěvky pozitivně: „Projekt VS! představuje vzhledem k možnosti vyplácení náhrady mzdy pro vzdělávající se zaměstnance významný nástroj pro udržení pracovních pozic, které by jinak mohly být omezeny nebo zrušeny a v případě jejich zrušení zvyšuje zaměstnatelnost takto propuštěných osob.“ (NavremeBoheme, Evaluační studie 2 - Evaluace projektu „Vzdělávejte se!“ )2011)</w:t>
            </w:r>
          </w:p>
        </w:tc>
      </w:tr>
      <w:tr w:rsidR="00FC265D" w:rsidRPr="00FC265D" w:rsidTr="00260593">
        <w:trPr>
          <w:trHeight w:val="70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 xml:space="preserve">2. Bude řešeno také v rámci externí zakázky „Pilotní Counterfactual Impact Evaluation  OP LZZ, oblast podpory 1.1“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Probíhá.</w:t>
            </w:r>
          </w:p>
        </w:tc>
      </w:tr>
      <w:tr w:rsidR="00FC265D" w:rsidRPr="00FC265D" w:rsidTr="00260593">
        <w:trPr>
          <w:trHeight w:val="69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3. 2013- Analýza a příp. zapracování výstupů z evaluace do Manuálu nového OP</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čeká se</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4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2. Projekty a jejich výsledky </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 Zlepšit dosavadní neuspokojivý vývoj při naplňování hodnot dopadových indikátorů OPLZZ v rámci tematiky rovných příležitostí (zejména pak nízké míry zaměstnanosti žen, dlouhodobé nezaměstnanosti skupin 15-24 let a 50+)</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42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Řešení dlouhodobého úkolu VŘ8 2/2011 „Fungující horizont. téma RP"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Již hotovo: 1) zpracování zadání a najmutí externích expertů/-ek 2) identifikace typových aktivit v rámci os atd.</w:t>
            </w:r>
            <w:r w:rsidRPr="009C1795">
              <w:rPr>
                <w:rFonts w:eastAsia="Times New Roman" w:cstheme="minorHAnsi"/>
                <w:color w:val="000000"/>
                <w:sz w:val="16"/>
                <w:szCs w:val="16"/>
                <w:lang w:eastAsia="cs-CZ"/>
              </w:rPr>
              <w:br/>
              <w:t>Aktuálně se řeší: navržení sady aktivit na RP, podložených teorií změny, měřitelnými indikátory</w:t>
            </w:r>
            <w:r w:rsidRPr="009C1795">
              <w:rPr>
                <w:rFonts w:eastAsia="Times New Roman" w:cstheme="minorHAnsi"/>
                <w:color w:val="000000"/>
                <w:sz w:val="16"/>
                <w:szCs w:val="16"/>
                <w:lang w:eastAsia="cs-CZ"/>
              </w:rPr>
              <w:br/>
              <w:t>V Plánu:  aktualizace Příručky na RP, práce s hodnotiteli, Kurz na RP atd.</w:t>
            </w:r>
          </w:p>
        </w:tc>
      </w:tr>
      <w:tr w:rsidR="00FC265D" w:rsidRPr="00FC265D" w:rsidTr="00260593">
        <w:trPr>
          <w:trHeight w:val="18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1. Interní fungování ŘO a ZS </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Zavést ustálený a jednotný systém pro řešení obtížných situací a dotazů prostřednictvím metodické poradní skupiny ŘO a ZS, která bude obtížné dotazy a situace řešit a jejich řešení zveřejňovat</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588"/>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 Rozšíření stávající metodické skupiny o ZS, důraz na pravidelnost, distribuci úkolů a dohled nad plněním.</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 Probíhá.</w:t>
            </w:r>
          </w:p>
        </w:tc>
      </w:tr>
      <w:tr w:rsidR="00FC265D" w:rsidRPr="00FC265D" w:rsidTr="00260593">
        <w:trPr>
          <w:trHeight w:val="240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064330">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Při řešení zohlednit/zvážit také toto doporučení: Zavést veřejně dostupnou databázi již učiněných rozhodnutí. Tato databáze bude sloužit jako „živá příručka“ pro konečné příjemce i zprostředkující subjekty, jak v daných situacích postupovat. Databáze bude mít precedentní charakter, tj. pokud již bylo v databázi zveřejněno řešení nějaké situace, bude toto řešení závazné pro danou situaci i v</w:t>
            </w:r>
            <w:r w:rsidR="00064330">
              <w:rPr>
                <w:rFonts w:eastAsia="Times New Roman" w:cstheme="minorHAnsi"/>
                <w:color w:val="000000"/>
                <w:sz w:val="16"/>
                <w:szCs w:val="16"/>
                <w:lang w:eastAsia="cs-CZ"/>
              </w:rPr>
              <w:t> </w:t>
            </w:r>
            <w:r w:rsidRPr="009C1795">
              <w:rPr>
                <w:rFonts w:eastAsia="Times New Roman" w:cstheme="minorHAnsi"/>
                <w:color w:val="000000"/>
                <w:sz w:val="16"/>
                <w:szCs w:val="16"/>
                <w:lang w:eastAsia="cs-CZ"/>
              </w:rPr>
              <w:t>budoucnu</w:t>
            </w:r>
            <w:r w:rsidR="00064330">
              <w:rPr>
                <w:rFonts w:eastAsia="Times New Roman" w:cstheme="minorHAnsi"/>
                <w:color w:val="000000"/>
                <w:sz w:val="16"/>
                <w:szCs w:val="16"/>
                <w:lang w:eastAsia="cs-CZ"/>
              </w:rPr>
              <w:t>.</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 Probíhá. Částečně již řešeno na ESF Fóru.</w:t>
            </w:r>
          </w:p>
        </w:tc>
      </w:tr>
      <w:tr w:rsidR="00FC265D" w:rsidRPr="00FC265D" w:rsidTr="00260593">
        <w:trPr>
          <w:trHeight w:val="12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Analyzovat administrativní náročnost realizace projektů a programu a příp. zavést vhodná zjednodušení</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05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Analýza zjednodušení pro nové období v rámci opce EA v 1.1 a předání výstupů metodikům. Při analýze EA a využití jejích výstupů zvážit/zohlednit také  náměty z ROV2010  (dále viz "Komentář")</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 Probíhá.</w:t>
            </w:r>
          </w:p>
        </w:tc>
      </w:tr>
      <w:tr w:rsidR="00FC265D" w:rsidRPr="00FC265D" w:rsidTr="00260593">
        <w:trPr>
          <w:trHeight w:val="12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Dále pokračovat v posilování důrazu na regionální diferenciaci podpory z OP LZZ či následného programu v 2014+</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60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V návaznosti na 1. nastavit systém regionálních analýz pro 2014+, včetně potřeby dostat se až na úroveň ORP, ne jen NUTS 2. Analyzovat také možnosti pro zavedení průběžného monitoringu absorpční kapacity za účelem identifikace regionů vykazujících nízkou absorpční kapacitu (v návaznosti na doporučení: Připravit a realizovat případná opatření na zvýšení absorpční kapacity v regionech, které by začaly vykazovat zaostávající míru čerpání alokovaných prostředků.)  (Dále viz Komentář)</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8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 Při školení hodnotitelů více zdůraznit a následně vyžadovat, aby posudky obsahovaly konstruktivní zpětnou vazbu žadatelům, na základě které budou schopni zlepšit kvalitu své žádosti.</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82"/>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Ověřit stav, příp. zajistit zohlednění při práci s hodnotiteli v těch oblastech podpory, kde to dosud není zcela běžné (např. ve 3.4 a 5.1 aj. se toto běžně dělá).</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Analyzovat možné dopady zavedení povinného spolufinancování projektů a nastavit systém pro 2014+.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464"/>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 Analýzu způsobu, výše, typu příjemců a oblastí podpory a možných (pozitivních, negativních, vedlejších) účinků snížení intenzity podpory v rámci OP 2014+ (nejen v 1.1.) bude realizována v rámci Evaluačního plánu pro rok 2012 (Dále viz "Komentář")</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564"/>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 2. Využití výsledků 1. při nastavení 2014+ (zapracování do Manuálu ve 2013).</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čeká se</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4363"/>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Zařadit v příštím programovém období do sledování v MONIT7+ rovněž i naplňování cíle prioritní osy. Sledování by mělo být provedeno u jednotlivých projektů prostřednictvím sledování prováděných okruhů činností. Monitorovací systém by měl mít již v rámci projektové žádosti zakomponovanou možnost pro zaškrtnutí typu podporované činnosti. Tím bude procesně zajištěno nastavení monitoringu z hlediska sledování a strukturace podaných a realizovaných projektů dle jejich specifického zaměření.</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4409"/>
        </w:trPr>
        <w:tc>
          <w:tcPr>
            <w:tcW w:w="993"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ROV2010</w:t>
            </w:r>
          </w:p>
        </w:tc>
        <w:tc>
          <w:tcPr>
            <w:tcW w:w="198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Zařadit v příštím programovém období do sledování v MONIT7+ rovněž i naplňování cíle prioritní osy. Sledování by mělo být provedeno u jednotlivých projektů prostřednictvím sledování prováděných okruhů činností. Monitorovací systém by měl mít již v rámci projektové žádosti zakomponovanou možnost pro zaškrtnutí typu podporované činnosti. Tím bude procesně zajištěno nastavení monitoringu z hlediska sledování a strukturace podaných a realizovaných projektů dle jejich specifického zaměření.</w:t>
            </w: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návaznosti na  výstupy dlouhodobého úkolu 815 „Fungující horiz. téma – RP“ (výčet typových projektů/aktivit) analyzovat v rámci přípravy MS pro 2014+ (nutno odlišit inovativní projekty, od kterých se očekává, že přijdou s  novými aktivitami).</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106"/>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Pro 2014+ zavést evidenci podpořených osob ( povinnost pro příjemce elektronicky dodávat do monitorovacího systému základní informace o cílové skupině, a to v minimálním rozsahu Jméno, Příjmení, Datum narození, Bydliště, kontaktní email/telefon)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421"/>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Nastavení MS pro sběr dat o cílových skupinách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38"/>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propojení MS s dalšími databázemi: IS služeb zaměstnanosti, ČSSZ , aby bylo možné sledovat údaje o podpořených osobách z ÚP a ČSSZ</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Probíhají jednání mezi sekcí 8 a dotčenými subjekty.</w:t>
            </w:r>
          </w:p>
        </w:tc>
      </w:tr>
      <w:tr w:rsidR="00FC265D" w:rsidRPr="00FC265D" w:rsidTr="00260593">
        <w:trPr>
          <w:trHeight w:val="2117"/>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3. Nastavit (Zvážit nastavení) v příštím monitorovacím období systém vykazování monitorovacích indikátorů tak, aby byla postižitelná i kvalitativní stránka podpory, tj. aby z monitorovacího systému bylo zjistitelné, jaký druh podpory cílová skupina získala, jako např. obecné a/nebo odborné vzdělávání v rozsahu x hodin, rekvalifikace, poradenství, apod.</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5802"/>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Na úrovni projektů zavést indikátory výstupů a výsledků, které odrážejí dosažené efekty podpory (např. získání kvalifikovanějšího místa, udržení pracovního místa, obsazení místa s flexibilním režimem). V souvislosti s realizací tohoto doporučení bude třeba zavést tyto monitorovací indikátory: 07.01.xx (dosud není zaveden) - Počet prac. míst obsazených osobami, které byly převedeny  v důsledku podpořeného proškolení trvale na místo s vyššími kvalifikačními požadavky (pro absolventy kurzů nad 40 hodin výuky); 07.01.xx (dosud není zaveden) – Počet ohrožených prac. míst, které byly díky realizaci projektu prokazatelně zachovány po dobu alespoň šesti měsíců od ukončení příslušného kurzu.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71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Analyzovat doporučení v rámci nastavení soustavy indikátorů pro 2014+.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537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Rozšířit požadavky na udržitelnost výstupů a výsledků projektů. Navrhujeme: 07.57.00 Počet nově vytvořených/ inovovaných produktů; doba udržitelnosti: jeden kalendářní rok od skončení projektu; po tuto dobu musí příjemce prokazatelně používat minimálně 80 % vytvořených/inovovaných produktů. 07.46.13 Počet úspěšných absolventů kurzů celkem; doba udržitelnosti: jeden kalendářní rok od skončení projektu; po tuto dobu musí minimálně 80 % úspěšných absolventů aktivně spolupracovat s příjemcem (zaměstnanecký poměr na úplný nebo částečný úvazek nebo externí spolupráce na základě smlouvy).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438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Analyzovat doporučení v rámci nastavení soustavy indikátorů pro 2014+ . V rámci analýzy zohlednit problematiku ex-post prokazování udržitelnosti u 07.57.00 a u 07.46.13 zvážit i alternativní řešení, např. sledování, zda absolventi kurzů v určitém časovém horizontu neskončí na úřadu práce, neboť změna zaměstnavatele nemůže být vnímána jako neefektivní vynaložení prostředků. MPO - To by znamenalo, že by si příjemce musel úspěšné absolventy „zavázat“, aby mu neutekli – není to potenciálně v rozporu se zákoníkem práce?  (viz také doporučení  k evidenci cílových skupin - Sledování ex-post dopadů může být v novém období zajištěno spíše jiným způsobem, např. sledováním informací o podpořených cílových skupinách v databázích ÚP a ĆSSZ)</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5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Zohlednit doporučení k indikátorům z VPŘED verze 1 (jaro 2011); resp. analyzovat vhodnost jejich aplikace v rámci nastavení soustavy indikátorů pro 2014+</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754"/>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 V Metodice monitorovacích indikátorů lépe graficky znázornit systém monitorování nadřízených (závazných) a podřízených indikátorů</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3941"/>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Nadále zpřesňovat definice monitorovacích indikátorů ve smyslu srozumitelnosti a jednoznačnost a přitom ověřovat, že nebude docházet k podstatným změnám projektů: o Z hlediska dopadů a rizik bude zvážena úprava definice indikátoru 43.05.00 Počet vytvořených partnerství v MMI; o Z hlediska dopadů a rizik bude zvážena úprava definice indikátoru 07.45.00 Počet podpořených organizací – celkem. Rozšířit definici ve smyslu začlenění podniků, které v rámci projektu dostanou podporu, přestože nejsou předkladatelem či partnerem projektu. Tyto organizace, přestože získaly podporu, nejsou do indikátoru započítány, čímž může být nepatrně zmenšena jeho vypovídací schopnost.</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978"/>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 3. Zavést jasný metodický postup pro aplikaci monitoringu indikátorů na úrovni řízení programu, tj. stanovit jak, kdy, proč  a kdo by měl s indikátory pracovat.</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694"/>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4. Při nastavování indikátorů spolupracovat s vybranými hodnotiteli OP LZZ</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4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5. Pro období 2014+ upravit definici indikátoru 07.45.00 Počet podpořených organizací, bude-li používán v příštím obdob</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40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6. Upravit definici indikátoru 07.60.10 Zlepšení podmínek pro slaďování rodinného a pracovního života tak, aby bylo možné sledovat počet organizací, které uchovaly flexibilní formy organizace práce po ukončení podpory a PO 1 –  Zařadit k PO 1 indikátor 07.60.10 „Zlepšení podmínek pro slaďování rodinného a pracovního života“ pro monitoring organizací, které zavedly pružné formy organizace práce</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852"/>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7. K oblasti 2.1 zařadit indikátor 07.57.00 „Počet nově vytvořených/inovovaných produktů“ ke sledování počtu nově vytvořených produktů založených na odborné konzultaci a rekvalifikaci osob ohrožených na TP. Ve spolupráci s odd. 814 a v návaznosti na výstupy evaluace inovativnosti.</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400"/>
        </w:trPr>
        <w:tc>
          <w:tcPr>
            <w:tcW w:w="993"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příslušné výzvě definovat minimální požadavky na vlastnosti požadovaného systému řízení lidských zdrojů. V současné době se totiž nepožaduje, aby systém ŘLZ obsahoval individuální plány kvalifikačního, resp. profesního rozvoje jednotlivých zaměstnanců.</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3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Při přípravě relevantních výzev ve 2014+ dle potřeby analyzovat a nastavit vhodnou definici systému ŘLZ pro projekty, které jej budou zavádět.</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7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případě středních a větších podniků podporovat pouze rozvoj znalostí a dovedností u pracovníků nižší a střední úrovně, nikoliv top a vyššího managementu (jejich vzdělávání ponechat na zaměstnavateli). V případě mikro a malých podniků toto rozdělení není žádoucí.</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383"/>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Dle možností bude v další výzvě zvážena možnost zaměření na nižší management, administrativní pracovníky a řadové zaměstnance. Cílová skupina může být definována specificky či obecně přímo v textu výzvy.</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5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Při rozhodování o poskytování podpory uplatňovat ukazatel „životaschopnost podniku“, jako tomu bylo např. v projektech řízených CzechInvestem.</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453"/>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Na OPLZZ sice nelze plně aplikovat pravidla CzechInvestu, ale i na základě těchto pravidel budou analyzovány možnosti většího zdůraznění nutnosti „životaschopnosti“ u podniků, které jsou podporovány z OP LZZ / budou podporovány v OP 2014+.</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259"/>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ŘO musí věnovat v roce 2011 oblasti podpory 3.3 zvýšenou pozornost a v případě nízkého tempa věcného naplnění příslušných indikátorů (tvorba nových pracovních míst pro znevýhodněné skupiny) zvážit realokaci do ostatních oblastí podpory v rámci PO3.</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Vyčerpání prostředků ve 3.3 je již očekáváno. Problém nízkého plnění indikátorů je řešen v rámci revize OP.</w:t>
            </w:r>
          </w:p>
        </w:tc>
      </w:tr>
      <w:tr w:rsidR="00FC265D" w:rsidRPr="00FC265D" w:rsidTr="00260593">
        <w:trPr>
          <w:trHeight w:val="986"/>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064330">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Posílit potenciál oblasti rovných příležitostí (RP) prostřednictvím důrazu na princip partnerství v rámci oblasti podpory 3.4 OPLZZ: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V aktuální výzvě č. 76 je partnerství výrazně zvýhodněno. Navržené aktivity se ve výzvách podporují, nová výzva jasně směřuje k větší podpoře zaměstnavatelů.</w:t>
            </w:r>
          </w:p>
        </w:tc>
      </w:tr>
      <w:tr w:rsidR="00FC265D" w:rsidRPr="00FC265D" w:rsidTr="00260593">
        <w:trPr>
          <w:trHeight w:val="4387"/>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Posílit reálné změny v zaměstnávání a podnikání mužů a žen, kteří jsou jinak znevýhodněni v dalším pracovním uplatnění z důvodů péče o malé děti: V rámci dalších výzev OP 3.4 posílit příjem projektů zaměřených na konkretizaci RP v praxi (např. služby péče o děti, podpora začínajících podnikatelek apod.). V dalších výzvách OP 3.4 preferovat zejména projekty zaměřené na šíření dobré praxe z realizovaných projektů. K tomu je potřeba upravit znění příslušných výzev a takové projekty bodově zvýhodnit.</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00B0F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splněno</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11/2011: Již podporováno v nové výzvě č. 76.</w:t>
            </w:r>
          </w:p>
        </w:tc>
      </w:tr>
      <w:tr w:rsidR="00FC265D" w:rsidRPr="00FC265D" w:rsidTr="00260593">
        <w:trPr>
          <w:trHeight w:val="1983"/>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 cílových skupin dosud převažovaly ženy na rodičovské dovolené, resp. ženy s malými dětmi, méně často zájemkyně a uchazečky o zaměstnání. Příští výzva by měla zdůraznit (aniž by vylučovala ostatní skupiny) také pomoc pro ženy 50+</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12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další výzvě na rovné příležitosti explicitně zmínit podporu ženám 50+ jako jednu z podporovaných aktivit, případně navázání na Evropský rok aktivního stárnutí</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3248"/>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Projekty zaměřené na osvětu a propagaci by měly být více koordinovány ve vazbě na zástupce cílových skupin. Další výzvy OP 3.4 a tematicky obdobné OP v dalším programovém období by měly jasně preferovat osvětové a propagační projekty, které však budou úzce cíleny na zástupce cílových skupin (nikoliv podpora všeobecného povědomí o problematice rovných příležitostí).</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12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 Nejprve vyhodnotit stávající opatření ve výzvě č. 76 (projekty zde mají povinnost o problematice v RP informovat v souvislosti s vlastními výstupy)</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Probíhá.</w:t>
            </w:r>
          </w:p>
        </w:tc>
      </w:tr>
      <w:tr w:rsidR="00FC265D" w:rsidRPr="00FC265D" w:rsidTr="00260593">
        <w:trPr>
          <w:trHeight w:val="112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Následně zvážit úpravu tohoto požadavku v následující výzvě, například směrem k zdůraznění nutnosti zacílit osvětovou činnost projektu na cílovou skupinu</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čeká se</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685"/>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ROV2010</w:t>
            </w:r>
          </w:p>
        </w:tc>
        <w:tc>
          <w:tcPr>
            <w:tcW w:w="1984" w:type="dxa"/>
            <w:shd w:val="clear" w:color="000000" w:fill="D9D9D9"/>
            <w:hideMark/>
          </w:tcPr>
          <w:p w:rsidR="009C1795" w:rsidRPr="009C1795" w:rsidRDefault="009C1795" w:rsidP="00064330">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V PO5 se objevuje relativně často realizace aktivit směřující na mainstreaming výsledků projektů, včetně ovlivnění legislativního procesu. To může pomoci vysokým dopadům této PO. Proto je vhodné využít systémových analýz realizovaných v rámci projektů PO5 OPLZZ k diskusi přípravy pro nové programové období 2014+.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709"/>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 V návaznosti na vytvoření „týmu analytik“ předat relevantní analýzy k využití při přípravě výzev OP LZZ</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692"/>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Evaluace inovativnosti: identifikace a zhodnocení dalších využitelných studií vytvořených projekty OP LZZ</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 Evaluace probíhá.</w:t>
            </w:r>
          </w:p>
        </w:tc>
      </w:tr>
      <w:tr w:rsidR="00FC265D" w:rsidRPr="00FC265D" w:rsidTr="00260593">
        <w:trPr>
          <w:trHeight w:val="98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3. Metodické vedení příjemců k systematické práci s vytvořenými výstupy a jejich (potenciálními) uživateli</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11/2011: Probíhá.</w:t>
            </w:r>
          </w:p>
        </w:tc>
      </w:tr>
      <w:tr w:rsidR="00FC265D" w:rsidRPr="00FC265D" w:rsidTr="00260593">
        <w:trPr>
          <w:trHeight w:val="24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Zajistit, aby smlouvy o partnerství, uzavírané mezi projektovými partnery, v maximální míře ošetřovaly všechny aspekty vztahů (práv a povinností) při realizaci projektu tak, aby co nejvíce umožňovaly hladkou realizaci partnerských projektů.</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r>
      <w:tr w:rsidR="00FC265D" w:rsidRPr="00FC265D" w:rsidTr="00260593">
        <w:trPr>
          <w:trHeight w:val="168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Vyhodnocení poskytovaných informací a materiálů (např. vzorová smlouva) týkajících se smluv o partnerství a zpracování návrhu na jejich aktualizaci a doplnění včetně způsobu jejich komunikace vůči relevantním subjektům.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554"/>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Zajistit dostatek informací k náležitostem a postupu při uzavírání smluv o partnerství prostřednictvím www.ESFCR.cz včetně aktualizace, případně doplnění vzorové smlouvy o partnerství na http://www.esfcr.cz/file/7429/ .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82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3. Zajistit dostatek informací o významu, náležitostech a postupu při uzavírání smluv o partnerství v rámci projektů včetně možnosti využití právního poradenství jako uznatelného nákladu projektu na obecných seminářích pro žadatele a příjemce, případně v rámci specifických vzdělávacích akcí (viz doporučení 3.1. „Zvýšit kapacity příjemců a partnerů pro realizaci efektivních partnerských projektů…“) a případně s využitím klubu ESF Fora „Partnerství v rámci ESF“.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7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Pro projektovou úroveň upřesnit pojmy partnerství, partner a dodavatel v Prováděcím dokumentu OP LZZ (str. 12), v Příručce pro žadatele (str. 31), v Příručce pro příjemce (str. 42), v Příručce pro hodnotitele a v příslušných výzvách.</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39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Upřesnění pojmů partnerství, partner a dodavatel v PD, Příručce pro žadatele, v Příručce pro příjemce a v Příručce pro hodnotitele a definování v jaké části výzvy a jak mají být specifikovány požadavky na partnerství dle závěrů z evaluace partnerství v OP LZZ (zejm. kap. 2 a 5). V rámci toho budou zohledněna specifika partnerů bez finančního příspěvku (např. ÚP) a specifika partnerství, kde je poskytována veřejná podpora.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42"/>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V nově vyhlašovaných výzvách dle potřeb jednotlivých oblastí podpory specifikovat požadavky na partnerství a na přijatelnost partnerů.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818"/>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Zvýšit kapacity příjemců a partnerů pro realizaci efektivních partnerských projektů (ať už projektů realizovaných v partnerství několika subjektů, nebo projektů, jejichž výsledkem je vznik partnerství), zejména v PO 2, 3, 4 a 5.</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71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Za jednotlivé PO bude vyhodnocena poptávka po vzdělávání mezi žadateli a příjemci.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4108"/>
        </w:trPr>
        <w:tc>
          <w:tcPr>
            <w:tcW w:w="993"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sz w:val="16"/>
                <w:szCs w:val="16"/>
                <w:lang w:eastAsia="cs-CZ"/>
              </w:rPr>
            </w:pPr>
            <w:r w:rsidRPr="009C1795">
              <w:rPr>
                <w:rFonts w:eastAsia="Times New Roman" w:cstheme="minorHAnsi"/>
                <w:sz w:val="16"/>
                <w:szCs w:val="16"/>
                <w:lang w:eastAsia="cs-CZ"/>
              </w:rPr>
              <w:t>EvalPartnerství 2010</w:t>
            </w:r>
          </w:p>
        </w:tc>
        <w:tc>
          <w:tcPr>
            <w:tcW w:w="198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Zvýšit kapacity příjemců a partnerů pro realizaci efektivních partnerských projektů (ať už projektů realizovaných v partnerství několika subjektů, nebo projektů, jejichž výsledkem je vznik partnerství), zejména v PO 2, 3, 4 a 5.</w:t>
            </w: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Podle výsledků šetření bude pro žadatele, příjemce a jejich partnery, případně pro hodnotitele zajištěno vzděláváni v přípravě a realizaci partnerských projektů, zejména v PO 2, 3, 4 a 5. Pro vzdělávání budou využity publikace (příručka „Jak na partnerské projekty“, sborníky dobré praxe partnerských projektů) a připravený vzdělávací kurz, které budou dle potřeby upraveny.  Zaměření vzdělávání bude zohledňovat specifika IP a GG a bude zahrnovat tyto dovednosti potřebné pro realizaci partnerských projektů: vytváření síťování a budování partnerských struktur; iniciace, tvorba a vedení partnerských projektů; managementu; leadershipu; komunikace; sebeevaluace.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3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3. Vytvořené publikace k partnerství (příručka, sborníky) budou vydány a publikovány na www.ESFCR.cz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Zajistit, aby žadatelé v žádosti o podporu řádně zdůvodňovali a popisovali zapojení jednotlivých partnerů.</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40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Popis kritéria C3 Partneři v Příručce pro hodnotitele projektů OP LZZ (s. 17) bude upraven v tom smyslu, aby hodnotitel musel také posoudit funkční nezastupitelnost partnerů vzhledem k výstupům. To by hodnotitel vyhodnotil dle míry zapojení a přispění partnerů k věcné realizaci projektu (v kategorii monitorovacích indikátorů) a míry čerpání finančních prostředků v případě partnerů s finančním příspěvkem.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69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Popis kritéria C3 bude upraven tak, aby hodnotitelé v rámci hodnocení žádosti posuzovali plnohodnotné zapojení partnerů při přípravě a realizaci projektu ve formě společného rozhodování (ne jen spolupráce, konzultace), což také umožní odlišit dodavatelsko-odběratelský vztah.</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848"/>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3. Upravit dikci popisu kritéria tak, aby neodrazoval od formování „opravdových“ projektových partnerství (nyní začíná slovy: „Jeho cílem je doporučit výběrové komisi vyloučit takové projekty, ve kterých jsou uměle vytvořena partnerství spojená s nebezpečím možného finančního obohacení partnerů“).</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2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4. Bude doplněn D6 Průvodce projektovou žádostí, zejm. v části týkající se partnerů (kap. 11.6., s.40-41).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63"/>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5. Žadatelé budou informováni, že u partnerských projektů bude vyžadován popis a zdůvodnění funkční nezastupitelnosti a společného rozhodování a toto následně hodnoceno.</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57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3. Okolí - partneři, nadřízené subjekty, evropské struktury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Při přípravě nového OP ESF a při koncipování nových výzev ve stávajícím období postupovat dle zásad Metodiky pro zapojování veřejnosti do přípravy vládních dokumentů (viz kap. 1.6 Metodiky, usnesení vlády č. 1146/2009) – včasnost, srozumitelnost, přiměřenost a odbornost, dostupnost zdrojů, komplexnost, transparentnost, otevřenost a důvěra a konsenzus, tak aby bylo zajištěno efektivní zapojení relevantních zástupců cílových skupin a sociálních partnerů na programové úrovni s cílem zajistit soulad potřeb cílových skupin s cíli programu, prioritních os a jednotlivých výzev.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6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Při přípravě nového OP bude v případě veřejné konzultace aplikována Metodika pro zapojování veřejnosti do přípravy vládních dokumentů, zejména zásady pro zapojování veřejnosti.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6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Při přípravě nových výzev (resp. jejich revizí) bude v případě jejich veřejné konzultace aplikována Metodika pro zapojování veřejnosti do přípravy vládních dokumentů, zejména zásady pro zapojování veřejnosti.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708"/>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3. K přípravě OP budou přizvány i tyto subjekty: PO1: sdružení podniků, hospodářské komory, cechy podnikatelů, PO2:ÚP ČR, sekce 4, PO3: sdružení NNO, PO4: obce, Svaz měst a obcí, kraje, Asociace krajů a další sdružení ve veřejném sektoru, PO5: výše uvedené subjekty.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96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4. K přípravě výzev budou přizvány i tyto subjekty: PO1: sdružení podniků, hospodářské komory, cechy podnikatelů, PO2:ÚP ČR, sekce 4, PO3: sdružení NNO, PO4: obce, Svaz měst a obcí, kraje, Asociace krajů a další sdružení ve veřejném sektoru, PO5: výše uvedené subjekty. Termín: při případné veřejné konzultaci nového výzev.</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8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Zajistit využití reprezentativních studií a strategií, které vznikly (vznikají) v partnerských projektech, pro přípravu nových výzev a plánování budoucího programového období. </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163"/>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Relevantní dokončené studie budou dle potřeby zahrnuty do analýz při přípravě nových výzev, případně budou jejich autoři vyzváni k účasti na FS.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11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Studie budou předány zpracovateli Strategické evaluace ESF pro využití při zpracování analýzy a predikce potřeb, problémů a způsobů intervence z ESF v novém období.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5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3. Příjemci budou vedeni k systematické práci s vytvořenými výstupy a ke spolupráci s jejich uživateli.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5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Zajistit využití výsledků tematických sítí realizovaných v projektech OP LZZ  pro přípravu nových výzev a plánování budoucího programového období</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031"/>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Relevantní dokončené výsledky sítí budou zahrnuty do analýz při přípravě nových výzev, případně budou jejich autoři vyzváni k účasti na FS.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990"/>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Výsledky budou předány zpracovateli Strategické evaluace pro využití při zpracování analýzy a predikce potřeb, problémů a způsobů intervence z ESF v novém období.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34"/>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3. Příjemci budou vedeni k systematické práci s vytvořenými výstupy a ke spolupráci s jejich uživateli.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7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jc w:val="both"/>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Zvýšit kapacity subjektů veřejné správy v oblastech good governance, zapojování veřejnosti do rozhodování, komunikace, partnerství, managementu a leadershipu prostřednictvím podpory z PO 4 OP LZZ, a tím dosáhnout vyšších efektů veřejných intervencí.</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403"/>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1A6BE2">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S věcným garantem pro PO 4 (MV ČR) vyhodnotit potřebu a realizovatelnost nových IP pro zvýšení kapacit orgánů státní správy a samospráv v oblasti good governance a v návaznosti na to přistoupit k případně další podpoře v rámci PO 4.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3393"/>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4. Klienti - klientsky orientované služby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Zařadit následující druhy subjektů jako možné partnery při formulování návrhů výzev a projektů, případně jako partnery přímo v projektech pro jednotlivé oblasti podpory:. Oblast podpory 2.1 – zaměstnavatelé; oblast podpory 3.2 – úřady práce; oblast podpory 3.3 – příspěvkové organizace, poskytovatelé sociálních služeb, kteří nejsou NNO a úřady práce; oblast podpory 3.4 – podnikatelé a sdružení podniků</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422"/>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Prověřit možnosti zařazení zmíněných subjektů</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401"/>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2216D4">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Případná změna prováděcího dokumentu v oblasti 3.3</w:t>
            </w:r>
            <w:r w:rsidR="009E156C">
              <w:rPr>
                <w:rFonts w:eastAsia="Times New Roman" w:cstheme="minorHAnsi"/>
                <w:color w:val="000000"/>
                <w:sz w:val="16"/>
                <w:szCs w:val="16"/>
                <w:lang w:eastAsia="cs-CZ"/>
              </w:rPr>
              <w:t xml:space="preserve"> (tj. doplnění dalších možných typů projektových partnerů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1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2216D4" w:rsidP="002216D4">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xml:space="preserve">V rámci analýzy spolufinancování v novém období 2014+ analyzovat vhodnost hodnotícího kritéria, které by zvýhodňovalo projekty, které nežádají o 100% financování. Zvýší se tím zodpovědnost příjemců, budou-li si případně zajišťovat část rozpočtu i z jiných zdrojů. </w:t>
            </w:r>
            <w:r w:rsidR="009C1795" w:rsidRPr="009C1795">
              <w:rPr>
                <w:rFonts w:eastAsia="Times New Roman" w:cstheme="minorHAnsi"/>
                <w:b/>
                <w:bCs/>
                <w:color w:val="000000"/>
                <w:sz w:val="16"/>
                <w:szCs w:val="16"/>
                <w:lang w:eastAsia="cs-CZ"/>
              </w:rPr>
              <w:t>Analyzovat zavedení spolufinancování i v dalších prioritních osách vedle PO 1 (soutěžit mezi sebou budou žadatelé v jednotlivých výzvách v rámci příslušných prioritních os) v programovém období 2014-2020.</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73"/>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 Vyhodnocení možných dopadů zavedení spolufinancování v rámci OP 2014+ bude realizováno v rámci Evaluačního plánu pro rok 2012, nikoliv ostré otestování, které není zatím vhodné. Termín: do 31. 12. 2012</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41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Využití výsledků z 1. při nastavení 2014+. Termín: 2013</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825"/>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2. Projekty a jejich výsledky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Provést analýzu reálných dopadů projektů v rámci PO5, kde jsou nejpočetnější partnerství a role některých partnerů nejsou zcela zřejmé. Zároveň však jde o PO, ve které je již nyní vyžadováno „skryté“ spolufinancování ze strany příjemců podpory (tím, že zahraniční partneři nejsou financováni) a lze tudíž očekávat tlak na dosažení vyšších efektů.</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844"/>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2216D4">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Vyhodnocení reálných dopadů projektů v PO 5 s využitím metodiky pro stanovení hodnoty indikátoru „Zvýšení efektivnosti strategií a politik v oblasti LZZ“ a v návaznosti na výstupy evaluace principu inovativnosti v OP LZZ se zahrnutím vlivu partnerství a „skrytého“ spolufinancování.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552"/>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2216D4">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Využití výsledků z 1. při nastavení 2014+.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4104"/>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3. Okolí - partneři, nadřízené subjekty, evropské struktury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Zajistit, aby Zákon č. 218/2000 Sb., o rozpočtových pravidlech a zákon č. 250/2000 Sb., o rozpočtových pravidlech územních rozpočtů obsahoval možnost a podmínky, za kterých lze ze státního rozpočtu a z rozpočtu územních samosprávných celků financovat (poskytnout dotaci) projekty, aktivity či činnosti realizované v partnerství více subjektů (dotace by mohla být poskytnuta na základě jednoho rozhodnutí dvěma a více subjektům na jeden projekt).</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399"/>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2216D4">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 1. Hledat nové řešení zodpovědnosti za splnění účelu dotace, a to s využitím závěrů evaluace partnerství a za případné spolupráce s MŠMT (ŘO OP VK) a MMR (ŘO Interreg ad.).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6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2216D4">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V případě nalezení nového řešení, toto uplatnit v rámci nastavení pravidel pro období 2014+, při změně rozpočtových pravidel a metodiky finančních toků SF.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39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3. Okolí - partneři, nadřízené subjekty, evropské struktury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Zajistit, aby Zákon č. 218/2000 Sb., o rozpočtových pravidlech a zákon č. 250/2000 Sb., o rozpočtových pravidlech územních rozpočtů obsahoval možnost a podmínky, za kterých lze financovat (poskytnout dotaci) projekty, aktivity či činnosti realizované v partnerství, kde jeden z partnerů je orgán státu, nebo jím zřízená příspěvková organizace či územní samosprávný celek nebo jím zřízená příspěvková organizace.</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619"/>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2216D4">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Hledat nové řešení podpory partnerství ze SF, kde je jedním z partnerů subjekt financovaný z veřejných rozpočtů, a to s využitím závěrů evaluace partnerství a za případné spolupráce s MŠMT (ŘO OP VK) a MMR (ŘO Interreg ad.).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72"/>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2216D4">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V případě nalezení nového řešení, toto uplatnit v rámci nastavení pravidel pro období 2014+, při změně rozpočtových pravidel, metodiky finančních toků SF a dalších relevantních dokumentů.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8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3. Okolí - partneři, nadřízené subjekty, evropské struktury</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EvalPartnerství 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příslušné legislativě je vhodné vymezení institutu partnerství pro podporu z ESF v programovém období 2014+.</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FFC00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nový úkol</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85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2216D4">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Hledat nové vhodné legislativní vymezení institutu partnerství vhodné pro podporu z ESF. Při tom v kontextu závěrů evaluace zvážit využití pojetí partnerství jako sdružení bez právní subjektivity podle občanského zákoníku (ustanovení § 829 až 841 zákona č. 40/1964 Sb., občanský zákoník, ve znění pozdějších předpisů).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847"/>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2216D4">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V případě nalezení vhodného řešení, toto uplatnit v rámci novelizace příslušné legislativy a v rámci nastavení pravidel pro období 2014+.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nový úkol</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257"/>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6. Externí komunikace a publicita</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KaP2010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Zrevidovat cíle a doplnit Komunikační plán tak, aby lépe splňoval nároky na strategický dokument pro řízení komunikace OP LZZ v období 2011-2015</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133"/>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Prostřednictvím mediální agentury budou definovány komunikační cíle ve vazbě na skutečné, aktuální potřeby programu a v konsenzu všech útvarů ŘO.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Výběrové řízení na mediální agenturu je v přípravě.</w:t>
            </w:r>
          </w:p>
        </w:tc>
      </w:tr>
      <w:tr w:rsidR="00FC265D" w:rsidRPr="00FC265D" w:rsidTr="00260593">
        <w:trPr>
          <w:trHeight w:val="2684"/>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Bude posíleno zapojení vedení ŘO do plánování cílů komunikace a posílena angažovanost ostatních útvarů na komunikačním procesu prostřednictvím: - organizace pravidelných prezentací o plánovaných a uskutečněných komunikačních aktivitách - zasílání návrhu ročního komunikačního plánu k připomínkám programovým oddělením (zejména zacílení kampaní a aktivit) - rozesílání reportu se statistikami z Google Analytics týkajícími se www.esfcr.cz</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Probíhá.</w:t>
            </w:r>
          </w:p>
        </w:tc>
      </w:tr>
      <w:tr w:rsidR="00FC265D" w:rsidRPr="00FC265D" w:rsidTr="00260593">
        <w:trPr>
          <w:trHeight w:val="1133"/>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3. Prostřednictvím koordinace činností a řízení mediální agentury bude systematicky a metodicky přistupováno k tvorbě i realizaci ročních komunikačních plánů.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Výběrové řízení na mediální agenturu je v přípravě.</w:t>
            </w:r>
          </w:p>
        </w:tc>
      </w:tr>
      <w:tr w:rsidR="00FC265D" w:rsidRPr="00FC265D" w:rsidTr="00260593">
        <w:trPr>
          <w:trHeight w:val="2681"/>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6. Externí komunikace a publicita</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KaP2010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Optimalizovat sadu indikátorů Komunikačního plánu OP LZZ v návaznosti na vytyčené komunikační cíle a způsob sledování a průběžného vyhodnocování plnění cílů KoP, aby poskytovalo spolehlivý a vypovídající obrázek o úspěšnosti komunikační strategie jako podklad pro její úpravy a řízení</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982"/>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Dopadové indikátory budou formulovány ve vazbě na definované cíle KoP tak, aby vypovídaly o míře jejich plnění a kvantifikovaly cílové hodnoty, aby bylo možné průběžně posuzovat úspěšnost komunikačních aktivit. Průběžné posuzování úspěšnosti komunikačních aktivit bude sledováno mediální agenturou.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Výběrové řízení na mediální agenturu je v přípravě.</w:t>
            </w:r>
          </w:p>
        </w:tc>
      </w:tr>
      <w:tr w:rsidR="00FC265D" w:rsidRPr="00FC265D" w:rsidTr="00260593">
        <w:trPr>
          <w:trHeight w:val="2251"/>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2. Prostřednictvím řízení a koordinace činností mediální agentury bude realizováno systematické sledování a hodnocení komunikace OP LZZ na všech úrovních – průběžné, roční, souhrnné prostřednictvím: - čtvrtletních reportů, - ad hoc reportů, - vyhodnocení ročního komunikačního plánu, - závěrečného vyhodnocení komunikační strategie 2012-2015, - průzkumy veřejného mínění</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Výběrové řízení na mediální agenturu je v přípravě.</w:t>
            </w:r>
          </w:p>
        </w:tc>
      </w:tr>
      <w:tr w:rsidR="00FC265D" w:rsidRPr="00FC265D" w:rsidTr="00260593">
        <w:trPr>
          <w:trHeight w:val="15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6. Externí komunikace a publicita</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KaP2010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Posílit vnímání komunikace jako strategické průřezové činnosti v řízení programu a posílit součinnost s ostatními útvary ŘO a MPSV a vedením ŘO</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2258"/>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1. Bude posíleno vnímání významu role publicity uvnitř Řídicího orgánu OP LZZ prostřednictvím: - organizace pravidelných prezentací o plánovaných a uskutečněných komunikačních aktivitách, - zasílání návrhu ročního komunikačního plánu k připomínkám programovým oddělením (zejména zacílení kampaní a aktivit), - rozesílání reportu se statistikami z Google Analytics týkajícími se www.esfcr.cz</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Probíhá.</w:t>
            </w:r>
          </w:p>
        </w:tc>
      </w:tr>
      <w:tr w:rsidR="00FC265D" w:rsidRPr="00FC265D" w:rsidTr="00260593">
        <w:trPr>
          <w:trHeight w:val="1266"/>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Prostřednictvím koordinace a řízení vybrané mediální agentury bude důsledně dbáno na čerpání rozpočtu komunikačního plánu a koncepčně spolupracováno s externím dodavatelem.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Výběrové řízení na mediální agenturu je v přípravě.</w:t>
            </w:r>
          </w:p>
        </w:tc>
      </w:tr>
      <w:tr w:rsidR="00FC265D" w:rsidRPr="00FC265D" w:rsidTr="00260593">
        <w:trPr>
          <w:trHeight w:val="142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3. V oblasti mediální komunikace bude systematizována spolupráce s tiskovým oddělením MPSV formou spolupráce specializovaného pracovníka pro komunikaci s tiskovým oddělením a dále spoluprací s externí mediální agenturou.</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Probíhá.</w:t>
            </w:r>
          </w:p>
        </w:tc>
      </w:tr>
      <w:tr w:rsidR="00FC265D" w:rsidRPr="00FC265D" w:rsidTr="00260593">
        <w:trPr>
          <w:trHeight w:val="9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6. Externí komunikace a publicita</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KaP2010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Průběžně udržovat a posilovat odborné kapacity ŘO v oblasti marketingové komunikace</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778"/>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auto" w:fill="auto"/>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Bude zajištěno ad hoc školením na odborná témata v oblasti publicity a komunikace, konkrétně na téma práce s google-analytics</w:t>
            </w:r>
            <w:r w:rsidR="00086CF8">
              <w:rPr>
                <w:rFonts w:eastAsia="Times New Roman" w:cstheme="minorHAnsi"/>
                <w:color w:val="000000"/>
                <w:sz w:val="16"/>
                <w:szCs w:val="16"/>
                <w:lang w:eastAsia="cs-CZ"/>
              </w:rPr>
              <w:t xml:space="preserve">.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Připravováno.</w:t>
            </w:r>
          </w:p>
        </w:tc>
      </w:tr>
      <w:tr w:rsidR="00FC265D" w:rsidRPr="00FC265D" w:rsidTr="00260593">
        <w:trPr>
          <w:trHeight w:val="1500"/>
        </w:trPr>
        <w:tc>
          <w:tcPr>
            <w:tcW w:w="9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6. Externí komunikace a publicita</w:t>
            </w:r>
          </w:p>
        </w:tc>
        <w:tc>
          <w:tcPr>
            <w:tcW w:w="851" w:type="dxa"/>
            <w:shd w:val="clear" w:color="000000" w:fill="D9D9D9"/>
            <w:hideMark/>
          </w:tcPr>
          <w:p w:rsidR="009C1795" w:rsidRPr="009C1795" w:rsidRDefault="009C1795" w:rsidP="009C1795">
            <w:pPr>
              <w:spacing w:after="0" w:line="240" w:lineRule="auto"/>
              <w:rPr>
                <w:rFonts w:eastAsia="Times New Roman" w:cstheme="minorHAnsi"/>
                <w:b/>
                <w:bCs/>
                <w:sz w:val="16"/>
                <w:szCs w:val="16"/>
                <w:lang w:eastAsia="cs-CZ"/>
              </w:rPr>
            </w:pPr>
            <w:r w:rsidRPr="009C1795">
              <w:rPr>
                <w:rFonts w:eastAsia="Times New Roman" w:cstheme="minorHAnsi"/>
                <w:b/>
                <w:bCs/>
                <w:sz w:val="16"/>
                <w:szCs w:val="16"/>
                <w:lang w:eastAsia="cs-CZ"/>
              </w:rPr>
              <w:t>KaP2010</w:t>
            </w:r>
          </w:p>
        </w:tc>
        <w:tc>
          <w:tcPr>
            <w:tcW w:w="1984"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Zkvalitnit realizaci vybraných komunikačních nástrojů s cílem zvýšit jejich kapacitu oslovit zejména cílovou skupinu široké veřejnosti</w:t>
            </w:r>
          </w:p>
        </w:tc>
        <w:tc>
          <w:tcPr>
            <w:tcW w:w="2693" w:type="dxa"/>
            <w:shd w:val="clear" w:color="000000" w:fill="D9D9D9"/>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 </w:t>
            </w:r>
          </w:p>
        </w:tc>
        <w:tc>
          <w:tcPr>
            <w:tcW w:w="709" w:type="dxa"/>
            <w:shd w:val="clear" w:color="auto" w:fill="92D050"/>
            <w:hideMark/>
          </w:tcPr>
          <w:p w:rsidR="009C1795" w:rsidRPr="009C1795" w:rsidRDefault="009C1795" w:rsidP="009C1795">
            <w:pPr>
              <w:spacing w:after="0" w:line="240" w:lineRule="auto"/>
              <w:rPr>
                <w:rFonts w:eastAsia="Times New Roman" w:cstheme="minorHAnsi"/>
                <w:b/>
                <w:bCs/>
                <w:color w:val="000000"/>
                <w:sz w:val="16"/>
                <w:szCs w:val="16"/>
                <w:lang w:eastAsia="cs-CZ"/>
              </w:rPr>
            </w:pPr>
            <w:r w:rsidRPr="009C1795">
              <w:rPr>
                <w:rFonts w:eastAsia="Times New Roman" w:cstheme="minorHAnsi"/>
                <w:b/>
                <w:bCs/>
                <w:color w:val="000000"/>
                <w:sz w:val="16"/>
                <w:szCs w:val="16"/>
                <w:lang w:eastAsia="cs-CZ"/>
              </w:rPr>
              <w:t>v řešení</w:t>
            </w:r>
          </w:p>
        </w:tc>
        <w:tc>
          <w:tcPr>
            <w:tcW w:w="3544" w:type="dxa"/>
            <w:shd w:val="clear" w:color="000000" w:fill="D9D9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w:t>
            </w:r>
          </w:p>
        </w:tc>
      </w:tr>
      <w:tr w:rsidR="00FC265D" w:rsidRPr="00FC265D" w:rsidTr="00260593">
        <w:trPr>
          <w:trHeight w:val="1023"/>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000000" w:fill="FFFFFF"/>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1. Ve spolupráci s externí mediální agenturou budou v plánování i realizaci komunikačních aktivit respektovány aktuální trendy v oblasti komunikace.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Výběrové řízení na mediální agenturu je v přípravě</w:t>
            </w:r>
          </w:p>
        </w:tc>
      </w:tr>
      <w:tr w:rsidR="00FC265D" w:rsidRPr="00FC265D" w:rsidTr="00260593">
        <w:trPr>
          <w:trHeight w:val="1265"/>
        </w:trPr>
        <w:tc>
          <w:tcPr>
            <w:tcW w:w="993" w:type="dxa"/>
            <w:shd w:val="clear" w:color="000000" w:fill="D9D9D9"/>
          </w:tcPr>
          <w:p w:rsidR="009C1795" w:rsidRPr="009C1795" w:rsidRDefault="009C1795" w:rsidP="009C1795">
            <w:pPr>
              <w:spacing w:after="0" w:line="240" w:lineRule="auto"/>
              <w:rPr>
                <w:rFonts w:eastAsia="Times New Roman" w:cstheme="minorHAnsi"/>
                <w:color w:val="000000"/>
                <w:sz w:val="16"/>
                <w:szCs w:val="16"/>
                <w:lang w:eastAsia="cs-CZ"/>
              </w:rPr>
            </w:pPr>
          </w:p>
        </w:tc>
        <w:tc>
          <w:tcPr>
            <w:tcW w:w="851" w:type="dxa"/>
            <w:shd w:val="clear" w:color="000000" w:fill="D9D9D9"/>
          </w:tcPr>
          <w:p w:rsidR="009C1795" w:rsidRPr="009C1795" w:rsidRDefault="009C1795" w:rsidP="009C1795">
            <w:pPr>
              <w:spacing w:after="0" w:line="240" w:lineRule="auto"/>
              <w:rPr>
                <w:rFonts w:eastAsia="Times New Roman" w:cstheme="minorHAnsi"/>
                <w:sz w:val="16"/>
                <w:szCs w:val="16"/>
                <w:lang w:eastAsia="cs-CZ"/>
              </w:rPr>
            </w:pPr>
          </w:p>
        </w:tc>
        <w:tc>
          <w:tcPr>
            <w:tcW w:w="1984" w:type="dxa"/>
            <w:shd w:val="clear" w:color="000000" w:fill="FFFFFF"/>
          </w:tcPr>
          <w:p w:rsidR="009C1795" w:rsidRPr="009C1795" w:rsidRDefault="009C1795" w:rsidP="009C1795">
            <w:pPr>
              <w:spacing w:after="0" w:line="240" w:lineRule="auto"/>
              <w:rPr>
                <w:rFonts w:eastAsia="Times New Roman" w:cstheme="minorHAnsi"/>
                <w:color w:val="000000"/>
                <w:sz w:val="16"/>
                <w:szCs w:val="16"/>
                <w:lang w:eastAsia="cs-CZ"/>
              </w:rPr>
            </w:pPr>
          </w:p>
        </w:tc>
        <w:tc>
          <w:tcPr>
            <w:tcW w:w="2693"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 xml:space="preserve">2. Ve spolupráci s externí mediální agenturou budou realizována dílčí zlepšení v oblasti exekuce komunikačních nástrojů především s cílem zefektivnit oslovení cílové skupiny široká veřejnost. </w:t>
            </w:r>
          </w:p>
        </w:tc>
        <w:tc>
          <w:tcPr>
            <w:tcW w:w="709" w:type="dxa"/>
            <w:shd w:val="clear" w:color="auto" w:fill="D9D9D9" w:themeFill="background1" w:themeFillShade="D9"/>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 řešení</w:t>
            </w:r>
          </w:p>
        </w:tc>
        <w:tc>
          <w:tcPr>
            <w:tcW w:w="3544" w:type="dxa"/>
            <w:shd w:val="clear" w:color="auto" w:fill="auto"/>
            <w:hideMark/>
          </w:tcPr>
          <w:p w:rsidR="009C1795" w:rsidRPr="009C1795" w:rsidRDefault="009C1795" w:rsidP="009C1795">
            <w:pPr>
              <w:spacing w:after="0" w:line="240" w:lineRule="auto"/>
              <w:rPr>
                <w:rFonts w:eastAsia="Times New Roman" w:cstheme="minorHAnsi"/>
                <w:color w:val="000000"/>
                <w:sz w:val="16"/>
                <w:szCs w:val="16"/>
                <w:lang w:eastAsia="cs-CZ"/>
              </w:rPr>
            </w:pPr>
            <w:r w:rsidRPr="009C1795">
              <w:rPr>
                <w:rFonts w:eastAsia="Times New Roman" w:cstheme="minorHAnsi"/>
                <w:color w:val="000000"/>
                <w:sz w:val="16"/>
                <w:szCs w:val="16"/>
                <w:lang w:eastAsia="cs-CZ"/>
              </w:rPr>
              <w:t>Výběrové řízení na mediální agenturu je v přípravě.</w:t>
            </w:r>
          </w:p>
        </w:tc>
      </w:tr>
    </w:tbl>
    <w:p w:rsidR="009C1795" w:rsidRDefault="009C1795"/>
    <w:sectPr w:rsidR="009C1795" w:rsidSect="00FC265D">
      <w:headerReference w:type="default" r:id="rId8"/>
      <w:footerReference w:type="default" r:id="rId9"/>
      <w:pgSz w:w="11906" w:h="16838"/>
      <w:pgMar w:top="993"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E82" w:rsidRDefault="00CF2E82" w:rsidP="00523815">
      <w:pPr>
        <w:spacing w:after="0" w:line="240" w:lineRule="auto"/>
      </w:pPr>
      <w:r>
        <w:separator/>
      </w:r>
    </w:p>
  </w:endnote>
  <w:endnote w:type="continuationSeparator" w:id="0">
    <w:p w:rsidR="00CF2E82" w:rsidRDefault="00CF2E82" w:rsidP="00523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1724023"/>
      <w:docPartObj>
        <w:docPartGallery w:val="Page Numbers (Bottom of Page)"/>
        <w:docPartUnique/>
      </w:docPartObj>
    </w:sdtPr>
    <w:sdtEndPr/>
    <w:sdtContent>
      <w:p w:rsidR="007578E6" w:rsidRDefault="007578E6">
        <w:pPr>
          <w:pStyle w:val="Zpat"/>
          <w:jc w:val="center"/>
        </w:pPr>
        <w:r>
          <w:fldChar w:fldCharType="begin"/>
        </w:r>
        <w:r>
          <w:instrText>PAGE   \* MERGEFORMAT</w:instrText>
        </w:r>
        <w:r>
          <w:fldChar w:fldCharType="separate"/>
        </w:r>
        <w:r w:rsidR="000E2077">
          <w:rPr>
            <w:noProof/>
          </w:rPr>
          <w:t>1</w:t>
        </w:r>
        <w:r>
          <w:fldChar w:fldCharType="end"/>
        </w:r>
      </w:p>
    </w:sdtContent>
  </w:sdt>
  <w:p w:rsidR="00CF2E82" w:rsidRDefault="00CF2E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E82" w:rsidRDefault="00CF2E82" w:rsidP="00523815">
      <w:pPr>
        <w:spacing w:after="0" w:line="240" w:lineRule="auto"/>
      </w:pPr>
      <w:r>
        <w:separator/>
      </w:r>
    </w:p>
  </w:footnote>
  <w:footnote w:type="continuationSeparator" w:id="0">
    <w:p w:rsidR="00CF2E82" w:rsidRDefault="00CF2E82" w:rsidP="005238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E82" w:rsidRDefault="00CF2E82" w:rsidP="00CF2E82">
    <w:pPr>
      <w:pStyle w:val="Zhlav"/>
    </w:pPr>
    <w:r>
      <w:rPr>
        <w:noProof/>
        <w:lang w:eastAsia="cs-CZ"/>
      </w:rPr>
      <w:drawing>
        <wp:inline distT="0" distB="0" distL="0" distR="0" wp14:anchorId="0005664E" wp14:editId="6A3272B5">
          <wp:extent cx="5760720" cy="590212"/>
          <wp:effectExtent l="0" t="0" r="0" b="635"/>
          <wp:docPr id="1" name="Obrázek 1" descr="slogan_RGB_ver1_2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ogan_RGB_ver1_200dpi"/>
                  <pic:cNvPicPr>
                    <a:picLocks noChangeAspect="1" noChangeArrowheads="1"/>
                  </pic:cNvPicPr>
                </pic:nvPicPr>
                <pic:blipFill>
                  <a:blip r:embed="rId1">
                    <a:extLst>
                      <a:ext uri="{28A0092B-C50C-407E-A947-70E740481C1C}">
                        <a14:useLocalDpi xmlns:a14="http://schemas.microsoft.com/office/drawing/2010/main" val="0"/>
                      </a:ext>
                    </a:extLst>
                  </a:blip>
                  <a:srcRect l="4039" t="22983" r="2592" b="19385"/>
                  <a:stretch>
                    <a:fillRect/>
                  </a:stretch>
                </pic:blipFill>
                <pic:spPr bwMode="auto">
                  <a:xfrm>
                    <a:off x="0" y="0"/>
                    <a:ext cx="5760720" cy="590212"/>
                  </a:xfrm>
                  <a:prstGeom prst="rect">
                    <a:avLst/>
                  </a:prstGeom>
                  <a:noFill/>
                  <a:ln>
                    <a:noFill/>
                  </a:ln>
                </pic:spPr>
              </pic:pic>
            </a:graphicData>
          </a:graphic>
        </wp:inline>
      </w:drawing>
    </w:r>
  </w:p>
  <w:p w:rsidR="00CF2E82" w:rsidRPr="00523815" w:rsidRDefault="00CF2E82" w:rsidP="00523815">
    <w:pPr>
      <w:pStyle w:val="Zhlav"/>
      <w:ind w:left="70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CC"/>
    <w:rsid w:val="00064330"/>
    <w:rsid w:val="00086CF8"/>
    <w:rsid w:val="000A41B6"/>
    <w:rsid w:val="000E2077"/>
    <w:rsid w:val="00182985"/>
    <w:rsid w:val="001A6BE2"/>
    <w:rsid w:val="001F39FD"/>
    <w:rsid w:val="002216D4"/>
    <w:rsid w:val="00260593"/>
    <w:rsid w:val="00280F5B"/>
    <w:rsid w:val="00313D38"/>
    <w:rsid w:val="0038208E"/>
    <w:rsid w:val="003B634A"/>
    <w:rsid w:val="003E5F71"/>
    <w:rsid w:val="00521EC4"/>
    <w:rsid w:val="005235CC"/>
    <w:rsid w:val="00523815"/>
    <w:rsid w:val="00574896"/>
    <w:rsid w:val="00581C7D"/>
    <w:rsid w:val="005C2AC8"/>
    <w:rsid w:val="005E03DF"/>
    <w:rsid w:val="005E61F0"/>
    <w:rsid w:val="00651F7E"/>
    <w:rsid w:val="00683A60"/>
    <w:rsid w:val="00730C13"/>
    <w:rsid w:val="007578E6"/>
    <w:rsid w:val="007A6A22"/>
    <w:rsid w:val="007D2822"/>
    <w:rsid w:val="00823F3D"/>
    <w:rsid w:val="00845030"/>
    <w:rsid w:val="0089342C"/>
    <w:rsid w:val="009A2C47"/>
    <w:rsid w:val="009C1795"/>
    <w:rsid w:val="009D1DEF"/>
    <w:rsid w:val="009E156C"/>
    <w:rsid w:val="009F0ABE"/>
    <w:rsid w:val="00BF23E8"/>
    <w:rsid w:val="00CF2E82"/>
    <w:rsid w:val="00D14A92"/>
    <w:rsid w:val="00D249A1"/>
    <w:rsid w:val="00D95014"/>
    <w:rsid w:val="00E05AEA"/>
    <w:rsid w:val="00E33FC2"/>
    <w:rsid w:val="00E41128"/>
    <w:rsid w:val="00E757D6"/>
    <w:rsid w:val="00FC265D"/>
    <w:rsid w:val="00FF0B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238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23815"/>
  </w:style>
  <w:style w:type="paragraph" w:styleId="Zpat">
    <w:name w:val="footer"/>
    <w:basedOn w:val="Normln"/>
    <w:link w:val="ZpatChar"/>
    <w:uiPriority w:val="99"/>
    <w:unhideWhenUsed/>
    <w:rsid w:val="00523815"/>
    <w:pPr>
      <w:tabs>
        <w:tab w:val="center" w:pos="4536"/>
        <w:tab w:val="right" w:pos="9072"/>
      </w:tabs>
      <w:spacing w:after="0" w:line="240" w:lineRule="auto"/>
    </w:pPr>
  </w:style>
  <w:style w:type="character" w:customStyle="1" w:styleId="ZpatChar">
    <w:name w:val="Zápatí Char"/>
    <w:basedOn w:val="Standardnpsmoodstavce"/>
    <w:link w:val="Zpat"/>
    <w:uiPriority w:val="99"/>
    <w:rsid w:val="00523815"/>
  </w:style>
  <w:style w:type="paragraph" w:styleId="Textbubliny">
    <w:name w:val="Balloon Text"/>
    <w:basedOn w:val="Normln"/>
    <w:link w:val="TextbublinyChar"/>
    <w:uiPriority w:val="99"/>
    <w:semiHidden/>
    <w:unhideWhenUsed/>
    <w:rsid w:val="0052381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23815"/>
    <w:rPr>
      <w:rFonts w:ascii="Tahoma" w:hAnsi="Tahoma" w:cs="Tahoma"/>
      <w:sz w:val="16"/>
      <w:szCs w:val="16"/>
    </w:rPr>
  </w:style>
  <w:style w:type="character" w:styleId="Hypertextovodkaz">
    <w:name w:val="Hyperlink"/>
    <w:uiPriority w:val="99"/>
    <w:rsid w:val="0018298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238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23815"/>
  </w:style>
  <w:style w:type="paragraph" w:styleId="Zpat">
    <w:name w:val="footer"/>
    <w:basedOn w:val="Normln"/>
    <w:link w:val="ZpatChar"/>
    <w:uiPriority w:val="99"/>
    <w:unhideWhenUsed/>
    <w:rsid w:val="00523815"/>
    <w:pPr>
      <w:tabs>
        <w:tab w:val="center" w:pos="4536"/>
        <w:tab w:val="right" w:pos="9072"/>
      </w:tabs>
      <w:spacing w:after="0" w:line="240" w:lineRule="auto"/>
    </w:pPr>
  </w:style>
  <w:style w:type="character" w:customStyle="1" w:styleId="ZpatChar">
    <w:name w:val="Zápatí Char"/>
    <w:basedOn w:val="Standardnpsmoodstavce"/>
    <w:link w:val="Zpat"/>
    <w:uiPriority w:val="99"/>
    <w:rsid w:val="00523815"/>
  </w:style>
  <w:style w:type="paragraph" w:styleId="Textbubliny">
    <w:name w:val="Balloon Text"/>
    <w:basedOn w:val="Normln"/>
    <w:link w:val="TextbublinyChar"/>
    <w:uiPriority w:val="99"/>
    <w:semiHidden/>
    <w:unhideWhenUsed/>
    <w:rsid w:val="0052381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23815"/>
    <w:rPr>
      <w:rFonts w:ascii="Tahoma" w:hAnsi="Tahoma" w:cs="Tahoma"/>
      <w:sz w:val="16"/>
      <w:szCs w:val="16"/>
    </w:rPr>
  </w:style>
  <w:style w:type="character" w:styleId="Hypertextovodkaz">
    <w:name w:val="Hyperlink"/>
    <w:uiPriority w:val="99"/>
    <w:rsid w:val="001829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41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sfcr.cz/folder/488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27</Pages>
  <Words>8823</Words>
  <Characters>52056</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Blahůšek Jan, Mgr. (MPSV)</dc:creator>
  <cp:keywords/>
  <dc:description/>
  <cp:lastModifiedBy>Blahůšek Jan, Mgr. (MPSV)</cp:lastModifiedBy>
  <cp:revision>33</cp:revision>
  <dcterms:created xsi:type="dcterms:W3CDTF">2012-04-19T14:28:00Z</dcterms:created>
  <dcterms:modified xsi:type="dcterms:W3CDTF">2012-05-21T14:55:00Z</dcterms:modified>
</cp:coreProperties>
</file>