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D5F9F" w:rsidR="002D5F9F" w:rsidP="002D5F9F" w:rsidRDefault="002D5F9F">
      <w:pPr>
        <w:shd w:val="clear" w:color="auto" w:fill="FFFFFF"/>
        <w:rPr>
          <w:rFonts w:eastAsia="Times New Roman" w:cs="Arial" w:asciiTheme="majorHAnsi" w:hAnsiTheme="majorHAnsi"/>
          <w:b/>
          <w:lang w:eastAsia="cs-CZ"/>
        </w:rPr>
      </w:pPr>
      <w:bookmarkStart w:name="_GoBack" w:id="0"/>
      <w:bookmarkEnd w:id="0"/>
      <w:r w:rsidRPr="002D5F9F">
        <w:rPr>
          <w:rFonts w:eastAsia="Times New Roman" w:cs="Calibri" w:asciiTheme="majorHAnsi" w:hAnsiTheme="majorHAnsi"/>
          <w:b/>
          <w:lang w:eastAsia="cs-CZ"/>
        </w:rPr>
        <w:t xml:space="preserve">Dotaz:  </w:t>
      </w:r>
      <w:r w:rsidRPr="002D5F9F">
        <w:rPr>
          <w:rFonts w:eastAsia="Times New Roman" w:cs="Arial" w:asciiTheme="majorHAnsi" w:hAnsiTheme="majorHAnsi"/>
          <w:b/>
          <w:lang w:eastAsia="cs-CZ"/>
        </w:rPr>
        <w:t>Náš dotaz se týká  prokázání technické kvalifikace § 79 prostřednictvím seznamu poskytnutých významných služeb v oblasti firemního vzdělávání, kdy minimálně 1 taková významná služba musí být financována z Evropských fondů.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Arial" w:asciiTheme="majorHAnsi" w:hAnsiTheme="majorHAnsi"/>
          <w:b/>
          <w:lang w:eastAsia="cs-CZ"/>
        </w:rPr>
      </w:pPr>
      <w:r w:rsidRPr="002D5F9F">
        <w:rPr>
          <w:rFonts w:eastAsia="Times New Roman" w:cs="Arial" w:asciiTheme="majorHAnsi" w:hAnsiTheme="majorHAnsi"/>
          <w:b/>
          <w:lang w:eastAsia="cs-CZ"/>
        </w:rPr>
        <w:t>Domníváme se, že tento požadavek je diskriminačního charakteru. Svůj domněnku opíráme o názor ŘO, který požadavek na ESF reference považuje za nedodržení zásad transparentnosti, rovného zacházení a zákazu diskriminace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Arial" w:asciiTheme="majorHAnsi" w:hAnsiTheme="majorHAnsi"/>
          <w:b/>
          <w:lang w:eastAsia="cs-CZ"/>
        </w:rPr>
      </w:pPr>
      <w:hyperlink w:tgtFrame="_blank" w:history="true" r:id="rId4">
        <w:r w:rsidRPr="002D5F9F">
          <w:rPr>
            <w:rFonts w:eastAsia="Times New Roman" w:cs="Arial" w:asciiTheme="majorHAnsi" w:hAnsiTheme="majorHAnsi"/>
            <w:b/>
            <w:u w:val="single"/>
            <w:lang w:eastAsia="cs-CZ"/>
          </w:rPr>
          <w:t>https://www.esfcr.cz/detail-clanku/-/asset_publisher/BBFAoaudKGfE/content/formulare</w:t>
        </w:r>
      </w:hyperlink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Arial" w:asciiTheme="majorHAnsi" w:hAnsiTheme="majorHAnsi"/>
          <w:lang w:eastAsia="cs-CZ"/>
        </w:rPr>
      </w:pPr>
      <w:r w:rsidRPr="002D5F9F">
        <w:rPr>
          <w:rFonts w:eastAsia="Times New Roman" w:cs="Arial" w:asciiTheme="majorHAnsi" w:hAnsiTheme="majorHAnsi"/>
          <w:lang w:eastAsia="cs-CZ"/>
        </w:rPr>
        <w:t>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Odpověď: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děkujeme za Váš dotaz k zadávacímu řízení „Realizace vzdělávacích kurzů“. Požadavek na prokázání technické kvalifikace dle § 79 zákona č. 134/2016 Sb., o zadávání veřejných zakázek, ve znění pozdějších předpisů, prostřednictvím seznamu významných služeb, kdy zadavatel požaduje předložení alespoň jedné reference na služby v oblasti firemního vzdělávání, přičemž alespoň jedna taková služba byla financována z fondů EU, má ověřit zkušenost dodavatele veřejné zakázky s realizací projektů, které podléhají pravidlům operačních programů v rámci fondů EU. Je v zájmu zadavatele, aby vybraný dodavatel měl s takovými projekty zkušenost a nedošlo z jeho strany k pochybením při realizaci veřejné zakázky. Z tohoto důvodu není dle zadavatele toto kritérium technické kvalifikace diskriminační.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Uvedený názor řídícího orgánu, na který je v dotazu odkazováno, se vztahuje k Operačnímu programu Lidské zdroje a zaměstnanost, ukončenému v roce 2013. Jak plyne ze znění bodu 4.1.2. Postupu pro zadávání zakázek dle Metodického pokynu pro zadávání zakázek Operačního programu Lidské zdroje a zaměstnanost, v rámci tohoto operačního programu byl požadavek na předložení reference na službu poskytovanou v rámci projektu ESF deklarován za diskriminační a metodika k operačnímu programu jej výslovně zakazovala. Veřejná zakázka „Realizace vzdělávacích kurzů“ je však financována z Operačního programu Zaměstnanost, fungujícím od roku 2014, který v obecné ani specifické části pravidel pro příjemce nestanovuje, že by zadavatel nemohl kvalifikační požadavek na předložení reference na realizaci obdobné služby u projektu financovaného z fondů EU stanovit, a z toho lze dovodit, že nahlížení na tento požadavek se změnilo.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Požadavkem, který pravidla pro příjemce vyžadují, je stanovení kritérií, jenž umožňují výběr nejvhodnějšího dodavatele, ale neuzavírají přístup jinému dodavateli z důvodů, které nesouvisejí s předmětem veřejné zakázky. Jak bylo uvedeno výše, zadavatel je přesvědčen, že zkušenost s realizací firemního vzdělávání v rámci projektu financovaného z fondů EU je dle zadavatele nezbytným požadavkem zaručujícím zkušenost dodavatele. Z tohoto důvodu zadavatel považuje stanovené kvalifikační kritérium za oprávněné.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Každopádně zadavatel potvrzuje, že účelem tohoto požadavku je prokázání zkušeností se zakázkou v hodnotě 2 000 000 Kč bez DPH a s pravidly publicity platnými pro zakázky v hodnotě 2 000 000 Kč bez DPH. V souladu s rozhodovací praxí s rozhodovací praxí Úřadu pro ochranu hospodářské soutěže zadavatel počítá s tím, že bude akceptovat každé prokázání zkušeností, které doložitelně odpovídá sledovanému účelu požadavku, tedy po obsahové stránce. Pokud dodavatel prokáže, že má jednoznačně zkušenost s pravidly publicity, která byla v daném období relevantní (srovnatelná) s pravidly pro zakázky financované z fondů EU s hodnotou 2 000 000 Kč bez DPH, ač konkrétní zakázka nenaplnila požadovanou finanční hodnotu (2 000 000 Kč bez DPH), a zároveň má zkušenost s realizací služeb firemního vzdělávání v posledních 5 letech v hodnotě 2 000 000 Kč bez DPH (ač nefinancovaného z fondů EU), bude takové prokázání akceptovatelné.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 xml:space="preserve">S ohledem na skutečnost, že dotaz dodavatele nebyl doručen včas ve smyslu § 98 odst. 3 zákona č. 134/2016 Sb., o zadávání veřejných zakázek, ve znění pozdějších předpisů, a podané vysvětlení </w:t>
      </w:r>
      <w:r w:rsidRPr="002D5F9F">
        <w:rPr>
          <w:rFonts w:eastAsia="Times New Roman" w:cs="Calibri" w:asciiTheme="majorHAnsi" w:hAnsiTheme="majorHAnsi"/>
          <w:lang w:eastAsia="cs-CZ"/>
        </w:rPr>
        <w:lastRenderedPageBreak/>
        <w:t>nepředstavuje změnu zadávacích podmínek, nýbrž pouze upřesnění postupu při posuzování kvalifikace dodavatelů, neprodlužuje zadavatel lhůtu pro podání nabídek.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 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S</w:t>
      </w:r>
      <w:r>
        <w:rPr>
          <w:rFonts w:eastAsia="Times New Roman" w:cs="Calibri" w:asciiTheme="majorHAnsi" w:hAnsiTheme="majorHAnsi"/>
          <w:lang w:eastAsia="cs-CZ"/>
        </w:rPr>
        <w:t> </w:t>
      </w:r>
      <w:r w:rsidRPr="002D5F9F">
        <w:rPr>
          <w:rFonts w:eastAsia="Times New Roman" w:cs="Calibri" w:asciiTheme="majorHAnsi" w:hAnsiTheme="majorHAnsi"/>
          <w:lang w:eastAsia="cs-CZ"/>
        </w:rPr>
        <w:t>pozdravem</w:t>
      </w:r>
      <w:r>
        <w:rPr>
          <w:rFonts w:eastAsia="Times New Roman" w:cs="Calibri" w:asciiTheme="majorHAnsi" w:hAnsiTheme="majorHAnsi"/>
          <w:lang w:eastAsia="cs-CZ"/>
        </w:rPr>
        <w:t xml:space="preserve"> Lukáš Soudek</w:t>
      </w:r>
    </w:p>
    <w:p w:rsidRPr="002D5F9F" w:rsidR="002D5F9F" w:rsidP="002D5F9F" w:rsidRDefault="002D5F9F">
      <w:pPr>
        <w:shd w:val="clear" w:color="auto" w:fill="FFFFFF"/>
        <w:spacing w:after="0" w:line="240" w:lineRule="auto"/>
        <w:rPr>
          <w:rFonts w:eastAsia="Times New Roman" w:cs="Times New Roman" w:asciiTheme="majorHAnsi" w:hAnsiTheme="majorHAnsi"/>
          <w:lang w:eastAsia="cs-CZ"/>
        </w:rPr>
      </w:pPr>
      <w:r w:rsidRPr="002D5F9F">
        <w:rPr>
          <w:rFonts w:eastAsia="Times New Roman" w:cs="Calibri" w:asciiTheme="majorHAnsi" w:hAnsiTheme="majorHAnsi"/>
          <w:lang w:eastAsia="cs-CZ"/>
        </w:rPr>
        <w:t> </w:t>
      </w:r>
    </w:p>
    <w:p w:rsidRPr="002D5F9F" w:rsidR="00005CD3" w:rsidRDefault="00005CD3">
      <w:pPr>
        <w:rPr>
          <w:rFonts w:asciiTheme="majorHAnsi" w:hAnsiTheme="majorHAnsi"/>
        </w:rPr>
      </w:pPr>
    </w:p>
    <w:sectPr w:rsidRPr="002D5F9F" w:rsidR="0000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9F"/>
    <w:rsid w:val="00005CD3"/>
    <w:rsid w:val="002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7F933AD6-C0FA-408E-B61F-2E2E3613485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5F9F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36653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4464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Mode="External" Target="https://www.esfcr.cz/detail-clanku/-/asset_publisher/BBFAoaudKGfE/content/formulare" Type="http://schemas.openxmlformats.org/officeDocument/2006/relationships/hyperlink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605</properties:Words>
  <properties:Characters>3576</properties:Characters>
  <properties:Lines>29</properties:Lines>
  <properties:Paragraphs>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4173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2017-12-14T16:56:00Z</dcterms:created>
  <dc:creator/>
  <dc:description/>
  <cp:keywords/>
  <cp:lastModifiedBy/>
  <dcterms:modified xmlns:xsi="http://www.w3.org/2001/XMLSchema-instance" xsi:type="dcterms:W3CDTF">2017-12-14T16:58:00Z</dcterms:modified>
  <cp:revision>1</cp:revision>
  <dc:subject/>
  <dc:title/>
</cp:coreProperties>
</file>