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D69D" w14:textId="77777777" w:rsidR="00985433" w:rsidRPr="003C2457" w:rsidRDefault="00985433" w:rsidP="00985433">
      <w:pPr>
        <w:rPr>
          <w:b/>
        </w:rPr>
      </w:pPr>
      <w:r w:rsidRPr="003C2457">
        <w:rPr>
          <w:b/>
        </w:rPr>
        <w:t>Podmínky použití podpory z Operačního programu Zaměstnanost (dále jen „Podmínky“)</w:t>
      </w:r>
    </w:p>
    <w:p w14:paraId="39D0E7E2" w14:textId="08BE0B20" w:rsidR="00D03E09" w:rsidRPr="00B62619" w:rsidRDefault="00D03E09" w:rsidP="00D03E09">
      <w:r w:rsidRPr="00B62619">
        <w:t>Na základě žádosti o podporu z Operačního programu Zaměstnanost (dále jen „OPZ“) jsou podmínky realizace projektu […]</w:t>
      </w:r>
      <w:r w:rsidRPr="00B62619">
        <w:rPr>
          <w:rStyle w:val="Znakapoznpodarou"/>
        </w:rPr>
        <w:footnoteReference w:id="1"/>
      </w:r>
      <w:r w:rsidRPr="00B62619">
        <w:t xml:space="preserve"> registrační číslo […], prioritní osa OPZ: […] (dále jen „projekt“) stanoveny takto:</w:t>
      </w:r>
    </w:p>
    <w:p w14:paraId="1E5C9F59" w14:textId="77777777" w:rsidR="00D03E09" w:rsidRPr="00B62619" w:rsidRDefault="00D03E09" w:rsidP="00D03E09"/>
    <w:p w14:paraId="6259CF6E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 - Obecné vymezení</w:t>
      </w:r>
    </w:p>
    <w:p w14:paraId="2A778E59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14:paraId="479CA893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název</w:t>
      </w:r>
      <w:r w:rsidRPr="00B62619">
        <w:rPr>
          <w:rFonts w:ascii="Arial" w:hAnsi="Arial" w:cs="Arial"/>
        </w:rPr>
        <w:t>]</w:t>
      </w:r>
    </w:p>
    <w:p w14:paraId="5FFBEABD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adresa sídla</w:t>
      </w:r>
      <w:r w:rsidRPr="00B62619">
        <w:rPr>
          <w:rFonts w:ascii="Arial" w:hAnsi="Arial" w:cs="Arial"/>
        </w:rPr>
        <w:t>]</w:t>
      </w:r>
    </w:p>
    <w:p w14:paraId="5E693E9B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>Jejímž/Jehož jménem jedná:</w:t>
      </w:r>
      <w:r w:rsidRPr="00B62619">
        <w:t xml:space="preserve"> </w:t>
      </w:r>
      <w:r w:rsidRPr="00B62619">
        <w:rPr>
          <w:rFonts w:ascii="Arial" w:hAnsi="Arial" w:cs="Arial"/>
        </w:rPr>
        <w:t xml:space="preserve">[…] </w:t>
      </w:r>
    </w:p>
    <w:p w14:paraId="0693BA5F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Výše prostředků na realizaci projektu</w:t>
      </w:r>
    </w:p>
    <w:p w14:paraId="6C617DDD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240"/>
        <w:rPr>
          <w:sz w:val="22"/>
          <w:szCs w:val="22"/>
        </w:rPr>
      </w:pPr>
      <w:r w:rsidRPr="00B62619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D03E09" w:rsidRPr="00B62619" w14:paraId="49A77277" w14:textId="77777777" w:rsidTr="0040236D">
        <w:trPr>
          <w:tblHeader/>
        </w:trPr>
        <w:tc>
          <w:tcPr>
            <w:tcW w:w="4680" w:type="dxa"/>
            <w:vAlign w:val="center"/>
          </w:tcPr>
          <w:p w14:paraId="73267FB1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26FDA59C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6BC71255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4F173DB7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D03E09" w:rsidRPr="00B62619" w14:paraId="79738423" w14:textId="77777777" w:rsidTr="0040236D">
        <w:tc>
          <w:tcPr>
            <w:tcW w:w="4680" w:type="dxa"/>
            <w:vAlign w:val="center"/>
          </w:tcPr>
          <w:p w14:paraId="37DF2908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0735DDAB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[...]</w:t>
            </w:r>
          </w:p>
        </w:tc>
        <w:tc>
          <w:tcPr>
            <w:tcW w:w="2268" w:type="dxa"/>
            <w:vAlign w:val="center"/>
          </w:tcPr>
          <w:p w14:paraId="3885A0B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D03E09" w:rsidRPr="00B62619" w14:paraId="2704AA81" w14:textId="77777777" w:rsidTr="0040236D">
        <w:tc>
          <w:tcPr>
            <w:tcW w:w="4680" w:type="dxa"/>
            <w:vAlign w:val="center"/>
          </w:tcPr>
          <w:p w14:paraId="5FA135FD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14:paraId="46A10DBE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B98FBE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D03E09" w:rsidRPr="00B62619" w14:paraId="0EE57168" w14:textId="77777777" w:rsidTr="0040236D">
        <w:tc>
          <w:tcPr>
            <w:tcW w:w="4680" w:type="dxa"/>
            <w:vAlign w:val="center"/>
          </w:tcPr>
          <w:p w14:paraId="790DEBAE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14:paraId="261763BB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A59B79A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100 %</w:t>
            </w:r>
          </w:p>
        </w:tc>
      </w:tr>
      <w:tr w:rsidR="00D03E09" w:rsidRPr="00B62619" w14:paraId="1E7C915E" w14:textId="77777777" w:rsidTr="0040236D">
        <w:tc>
          <w:tcPr>
            <w:tcW w:w="4680" w:type="dxa"/>
            <w:vAlign w:val="center"/>
          </w:tcPr>
          <w:p w14:paraId="133C49D2" w14:textId="77777777" w:rsidR="00D03E09" w:rsidRPr="00B62619" w:rsidRDefault="00D03E09" w:rsidP="00D03E09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  <w:p w14:paraId="0AE8C91F" w14:textId="77777777" w:rsidR="00D03E09" w:rsidRPr="00B62619" w:rsidRDefault="00D03E09" w:rsidP="00D03E09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</w:tc>
        <w:tc>
          <w:tcPr>
            <w:tcW w:w="2124" w:type="dxa"/>
            <w:vAlign w:val="center"/>
          </w:tcPr>
          <w:p w14:paraId="1F7856D9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66A8793A" w14:textId="77777777" w:rsidR="00D03E09" w:rsidRPr="00B62619" w:rsidRDefault="00D03E09" w:rsidP="0040236D">
            <w:pPr>
              <w:pStyle w:val="Tabulkatext"/>
              <w:spacing w:before="0" w:after="0"/>
            </w:pPr>
          </w:p>
          <w:p w14:paraId="683FA153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C1CE5A2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2BA27B0D" w14:textId="77777777" w:rsidR="00D03E09" w:rsidRPr="00B62619" w:rsidRDefault="00D03E09" w:rsidP="0040236D">
            <w:pPr>
              <w:pStyle w:val="Tabulkatext"/>
              <w:spacing w:before="0" w:after="0"/>
            </w:pPr>
          </w:p>
          <w:p w14:paraId="13577DAA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D03E09" w:rsidRPr="00B62619" w14:paraId="7B266AB2" w14:textId="77777777" w:rsidTr="0040236D">
        <w:tc>
          <w:tcPr>
            <w:tcW w:w="4680" w:type="dxa"/>
            <w:vAlign w:val="center"/>
          </w:tcPr>
          <w:p w14:paraId="2BE175E0" w14:textId="77777777" w:rsidR="00D03E09" w:rsidRPr="00B62619" w:rsidRDefault="00D03E09" w:rsidP="00D03E09">
            <w:pPr>
              <w:pStyle w:val="Tabulkatext"/>
              <w:numPr>
                <w:ilvl w:val="0"/>
                <w:numId w:val="56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14:paraId="0373EB1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110EAD9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D03E09" w:rsidRPr="00B62619" w14:paraId="76B3F130" w14:textId="77777777" w:rsidTr="0040236D">
        <w:tc>
          <w:tcPr>
            <w:tcW w:w="4680" w:type="dxa"/>
            <w:vAlign w:val="center"/>
          </w:tcPr>
          <w:p w14:paraId="0BD81DA3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14:paraId="7CF5AA23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778CFC32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D03E09" w:rsidRPr="00B62619" w14:paraId="02B7856D" w14:textId="77777777" w:rsidTr="0040236D">
        <w:tc>
          <w:tcPr>
            <w:tcW w:w="4680" w:type="dxa"/>
            <w:vAlign w:val="center"/>
          </w:tcPr>
          <w:p w14:paraId="7038B559" w14:textId="77777777" w:rsidR="00D03E09" w:rsidRPr="00B62619" w:rsidRDefault="00D03E09" w:rsidP="00D03E09">
            <w:pPr>
              <w:pStyle w:val="Tabulkatext"/>
              <w:numPr>
                <w:ilvl w:val="0"/>
                <w:numId w:val="57"/>
              </w:numPr>
              <w:spacing w:before="0" w:after="0"/>
            </w:pPr>
            <w:r w:rsidRPr="00B62619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14:paraId="4A91FB5C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D64E524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D03E09" w:rsidRPr="00B62619" w14:paraId="12C225C1" w14:textId="77777777" w:rsidTr="0040236D">
        <w:trPr>
          <w:trHeight w:val="70"/>
        </w:trPr>
        <w:tc>
          <w:tcPr>
            <w:tcW w:w="4680" w:type="dxa"/>
            <w:vAlign w:val="center"/>
          </w:tcPr>
          <w:p w14:paraId="558656ED" w14:textId="77777777" w:rsidR="00D03E09" w:rsidRPr="00B62619" w:rsidRDefault="00D03E09" w:rsidP="00D03E09">
            <w:pPr>
              <w:pStyle w:val="Tabulkatext"/>
              <w:numPr>
                <w:ilvl w:val="0"/>
                <w:numId w:val="57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14:paraId="1DC1A203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8710464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</w:tbl>
    <w:p w14:paraId="3D2F2425" w14:textId="77777777" w:rsidR="00D03E09" w:rsidRPr="00B62619" w:rsidRDefault="00D03E09" w:rsidP="00D03E09">
      <w:pPr>
        <w:pStyle w:val="slovanseznam"/>
        <w:keepNext/>
        <w:rPr>
          <w:i/>
          <w:sz w:val="22"/>
          <w:szCs w:val="22"/>
        </w:rPr>
      </w:pPr>
      <w:r w:rsidRPr="00B62619">
        <w:rPr>
          <w:i/>
          <w:sz w:val="22"/>
          <w:szCs w:val="22"/>
        </w:rPr>
        <w:t>/ Alternativa pro projekty s pro-rata:</w:t>
      </w:r>
    </w:p>
    <w:p w14:paraId="548A80C6" w14:textId="77777777" w:rsidR="00D03E09" w:rsidRPr="00B62619" w:rsidRDefault="00D03E09" w:rsidP="00D03E09">
      <w:pPr>
        <w:pStyle w:val="slovanseznam"/>
        <w:keepNext/>
        <w:tabs>
          <w:tab w:val="num" w:pos="720"/>
        </w:tabs>
        <w:spacing w:after="60"/>
        <w:ind w:left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</w:t>
      </w:r>
      <w:r w:rsidRPr="00B62619">
        <w:rPr>
          <w:sz w:val="22"/>
          <w:szCs w:val="22"/>
        </w:rPr>
        <w:lastRenderedPageBreak/>
        <w:t>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2"/>
      </w:r>
      <w:r w:rsidRPr="00B62619">
        <w:rPr>
          <w:sz w:val="22"/>
          <w:szCs w:val="22"/>
        </w:rPr>
        <w:t xml:space="preserve"> Maximální výše prostředků a 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D03E09" w:rsidRPr="00B62619" w14:paraId="51813F4E" w14:textId="77777777" w:rsidTr="0040236D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03E5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B7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4BC92E4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B62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</w:t>
            </w:r>
            <w:r w:rsidRPr="00B62619">
              <w:rPr>
                <w:rStyle w:val="Znakapoznpodarou"/>
                <w:b/>
                <w:snapToGrid w:val="0"/>
              </w:rPr>
              <w:footnoteReference w:id="3"/>
            </w:r>
            <w:r w:rsidRPr="00B62619">
              <w:rPr>
                <w:b/>
                <w:snapToGrid w:val="0"/>
              </w:rPr>
              <w:t xml:space="preserve"> (v %)</w:t>
            </w:r>
          </w:p>
        </w:tc>
      </w:tr>
      <w:tr w:rsidR="00D03E09" w:rsidRPr="00B62619" w14:paraId="1494B227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6FB9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27D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5690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D03E09" w:rsidRPr="00B62619" w14:paraId="06200763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280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20B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D04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D03E09" w:rsidRPr="00B62619" w14:paraId="0ACFF78B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07C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A94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1F13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D03E09" w:rsidRPr="00B62619" w14:paraId="25CF91AC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4897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26E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FD2D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6BF02C1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43A9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B82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2E26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4"/>
            </w:r>
          </w:p>
        </w:tc>
      </w:tr>
      <w:tr w:rsidR="00D03E09" w:rsidRPr="00B62619" w14:paraId="7413DF0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DDB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7EB" w14:textId="77777777" w:rsidR="00D03E09" w:rsidRPr="00B62619" w:rsidRDefault="00D03E09" w:rsidP="0040236D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3180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5"/>
            </w:r>
          </w:p>
        </w:tc>
      </w:tr>
      <w:tr w:rsidR="00D03E09" w:rsidRPr="00B62619" w14:paraId="230E6C38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98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A528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854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20ABC416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61AE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909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EC9B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rStyle w:val="Znakapoznpodarou"/>
              </w:rPr>
              <w:footnoteReference w:id="6"/>
            </w:r>
          </w:p>
        </w:tc>
      </w:tr>
      <w:tr w:rsidR="00D03E09" w:rsidRPr="00B62619" w14:paraId="69F1155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84B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051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BB2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snapToGrid w:val="0"/>
                <w:vertAlign w:val="superscript"/>
              </w:rPr>
              <w:footnoteReference w:id="7"/>
            </w:r>
          </w:p>
        </w:tc>
      </w:tr>
      <w:tr w:rsidR="00D03E09" w:rsidRPr="00B62619" w14:paraId="168236F3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7C3F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316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9E8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2E87CF85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CE90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7D3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31D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3ABA5255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EEF2" w14:textId="77777777" w:rsidR="00D03E09" w:rsidRPr="00B62619" w:rsidRDefault="00D03E09" w:rsidP="0040236D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449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DB1A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337B0539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5136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F4A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B5FA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  <w:tr w:rsidR="00D03E09" w:rsidRPr="00B62619" w14:paraId="413D116B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278A" w14:textId="77777777" w:rsidR="00D03E09" w:rsidRPr="00B62619" w:rsidRDefault="00D03E09" w:rsidP="00D03E09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B8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A3E" w14:textId="77777777" w:rsidR="00D03E09" w:rsidRPr="00B62619" w:rsidRDefault="00D03E09" w:rsidP="0040236D">
            <w:pPr>
              <w:pStyle w:val="Tabulkatext"/>
              <w:spacing w:before="0" w:after="0" w:line="276" w:lineRule="auto"/>
            </w:pPr>
          </w:p>
        </w:tc>
      </w:tr>
    </w:tbl>
    <w:p w14:paraId="5ED207FE" w14:textId="77777777" w:rsidR="00D03E09" w:rsidRPr="00B62619" w:rsidRDefault="00D03E09" w:rsidP="00D03E09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62619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14:paraId="3A89781C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before="120"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14:paraId="46D1A609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14:paraId="73DB7544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14:paraId="452EB547" w14:textId="77777777" w:rsidR="00D03E09" w:rsidRPr="00B62619" w:rsidRDefault="00D03E09" w:rsidP="00D03E09">
      <w:pPr>
        <w:pStyle w:val="slovanseznam"/>
        <w:numPr>
          <w:ilvl w:val="1"/>
          <w:numId w:val="43"/>
        </w:numPr>
        <w:spacing w:after="24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Režim financování projektu: ex-post.</w:t>
      </w:r>
    </w:p>
    <w:p w14:paraId="2BED3D23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Účel podpory</w:t>
      </w:r>
    </w:p>
    <w:p w14:paraId="474F211C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rámci realizace projektu identifikovaného názvem a registračním číslem v úvodní části těchto Podmínek je účelem podpory: […]</w:t>
      </w:r>
      <w:r w:rsidRPr="00B62619">
        <w:rPr>
          <w:rStyle w:val="Znakapoznpodarou"/>
          <w:sz w:val="22"/>
          <w:szCs w:val="22"/>
        </w:rPr>
        <w:footnoteReference w:id="8"/>
      </w:r>
    </w:p>
    <w:p w14:paraId="41B60E42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004DC0B7" w14:textId="77777777" w:rsidR="00D03E09" w:rsidRPr="00B62619" w:rsidRDefault="00D03E09" w:rsidP="00D03E09">
      <w:pPr>
        <w:pStyle w:val="slovanseznam"/>
        <w:keepNext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Lhůta, v níž má být dosaženo účelu</w:t>
      </w:r>
    </w:p>
    <w:p w14:paraId="41E6CB93" w14:textId="77777777" w:rsidR="00D03E09" w:rsidRPr="00B62619" w:rsidRDefault="00D03E09" w:rsidP="00D03E09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Účelu podpory musí být dosaženo ve lhůtě: </w:t>
      </w:r>
    </w:p>
    <w:p w14:paraId="4E1CAEDA" w14:textId="77777777" w:rsidR="00D03E09" w:rsidRPr="00B62619" w:rsidRDefault="00D03E09" w:rsidP="00D03E09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datum zahájení realizace projektu:</w:t>
      </w:r>
      <w:r w:rsidRPr="00B62619">
        <w:rPr>
          <w:rFonts w:ascii="Arial" w:hAnsi="Arial" w:cs="Arial"/>
        </w:rPr>
        <w:tab/>
        <w:t>[…]</w:t>
      </w:r>
    </w:p>
    <w:p w14:paraId="3D6CD15D" w14:textId="77777777" w:rsidR="00D03E09" w:rsidRPr="00B62619" w:rsidRDefault="00D03E09" w:rsidP="00D03E09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datum ukončení realizace projektu nejpozději do:</w:t>
      </w:r>
      <w:r w:rsidRPr="00B62619">
        <w:rPr>
          <w:rFonts w:ascii="Arial" w:hAnsi="Arial" w:cs="Arial"/>
        </w:rPr>
        <w:tab/>
        <w:t>[…]</w:t>
      </w:r>
    </w:p>
    <w:p w14:paraId="12A8B368" w14:textId="77777777" w:rsidR="00D03E09" w:rsidRPr="00B62619" w:rsidRDefault="00D03E09" w:rsidP="00D03E09">
      <w:pPr>
        <w:pStyle w:val="slovanseznam"/>
        <w:numPr>
          <w:ilvl w:val="0"/>
          <w:numId w:val="35"/>
        </w:numPr>
        <w:spacing w:before="12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Vzájemná komunikace MPSV a příjemce</w:t>
      </w:r>
    </w:p>
    <w:p w14:paraId="6CF74F5B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a útvar zajišťující roli poskytovatele podpory z OPZ (dále jen „MPSV“)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14:paraId="66AC4733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p w14:paraId="7A345401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 – Obecné povinnosti příjemce </w:t>
      </w:r>
    </w:p>
    <w:p w14:paraId="44879A75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Užití podpory </w:t>
      </w:r>
    </w:p>
    <w:p w14:paraId="213D4A28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14:paraId="4752973B" w14:textId="77777777" w:rsidR="00D03E09" w:rsidRPr="00B62619" w:rsidRDefault="00D03E09" w:rsidP="00D03E09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Obecná část pravidel pro žadatele a příjemce v rámci OPZ a</w:t>
      </w:r>
    </w:p>
    <w:p w14:paraId="46807CD6" w14:textId="77777777" w:rsidR="00D03E09" w:rsidRPr="00B62619" w:rsidRDefault="00D03E09" w:rsidP="00D03E09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[…]</w:t>
      </w:r>
      <w:r w:rsidRPr="00B62619">
        <w:rPr>
          <w:rStyle w:val="Znakapoznpodarou"/>
          <w:sz w:val="22"/>
          <w:szCs w:val="22"/>
        </w:rPr>
        <w:footnoteReference w:id="9"/>
      </w:r>
      <w:r w:rsidRPr="00B62619">
        <w:rPr>
          <w:sz w:val="22"/>
          <w:szCs w:val="22"/>
        </w:rPr>
        <w:t xml:space="preserve">  </w:t>
      </w:r>
    </w:p>
    <w:p w14:paraId="4A4205BE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uveřejněna na webovém portálu MPSV </w:t>
      </w:r>
      <w:hyperlink r:id="rId11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. </w:t>
      </w:r>
    </w:p>
    <w:p w14:paraId="61E3285B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řídit se při realizaci projektu podmínkami upravenými v Pravidlech OPZ, nestanoví-li tyto Podmínky jinak.</w:t>
      </w:r>
    </w:p>
    <w:p w14:paraId="62901F32" w14:textId="77777777" w:rsidR="00D03E09" w:rsidRPr="00B62619" w:rsidRDefault="00D03E09" w:rsidP="00D03E09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</w:t>
      </w:r>
    </w:p>
    <w:p w14:paraId="4E09AFD5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Splnění účelu a realizace projektu</w:t>
      </w:r>
    </w:p>
    <w:p w14:paraId="64AB631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splnit účel podpory uvedený v části I bodě 3 těchto Podmínek. </w:t>
      </w:r>
    </w:p>
    <w:p w14:paraId="1E04FB44" w14:textId="77777777" w:rsidR="00D03E09" w:rsidRPr="00B62619" w:rsidRDefault="00D03E09" w:rsidP="00D03E09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realizovat projekt v souladu s Informací o projektu, která je přílohou č. 1 těchto Podmínek, a to ve znění jejích případných změn, k jejichž provedení je příjemce oprávněn dle Pravidel OPZ bez, anebo ve znění změn, které MPSV dle Pravidel OPZ schválilo.</w:t>
      </w:r>
    </w:p>
    <w:p w14:paraId="402822FD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Způsobilé výdaje</w:t>
      </w:r>
    </w:p>
    <w:p w14:paraId="5ED32218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14:paraId="64CFD8EB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14:paraId="14C1A649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Udržitelnost projektu </w:t>
      </w:r>
    </w:p>
    <w:p w14:paraId="6414FC1C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</w:t>
      </w:r>
      <w:r w:rsidRPr="00B62619">
        <w:rPr>
          <w:rFonts w:ascii="Arial" w:hAnsi="Arial" w:cs="Arial"/>
        </w:rPr>
        <w:lastRenderedPageBreak/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 rybářském fondu, o obecných ustanoveních o Evropském fondu pro regionální rozvoj, Evropském sociálním fondu, Fondu soudržnosti a Evropském námořním a rybářském fondu a o zrušení nařízení Rady (ES) č. 1083/2006).</w:t>
      </w:r>
    </w:p>
    <w:p w14:paraId="1418A3DA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Vedení účetnictví </w:t>
      </w:r>
    </w:p>
    <w:p w14:paraId="1052A85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7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14:paraId="4E1078F4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14:paraId="68FD0BB2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Zakázky </w:t>
      </w:r>
    </w:p>
    <w:p w14:paraId="4EB68A73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Při zadávání zakázek v rámci realizace projektu je příjemce povinen postupovat v souladu s</w:t>
      </w:r>
      <w:r w:rsidRPr="00B626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2619">
        <w:rPr>
          <w:sz w:val="22"/>
          <w:szCs w:val="22"/>
        </w:rPr>
        <w:t>pravidly pro zadávání zakázek, jež jsou stanovena v Obecné části pravidel pro žadatele a příjemce v rámci OPZ.</w:t>
      </w:r>
    </w:p>
    <w:p w14:paraId="4BEA2F00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14:paraId="7219E8F1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Plnění politik Evropské unie</w:t>
      </w:r>
    </w:p>
    <w:p w14:paraId="670A4C80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14:paraId="1125BA5F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Kontrola </w:t>
      </w:r>
    </w:p>
    <w:p w14:paraId="6F6B8941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 finanční správy, Ministerstvo financí, Nejvyšší kontrolní úřad, Evropská komise a Evropský účetní dvůr, případně další orgány oprávněné k výkonu kontroly.</w:t>
      </w:r>
    </w:p>
    <w:p w14:paraId="0B7D6C0A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Informační a komunikační opatření</w:t>
      </w:r>
    </w:p>
    <w:p w14:paraId="65A684FC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provádět informační a komunikační opatření projektu v souladu s Pravidly OPZ.</w:t>
      </w:r>
    </w:p>
    <w:p w14:paraId="4048B11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lastRenderedPageBreak/>
        <w:t xml:space="preserve">Příjemce je povinen zajistit nápravu nedostatků týkajících se provádění informačních a komunikačních opatření projektu ve lhůtě a způsobem specifikovaným ve výzvě k provedení této nápravy, kterou příjemci adresuje MPSV. </w:t>
      </w:r>
    </w:p>
    <w:p w14:paraId="3FBE3DEF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Poskytování údajů o realizaci projektu </w:t>
      </w:r>
    </w:p>
    <w:p w14:paraId="005AC25C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14:paraId="34DEF04E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Oznamovací povinnost</w:t>
      </w:r>
    </w:p>
    <w:p w14:paraId="67B5B29B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dodržet Pravidla OPZ upravující oznamování změn týkajících se projektu.</w:t>
      </w:r>
    </w:p>
    <w:p w14:paraId="4091DD78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Zákaz čerpání jiných podpor</w:t>
      </w:r>
    </w:p>
    <w:p w14:paraId="36EA136B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nesmí na výdaje projektu uhrazené z prostředků této podpory čerpat prostředky z jiných finančních nástrojů Evropské unie či z jiných veřejných prostředků. Pokud byl určitý výdaj uhrazen z podpory pouze z části, týká se zákaz podle předchozí věty pouze této části výdaje. </w:t>
      </w:r>
    </w:p>
    <w:p w14:paraId="4CF7CD02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Vypořádání projektu</w:t>
      </w:r>
    </w:p>
    <w:p w14:paraId="59809719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Pokud je to relevantní,</w:t>
      </w:r>
      <w:r w:rsidRPr="00B62619">
        <w:t xml:space="preserve"> p</w:t>
      </w:r>
      <w:r w:rsidRPr="00B62619">
        <w:rPr>
          <w:sz w:val="22"/>
          <w:szCs w:val="22"/>
        </w:rPr>
        <w:t>říjemce je povinen podporu finančně vypořádat v souladu s rozpočtovými pravidly a aktuálně platnou vyhláškou upravující zásady a lhůty finančního vypořádání vztahů se státním rozpočtem.</w:t>
      </w:r>
      <w:r w:rsidRPr="00B62619">
        <w:rPr>
          <w:sz w:val="22"/>
          <w:szCs w:val="22"/>
          <w:vertAlign w:val="superscript"/>
        </w:rPr>
        <w:footnoteReference w:id="10"/>
      </w:r>
    </w:p>
    <w:p w14:paraId="35317DF6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Uchovávání dokumentů</w:t>
      </w:r>
    </w:p>
    <w:p w14:paraId="46BA2514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B62619">
        <w:rPr>
          <w:rStyle w:val="Znakapoznpodarou"/>
          <w:rFonts w:ascii="Arial" w:hAnsi="Arial" w:cs="Arial"/>
        </w:rPr>
        <w:footnoteReference w:id="11"/>
      </w:r>
      <w:r w:rsidRPr="00B62619">
        <w:rPr>
          <w:rFonts w:ascii="Arial" w:hAnsi="Arial" w:cs="Arial"/>
        </w:rPr>
        <w:t xml:space="preserve"> a Pravidly OPZ.</w:t>
      </w:r>
    </w:p>
    <w:p w14:paraId="6E2D3A84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Péče o majetek </w:t>
      </w:r>
    </w:p>
    <w:p w14:paraId="582ADA61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iCs/>
          <w:sz w:val="22"/>
          <w:szCs w:val="22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B62619">
        <w:rPr>
          <w:sz w:val="22"/>
          <w:szCs w:val="22"/>
        </w:rPr>
        <w:t>.</w:t>
      </w:r>
    </w:p>
    <w:p w14:paraId="7F08A1D0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iCs/>
          <w:sz w:val="22"/>
          <w:szCs w:val="22"/>
        </w:rPr>
      </w:pPr>
    </w:p>
    <w:p w14:paraId="09349BF5" w14:textId="77777777" w:rsidR="00D03E09" w:rsidRPr="00B62619" w:rsidRDefault="00D03E09" w:rsidP="00D03E09">
      <w:pPr>
        <w:pStyle w:val="slovanseznam"/>
        <w:keepNext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Práva duševního vlastnictví</w:t>
      </w:r>
    </w:p>
    <w:p w14:paraId="424FAEFD" w14:textId="77777777" w:rsidR="00D03E09" w:rsidRPr="00B62619" w:rsidRDefault="00D03E09" w:rsidP="00D03E09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14:paraId="05F90777" w14:textId="77777777" w:rsidR="00D03E09" w:rsidRPr="00B62619" w:rsidRDefault="00D03E09" w:rsidP="00D03E09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Partnerství</w:t>
      </w:r>
      <w:r w:rsidRPr="00B62619">
        <w:rPr>
          <w:bCs/>
          <w:sz w:val="22"/>
          <w:szCs w:val="22"/>
          <w:vertAlign w:val="superscript"/>
        </w:rPr>
        <w:footnoteReference w:id="12"/>
      </w:r>
    </w:p>
    <w:p w14:paraId="3DA014C1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lastRenderedPageBreak/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14:paraId="4149169E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 </w:t>
      </w:r>
    </w:p>
    <w:p w14:paraId="2BF57175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14:paraId="020E68FA" w14:textId="77777777" w:rsidR="00D03E09" w:rsidRPr="00B62619" w:rsidRDefault="00D03E09" w:rsidP="00D03E09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14:paraId="7DDDFFA1" w14:textId="77777777" w:rsidR="00D03E09" w:rsidRPr="00B62619" w:rsidRDefault="00D03E09" w:rsidP="00D03E09">
      <w:pPr>
        <w:pStyle w:val="slovanseznam"/>
        <w:numPr>
          <w:ilvl w:val="1"/>
          <w:numId w:val="44"/>
        </w:numPr>
        <w:spacing w:after="240"/>
      </w:pPr>
      <w:r w:rsidRPr="00B62619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 úplatu. </w:t>
      </w:r>
    </w:p>
    <w:p w14:paraId="48A4C843" w14:textId="77777777" w:rsidR="00D03E09" w:rsidRPr="00B62619" w:rsidRDefault="00D03E09" w:rsidP="00D03E09"/>
    <w:p w14:paraId="74A39E02" w14:textId="77777777" w:rsidR="00D03E09" w:rsidRPr="00B62619" w:rsidRDefault="00D03E09" w:rsidP="00D03E09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III – Specifické povinnosti příjemce týkající se realizace projektu </w:t>
      </w:r>
    </w:p>
    <w:p w14:paraId="43F1B39A" w14:textId="77777777" w:rsidR="00D03E09" w:rsidRPr="00B62619" w:rsidRDefault="00D03E09" w:rsidP="00D03E09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Vazba na výzvu k předkládání žádostí o podporu</w:t>
      </w:r>
    </w:p>
    <w:p w14:paraId="2A8404F8" w14:textId="77777777" w:rsidR="00D03E09" w:rsidRPr="00B62619" w:rsidRDefault="00D03E09" w:rsidP="00D03E09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14:paraId="25BF78C2" w14:textId="77777777" w:rsidR="00D03E09" w:rsidRPr="00B62619" w:rsidRDefault="00D03E09" w:rsidP="00D03E09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Cílovými skupinami projektu mohou být pouze:</w:t>
      </w:r>
    </w:p>
    <w:p w14:paraId="3D887C13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380CB753" w14:textId="77777777" w:rsidR="00D03E09" w:rsidRPr="00B62619" w:rsidRDefault="00D03E09" w:rsidP="00D03E09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Aktivity projektu musí spadat do vymezení:</w:t>
      </w:r>
    </w:p>
    <w:p w14:paraId="5AE1BD7F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212FA2E1" w14:textId="77777777" w:rsidR="00D03E09" w:rsidRPr="00B62619" w:rsidRDefault="00D03E09" w:rsidP="00D03E09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Územní vymezení:</w:t>
      </w:r>
    </w:p>
    <w:p w14:paraId="3B88613D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3"/>
      </w:r>
    </w:p>
    <w:p w14:paraId="7A073048" w14:textId="77777777" w:rsidR="00D03E09" w:rsidRPr="00B62619" w:rsidRDefault="00D03E09" w:rsidP="00D03E09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Podmínky monitorování projektu </w:t>
      </w:r>
    </w:p>
    <w:p w14:paraId="00D4332B" w14:textId="77777777" w:rsidR="00D03E09" w:rsidRPr="00B62619" w:rsidRDefault="00D03E09" w:rsidP="00D03E09">
      <w:pPr>
        <w:pStyle w:val="slovanseznam"/>
        <w:keepNext/>
        <w:numPr>
          <w:ilvl w:val="1"/>
          <w:numId w:val="45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naplnit celkové cílové hodnoty indikátorů uvedených v Informaci o projektu v příloze č. 1 těchto Podmínek; definice indikátorů je obsažena v Pravidlech OPZ.</w:t>
      </w:r>
    </w:p>
    <w:p w14:paraId="67BBB995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27CB757A" w14:textId="77777777" w:rsidR="00D03E09" w:rsidRPr="00B62619" w:rsidRDefault="00D03E09" w:rsidP="00D03E09">
      <w:pPr>
        <w:spacing w:after="60"/>
        <w:ind w:left="567"/>
      </w:pPr>
      <w:r w:rsidRPr="00B62619">
        <w:t xml:space="preserve">Pro zjištění celkové míry naplnění indikátorů výstupů se sečtou procenta naplnění cílových hodnot uvedených v Informaci o projektu v příloze č. 1 těchto Podmínek u jednotlivých indikátorů výstupů a vydělí se počtem těchto indikátorů. Pokud nebyla vyčerpána celková maximální výše podpory, snižují se cílové hodnoty v Informaci o projektu v příloze č. 1 těchto Podmínek tak, že se vynásobí podílem skutečně vyčerpané částky podpory k celkové maximální výši podpory. Překročení cílové </w:t>
      </w:r>
      <w:r w:rsidRPr="00B62619">
        <w:lastRenderedPageBreak/>
        <w:t>hodnoty jednotlivých indikátorů výstupů bude zohledněno maximálně v míře 120 %. Při zjištění celkové míry naplnění indikátorů výsledků se postupuje obdobně.</w:t>
      </w:r>
    </w:p>
    <w:p w14:paraId="4366A149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 a aktualizace údajů v IS KP14+ o zakázkách a kontrolách/auditech týkajících se projektu (s výjimkou kontrol provedených MPSV). Průběžnou zprávu o realizaci projektu je příjemce povinen předložit do konce prvního měsíce následujícího po ukončení monitorovacího období, závěrečnou zprávu o 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4"/>
      </w:r>
      <w:r w:rsidRPr="00B62619">
        <w:rPr>
          <w:sz w:val="22"/>
          <w:szCs w:val="22"/>
        </w:rPr>
        <w:t xml:space="preserve"> Aktualizaci údajů v IS KP14+ o zakázkách a kontrolách/auditech týkajících se projektu příjemce provádí minimálně k termínům pro předložení zpráv o realizaci projektu.</w:t>
      </w:r>
    </w:p>
    <w:p w14:paraId="534650CC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Vymezení monitorovacích období projektu, za které je příjemce povinen předložit zprávu o realizaci projektu:</w:t>
      </w:r>
    </w:p>
    <w:p w14:paraId="4B9695CC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6AFD9E54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14:paraId="1EAFF9F3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14:paraId="6014954D" w14:textId="77777777" w:rsidR="00D03E09" w:rsidRPr="00B62619" w:rsidRDefault="00D03E09" w:rsidP="00D03E09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Veřejná podpora a podpora de minimis</w:t>
      </w:r>
    </w:p>
    <w:p w14:paraId="10B08364" w14:textId="77777777" w:rsidR="00D03E09" w:rsidRPr="00B62619" w:rsidRDefault="00D03E09" w:rsidP="00D03E09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A</w:t>
      </w:r>
    </w:p>
    <w:p w14:paraId="5EAD53B1" w14:textId="77777777" w:rsidR="00D03E09" w:rsidRPr="00B62619" w:rsidRDefault="00D03E09" w:rsidP="00D03E09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které nezakládají veřejnou podporu žádnému subjektu)</w:t>
      </w:r>
    </w:p>
    <w:p w14:paraId="3A708844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poskytnutá na realizaci projektu nezakládá veřejnou podporu. </w:t>
      </w:r>
    </w:p>
    <w:p w14:paraId="0A285FD0" w14:textId="77777777" w:rsidR="00D03E09" w:rsidRPr="00B62619" w:rsidRDefault="00D03E09" w:rsidP="00D03E09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B</w:t>
      </w:r>
    </w:p>
    <w:p w14:paraId="49F07080" w14:textId="77777777" w:rsidR="00D03E09" w:rsidRPr="00B62619" w:rsidRDefault="00D03E09" w:rsidP="00D03E09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kde je část prostředků vyhrazena na zapojení dalších subjektů)</w:t>
      </w:r>
    </w:p>
    <w:p w14:paraId="2818B259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254"/>
        <w:gridCol w:w="3260"/>
      </w:tblGrid>
      <w:tr w:rsidR="00D03E09" w:rsidRPr="00B62619" w14:paraId="1ACA8135" w14:textId="77777777" w:rsidTr="0040236D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EBD9F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CEE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na zapojení dalších subjektů</w:t>
            </w:r>
            <w:r w:rsidRPr="00B62619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D13" w14:textId="77777777" w:rsidR="00D03E09" w:rsidRPr="00B62619" w:rsidRDefault="00D03E09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nezakládající veřejnou podporu</w:t>
            </w:r>
          </w:p>
        </w:tc>
      </w:tr>
      <w:tr w:rsidR="00D03E09" w:rsidRPr="00B62619" w14:paraId="03574B51" w14:textId="77777777" w:rsidTr="0040236D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9908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254" w:type="dxa"/>
          </w:tcPr>
          <w:p w14:paraId="4EBAAC62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  <w:tc>
          <w:tcPr>
            <w:tcW w:w="3260" w:type="dxa"/>
            <w:vAlign w:val="center"/>
          </w:tcPr>
          <w:p w14:paraId="6A741BB1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</w:tr>
      <w:tr w:rsidR="00D03E09" w:rsidRPr="00B62619" w14:paraId="013599D6" w14:textId="77777777" w:rsidTr="0040236D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14:paraId="46F11920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Částka způs. výdajů očištěných o příjmy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14:paraId="2A5DAB08" w14:textId="77777777" w:rsidR="00D03E09" w:rsidRPr="00B62619" w:rsidRDefault="00D03E09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6677138B" w14:textId="77777777" w:rsidR="00D03E09" w:rsidRPr="00B62619" w:rsidRDefault="00D03E09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t>[…]</w:t>
            </w:r>
          </w:p>
        </w:tc>
      </w:tr>
    </w:tbl>
    <w:p w14:paraId="005B4E29" w14:textId="77777777" w:rsidR="00D03E09" w:rsidRPr="00B62619" w:rsidRDefault="00D03E09" w:rsidP="00D03E09">
      <w:pPr>
        <w:pStyle w:val="slovanseznam"/>
        <w:keepNext/>
        <w:numPr>
          <w:ilvl w:val="1"/>
          <w:numId w:val="45"/>
        </w:numPr>
        <w:shd w:val="clear" w:color="auto" w:fill="D9D9D9" w:themeFill="background1" w:themeFillShade="D9"/>
        <w:spacing w:before="120"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Poskytovatelem veřejné podpory či podpory de minimis v rámci projektu je MPSV.</w:t>
      </w:r>
      <w:r w:rsidRPr="00B62619">
        <w:rPr>
          <w:sz w:val="22"/>
          <w:szCs w:val="22"/>
          <w:vertAlign w:val="superscript"/>
        </w:rPr>
        <w:footnoteReference w:id="16"/>
      </w:r>
      <w:r w:rsidRPr="00B62619">
        <w:rPr>
          <w:sz w:val="22"/>
          <w:szCs w:val="22"/>
        </w:rPr>
        <w:t xml:space="preserve"> </w:t>
      </w:r>
    </w:p>
    <w:p w14:paraId="49D21CD7" w14:textId="77777777" w:rsidR="00D03E09" w:rsidRPr="00B62619" w:rsidRDefault="00D03E09" w:rsidP="00D03E09">
      <w:pPr>
        <w:pStyle w:val="slovanseznam"/>
        <w:keepNext/>
        <w:numPr>
          <w:ilvl w:val="1"/>
          <w:numId w:val="45"/>
        </w:numPr>
        <w:shd w:val="clear" w:color="auto" w:fill="D9D9D9" w:themeFill="background1" w:themeFillShade="D9"/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v souvislosti s poskytováním veřejné podpory či podpory de 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12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 (používají se vždy aktuální formuláře).</w:t>
      </w:r>
    </w:p>
    <w:p w14:paraId="1CA92DF3" w14:textId="77777777" w:rsidR="00D03E09" w:rsidRPr="00B62619" w:rsidRDefault="00D03E09" w:rsidP="00D03E09">
      <w:pPr>
        <w:pStyle w:val="slovanseznam"/>
        <w:numPr>
          <w:ilvl w:val="1"/>
          <w:numId w:val="45"/>
        </w:numPr>
        <w:shd w:val="clear" w:color="auto" w:fill="D9D9D9" w:themeFill="background1" w:themeFillShade="D9"/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Pokud to aplikovaný režim veřejné podpory a rozhodnutí MPSV vyžaduje, příjemce je povinen od subjektů, kterým je veřejná podpora poskytnuta, zajistit spolufinancování </w:t>
      </w:r>
      <w:r w:rsidRPr="00B62619">
        <w:rPr>
          <w:sz w:val="22"/>
          <w:szCs w:val="22"/>
        </w:rPr>
        <w:lastRenderedPageBreak/>
        <w:t>z jejich zdrojů. Spolufinancování projektu ze zdrojů dalšího subjektu je příjmem projektu, který je příjemce povinen oznámit v rámci zprávy o realizaci projektu.</w:t>
      </w:r>
    </w:p>
    <w:p w14:paraId="21547615" w14:textId="77777777" w:rsidR="00D03E09" w:rsidRPr="00B62619" w:rsidRDefault="00D03E09" w:rsidP="00D03E09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Evaluační plán, evaluační zpráva a shrnutí sociální inovace</w:t>
      </w:r>
      <w:r w:rsidRPr="00B62619">
        <w:rPr>
          <w:b/>
          <w:bCs/>
          <w:sz w:val="22"/>
          <w:szCs w:val="22"/>
          <w:vertAlign w:val="superscript"/>
        </w:rPr>
        <w:footnoteReference w:id="17"/>
      </w:r>
    </w:p>
    <w:p w14:paraId="4042BCF3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14:paraId="5B578E64" w14:textId="77777777" w:rsidR="00D03E09" w:rsidRPr="00B62619" w:rsidRDefault="00D03E09" w:rsidP="00D03E09">
      <w:pPr>
        <w:pStyle w:val="slovanseznam"/>
        <w:numPr>
          <w:ilvl w:val="1"/>
          <w:numId w:val="45"/>
        </w:numPr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se závěrečnou zprávou o realizaci projektu je příjemce povinen předložit poskytovateli závěrečnou evaluační zprávu a shrnutí sociální inovace v souladu s požadavky uvedenými v …, která je přílohou č. 2 těchto Podmínek.</w:t>
      </w:r>
    </w:p>
    <w:p w14:paraId="48FE838B" w14:textId="77777777" w:rsidR="00D03E09" w:rsidRPr="00B62619" w:rsidRDefault="00D03E09" w:rsidP="00D03E09"/>
    <w:p w14:paraId="670956F1" w14:textId="77777777" w:rsidR="00D03E09" w:rsidRPr="00B62619" w:rsidRDefault="00D03E09" w:rsidP="00D03E09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IV - Platební podmínky </w:t>
      </w:r>
    </w:p>
    <w:p w14:paraId="6C594785" w14:textId="77777777" w:rsidR="00D03E09" w:rsidRPr="00B62619" w:rsidRDefault="00D03E09" w:rsidP="00D03E09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Žádost o platbu </w:t>
      </w:r>
    </w:p>
    <w:p w14:paraId="3819AFB4" w14:textId="77777777" w:rsidR="00D03E09" w:rsidRPr="00B62619" w:rsidRDefault="00D03E09" w:rsidP="00D03E09">
      <w:pPr>
        <w:pStyle w:val="slovanseznam"/>
        <w:keepNext/>
        <w:numPr>
          <w:ilvl w:val="1"/>
          <w:numId w:val="47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14:paraId="4C7665EE" w14:textId="77777777" w:rsidR="00D03E09" w:rsidRPr="00B62619" w:rsidRDefault="00D03E09" w:rsidP="00D03E09">
      <w:pPr>
        <w:pStyle w:val="slovanseznam"/>
        <w:numPr>
          <w:ilvl w:val="1"/>
          <w:numId w:val="47"/>
        </w:numPr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14:paraId="7531379F" w14:textId="77777777" w:rsidR="00D03E09" w:rsidRPr="00B62619" w:rsidRDefault="00D03E09" w:rsidP="00D03E09">
      <w:pPr>
        <w:pStyle w:val="slovanseznam"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Nepřímé náklady / Paušální sazba</w:t>
      </w:r>
    </w:p>
    <w:p w14:paraId="7C2FB8A2" w14:textId="77777777" w:rsidR="00D03E09" w:rsidRPr="00B62619" w:rsidRDefault="00D03E09" w:rsidP="00D03E09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14:paraId="4DCB1204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platné pro projekt: […] %</w:t>
      </w:r>
    </w:p>
    <w:p w14:paraId="027F0457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14:paraId="5DD62BC3" w14:textId="77777777" w:rsidR="00D03E09" w:rsidRPr="00B62619" w:rsidRDefault="00D03E09" w:rsidP="00D03E09">
      <w:r w:rsidRPr="00B62619">
        <w:t>/</w:t>
      </w:r>
    </w:p>
    <w:p w14:paraId="7C59AD7B" w14:textId="77777777" w:rsidR="00D03E09" w:rsidRPr="00B62619" w:rsidRDefault="00D03E09" w:rsidP="00D03E09">
      <w:r w:rsidRPr="00B62619">
        <w:t>Výdaje kryté paušální sazbou jsou považovány za uskutečněné ve výši, která je výsledkem násobku 40 % a částky odpovídající prokázaným způsobilým osobním nákladům projektu.</w:t>
      </w:r>
    </w:p>
    <w:p w14:paraId="17615021" w14:textId="77777777" w:rsidR="00D03E09" w:rsidRPr="00B62619" w:rsidRDefault="00D03E09" w:rsidP="00D03E09"/>
    <w:p w14:paraId="0B4BD2FD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V - Sankce </w:t>
      </w:r>
    </w:p>
    <w:p w14:paraId="76E9F4F2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Pozastavení financování</w:t>
      </w:r>
    </w:p>
    <w:p w14:paraId="0866DB3C" w14:textId="77777777" w:rsidR="00D03E09" w:rsidRPr="00B62619" w:rsidRDefault="00D03E09" w:rsidP="00D03E09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14:paraId="6CF52EE3" w14:textId="77777777" w:rsidR="00D03E09" w:rsidRPr="00B62619" w:rsidRDefault="00D03E09" w:rsidP="00D03E09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1514AD1C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Předčasné ukončení realizace z důvodu nedosažení milníků</w:t>
      </w:r>
    </w:p>
    <w:p w14:paraId="5541BB33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Pokud do termínu ….. nebudou způsobilé výdaje projektu schválené na základě předložených žádostí o platbu dosahovat minimálně … Kč, nebo pokud plnění indikátoru … </w:t>
      </w:r>
      <w:r w:rsidRPr="00B62619">
        <w:rPr>
          <w:i/>
          <w:sz w:val="22"/>
          <w:szCs w:val="22"/>
        </w:rPr>
        <w:lastRenderedPageBreak/>
        <w:t>(kód, název)</w:t>
      </w:r>
      <w:r w:rsidRPr="00B62619">
        <w:rPr>
          <w:sz w:val="22"/>
          <w:szCs w:val="22"/>
        </w:rPr>
        <w:t xml:space="preserve"> schválené na základě předložených zpráv o realizaci projektu do stejného data nedosáhne minimálně …, dochází k tomuto termínu k předčasnému ukončení realizace projektu. K tomuto stavu postačuje, že není překonána jedna z minimálních hranic uvedených výše v tomto bodu Podmínek.</w:t>
      </w:r>
      <w:r w:rsidRPr="00B62619">
        <w:rPr>
          <w:rStyle w:val="Znakapoznpodarou"/>
          <w:sz w:val="22"/>
          <w:szCs w:val="22"/>
        </w:rPr>
        <w:footnoteReference w:id="18"/>
      </w:r>
      <w:r w:rsidRPr="00B62619">
        <w:rPr>
          <w:sz w:val="22"/>
          <w:szCs w:val="22"/>
        </w:rPr>
        <w:t xml:space="preserve">  </w:t>
      </w:r>
    </w:p>
    <w:p w14:paraId="55B77DED" w14:textId="77777777" w:rsidR="00D03E09" w:rsidRPr="00B62619" w:rsidRDefault="00D03E09" w:rsidP="00D03E09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</w:pPr>
      <w:r w:rsidRPr="00B62619">
        <w:rPr>
          <w:sz w:val="22"/>
          <w:szCs w:val="22"/>
        </w:rP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14:paraId="7B66C43C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Diferenciace odvodu za porušení rozpočtové kázně dle závažnosti porušení podmínek</w:t>
      </w:r>
    </w:p>
    <w:p w14:paraId="30833B84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 porušení podmínek týkajících se účelu a udržitelnosti (uvedených v části II bodě 2.1 a 4) bude vyměřen odvod za porušení rozpočtové kázně podle § 44a odst. 1 písm. b) rozpočtových pravidel.</w:t>
      </w:r>
    </w:p>
    <w:p w14:paraId="358F0B40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 porušení podmínek neuvedených v části V bodech 3.1, 3.3 až 3.7, anebo 4, u 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14:paraId="4BAF56FD" w14:textId="77777777" w:rsidR="00D03E09" w:rsidRPr="00B62619" w:rsidRDefault="00D03E09" w:rsidP="00D03E09">
      <w:pPr>
        <w:spacing w:after="60"/>
        <w:ind w:left="567"/>
      </w:pPr>
      <w:r w:rsidRPr="00B62619">
        <w:t>Porušení povinností neuvedených v části V bodech 3.1, 3.3 až 3.7, anebo 4, u nichž není možné vyčíslit částku, v jaké byla porušena rozpočtová kázeň, povede podle § 44a odst. 4 písm. b) rozpočtových pravidel k odvodu za porušení rozpočtové kázně ve výši celkové dosud vynaložené podpory z OPZ.</w:t>
      </w:r>
    </w:p>
    <w:p w14:paraId="20A8FF5B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0E58F890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14:paraId="06447020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14:paraId="0A8E3DDD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povinností týkajících se vytvoření podmínek pro provedení kontroly (uvedených v části II bodě 8);</w:t>
      </w:r>
    </w:p>
    <w:p w14:paraId="0DE810A5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14:paraId="1AD336C0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povinnosti týkající se práv duševního vlastnictví (uvedené v části II bodě 16);</w:t>
      </w:r>
    </w:p>
    <w:p w14:paraId="33E82F0E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povinností týkajících se partnerství (uvedených v části II bodech 17.1 až 17.3);</w:t>
      </w:r>
    </w:p>
    <w:p w14:paraId="6D61F49D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62619">
        <w:t>dojde k porušení povinnosti uchovávat dokumenty (uvedené v části II bodě 14) a není možné stanovit výši podpory, ke které se dokument váže;</w:t>
      </w:r>
    </w:p>
    <w:p w14:paraId="61F224A4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62619">
        <w:t xml:space="preserve">dojde k porušení povinnosti předložit poskytovateli ve stanovené lhůtě evaluační plán (uvedené v části III bodě 4.1) nebo povinnosti předložit poskytovateli </w:t>
      </w:r>
      <w:r w:rsidRPr="00B62619">
        <w:lastRenderedPageBreak/>
        <w:t xml:space="preserve">ve stanovené lhůtě evaluační zprávu a shrnutí sociální inovace (uvedené v části III bodě 4.2); </w:t>
      </w:r>
    </w:p>
    <w:p w14:paraId="2174A04A" w14:textId="77777777" w:rsidR="00D03E09" w:rsidRPr="00B62619" w:rsidRDefault="00D03E09" w:rsidP="00D03E09">
      <w:pPr>
        <w:spacing w:after="60"/>
        <w:ind w:left="567"/>
      </w:pPr>
      <w:r w:rsidRPr="00B62619">
        <w:t>bude odvod za porušení rozpočtové kázně vyměřen dle § 44a odst. 4 písm. a) rozpočtových pravidel ve výši 0,5 % z celkové částky podpory.</w:t>
      </w:r>
    </w:p>
    <w:p w14:paraId="12360244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a) rozpočtových pravidel ve výši stanovené za porušení dané povinnosti v tabulce sankcí pro oblast zadávání obsažené v Obecné části pravidel pro žadatele a příjemce v rámci OPZ.</w:t>
      </w:r>
    </w:p>
    <w:p w14:paraId="3D0193D7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14:paraId="00916E3C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D03E09" w:rsidRPr="00B62619" w14:paraId="2F56E6CC" w14:textId="77777777" w:rsidTr="0040236D">
        <w:tc>
          <w:tcPr>
            <w:tcW w:w="4536" w:type="dxa"/>
          </w:tcPr>
          <w:p w14:paraId="663EA014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Celková míra naplnění indikátorů výstupů uvedených v Informaci o projektu v příloze č. 1</w:t>
            </w:r>
          </w:p>
        </w:tc>
        <w:tc>
          <w:tcPr>
            <w:tcW w:w="3897" w:type="dxa"/>
          </w:tcPr>
          <w:p w14:paraId="0B900686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Procento odvodu z částky, ve které byla porušena rozpočtová kázeň</w:t>
            </w:r>
          </w:p>
        </w:tc>
      </w:tr>
      <w:tr w:rsidR="00D03E09" w:rsidRPr="00B62619" w14:paraId="520B10D0" w14:textId="77777777" w:rsidTr="0040236D">
        <w:tc>
          <w:tcPr>
            <w:tcW w:w="4536" w:type="dxa"/>
            <w:vAlign w:val="center"/>
          </w:tcPr>
          <w:p w14:paraId="33E0E8B7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85 % až 70 %</w:t>
            </w:r>
          </w:p>
        </w:tc>
        <w:tc>
          <w:tcPr>
            <w:tcW w:w="3897" w:type="dxa"/>
          </w:tcPr>
          <w:p w14:paraId="564C8EB1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15 %</w:t>
            </w:r>
          </w:p>
        </w:tc>
      </w:tr>
      <w:tr w:rsidR="00D03E09" w:rsidRPr="00B62619" w14:paraId="267BB27D" w14:textId="77777777" w:rsidTr="0040236D">
        <w:tc>
          <w:tcPr>
            <w:tcW w:w="4536" w:type="dxa"/>
            <w:vAlign w:val="center"/>
          </w:tcPr>
          <w:p w14:paraId="0D90E6B7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70 % až 55 %</w:t>
            </w:r>
          </w:p>
        </w:tc>
        <w:tc>
          <w:tcPr>
            <w:tcW w:w="3897" w:type="dxa"/>
          </w:tcPr>
          <w:p w14:paraId="0AEFA438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20 %</w:t>
            </w:r>
          </w:p>
        </w:tc>
      </w:tr>
      <w:tr w:rsidR="00D03E09" w:rsidRPr="00B62619" w14:paraId="507188BF" w14:textId="77777777" w:rsidTr="0040236D">
        <w:tc>
          <w:tcPr>
            <w:tcW w:w="4536" w:type="dxa"/>
            <w:vAlign w:val="center"/>
          </w:tcPr>
          <w:p w14:paraId="727B3D73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55 % až 40 %</w:t>
            </w:r>
          </w:p>
        </w:tc>
        <w:tc>
          <w:tcPr>
            <w:tcW w:w="3897" w:type="dxa"/>
          </w:tcPr>
          <w:p w14:paraId="7CF14F06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30 %</w:t>
            </w:r>
          </w:p>
        </w:tc>
      </w:tr>
      <w:tr w:rsidR="00D03E09" w:rsidRPr="00B62619" w14:paraId="3E18A764" w14:textId="77777777" w:rsidTr="0040236D">
        <w:tc>
          <w:tcPr>
            <w:tcW w:w="4536" w:type="dxa"/>
            <w:vAlign w:val="center"/>
          </w:tcPr>
          <w:p w14:paraId="2E97F30F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40 %</w:t>
            </w:r>
          </w:p>
        </w:tc>
        <w:tc>
          <w:tcPr>
            <w:tcW w:w="3897" w:type="dxa"/>
          </w:tcPr>
          <w:p w14:paraId="165460F7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50 %</w:t>
            </w:r>
          </w:p>
        </w:tc>
      </w:tr>
    </w:tbl>
    <w:p w14:paraId="52DA81FE" w14:textId="77777777" w:rsidR="00D03E09" w:rsidRPr="00B62619" w:rsidRDefault="00D03E09" w:rsidP="00D03E09">
      <w:pPr>
        <w:spacing w:before="60" w:after="60"/>
        <w:ind w:left="567"/>
      </w:pPr>
      <w:r w:rsidRPr="00B62619">
        <w:t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</w:t>
      </w:r>
    </w:p>
    <w:p w14:paraId="23B9BEDF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D03E09" w:rsidRPr="00B62619" w14:paraId="3A7950DD" w14:textId="77777777" w:rsidTr="0040236D">
        <w:tc>
          <w:tcPr>
            <w:tcW w:w="4536" w:type="dxa"/>
          </w:tcPr>
          <w:p w14:paraId="27DC436F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Celková míra naplnění indikátorů výsledků uvedených v Informaci o projektu v příloze č. 1</w:t>
            </w:r>
          </w:p>
        </w:tc>
        <w:tc>
          <w:tcPr>
            <w:tcW w:w="3897" w:type="dxa"/>
          </w:tcPr>
          <w:p w14:paraId="4813CBAC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Procento odvodu z částky, ve které byla porušena rozpočtová kázeň</w:t>
            </w:r>
          </w:p>
        </w:tc>
      </w:tr>
      <w:tr w:rsidR="00D03E09" w:rsidRPr="00B62619" w14:paraId="45E57916" w14:textId="77777777" w:rsidTr="0040236D">
        <w:tc>
          <w:tcPr>
            <w:tcW w:w="4536" w:type="dxa"/>
          </w:tcPr>
          <w:p w14:paraId="5B1FFDC8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méně než 75 % až 50%</w:t>
            </w:r>
          </w:p>
        </w:tc>
        <w:tc>
          <w:tcPr>
            <w:tcW w:w="3897" w:type="dxa"/>
          </w:tcPr>
          <w:p w14:paraId="7557D724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>10 %</w:t>
            </w:r>
          </w:p>
        </w:tc>
      </w:tr>
      <w:tr w:rsidR="00D03E09" w:rsidRPr="00B62619" w14:paraId="4CE1536E" w14:textId="77777777" w:rsidTr="0040236D">
        <w:tc>
          <w:tcPr>
            <w:tcW w:w="4536" w:type="dxa"/>
          </w:tcPr>
          <w:p w14:paraId="0F632852" w14:textId="77777777" w:rsidR="00D03E09" w:rsidRPr="00B62619" w:rsidRDefault="00D03E09" w:rsidP="0040236D">
            <w:pPr>
              <w:pStyle w:val="Tabulkatext12"/>
              <w:spacing w:before="20" w:after="20"/>
            </w:pPr>
            <w:r w:rsidRPr="00B62619">
              <w:t xml:space="preserve">méně než 50 % </w:t>
            </w:r>
          </w:p>
        </w:tc>
        <w:tc>
          <w:tcPr>
            <w:tcW w:w="3897" w:type="dxa"/>
          </w:tcPr>
          <w:p w14:paraId="6A0E97C5" w14:textId="77777777" w:rsidR="00D03E09" w:rsidRPr="00B62619" w:rsidRDefault="00D03E09" w:rsidP="0040236D">
            <w:pPr>
              <w:pStyle w:val="Tabulkatext12"/>
              <w:spacing w:before="20" w:after="20"/>
              <w:rPr>
                <w:bCs/>
              </w:rPr>
            </w:pPr>
            <w:r w:rsidRPr="00B62619">
              <w:t>20 %</w:t>
            </w:r>
          </w:p>
        </w:tc>
      </w:tr>
    </w:tbl>
    <w:p w14:paraId="7B4A8E41" w14:textId="77777777" w:rsidR="00D03E09" w:rsidRPr="00B62619" w:rsidRDefault="00D03E09" w:rsidP="00D03E09">
      <w:pPr>
        <w:spacing w:before="60" w:after="60"/>
        <w:ind w:left="567"/>
      </w:pPr>
      <w:r w:rsidRPr="00B62619"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14:paraId="76405802" w14:textId="77777777" w:rsidR="00D03E09" w:rsidRPr="00B62619" w:rsidRDefault="00D03E09" w:rsidP="00D03E09">
      <w:pPr>
        <w:pStyle w:val="slovanseznam"/>
        <w:numPr>
          <w:ilvl w:val="1"/>
          <w:numId w:val="48"/>
        </w:numPr>
        <w:spacing w:before="60" w:after="60"/>
        <w:ind w:left="567" w:hanging="567"/>
      </w:pPr>
      <w:r w:rsidRPr="00B62619">
        <w:rPr>
          <w:sz w:val="22"/>
          <w:szCs w:val="22"/>
        </w:rPr>
        <w:t>V případě, že dojde k porušení povinnosti provádět příslušnou aktivitu projektu v 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14:paraId="1D7D436F" w14:textId="77777777" w:rsidR="00D03E09" w:rsidRPr="00B62619" w:rsidRDefault="00D03E09" w:rsidP="00D03E09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Porušení povinností, jež není porušením rozpočtové kázně</w:t>
      </w:r>
    </w:p>
    <w:p w14:paraId="6990B2CB" w14:textId="77777777" w:rsidR="00D03E09" w:rsidRPr="00B62619" w:rsidRDefault="00D03E09" w:rsidP="00D03E09">
      <w:pPr>
        <w:pStyle w:val="slovanseznam"/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6F27FBCC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 porušení povinností předložit MPSV zprávu o realizaci projektu (včetně žádosti o platbu), předložit MPSV vyžádanou informaci (uvedených v části II bodě 5.2 </w:t>
      </w:r>
      <w:r w:rsidRPr="00B62619">
        <w:lastRenderedPageBreak/>
        <w:t>a bodě 10, v části III v bodech 2.2 až 2.4) a prodlení bude trvat méně než 7 kalendářních dní, přičemž určující pro počátek běhu prodlení je termín vyplývající z těchto Podmínek ve znění případného vyjádření MPSV o změně termínu, které je příjemci k dispozici v MS2014+,</w:t>
      </w:r>
    </w:p>
    <w:p w14:paraId="6BF3AA15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předložit,</w:t>
      </w:r>
    </w:p>
    <w:p w14:paraId="7DD0D3E6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14:paraId="4F5E0A87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týkajících se provádění informačních a komunikačních opatření (uvedených v části II bodě 9), jež dle Pravidel OPZ není považováno za porušení rozpočtové kázně,</w:t>
      </w:r>
    </w:p>
    <w:p w14:paraId="65C6AD24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 porušení povinnosti týkající se oznamování (uvedené v části II bodě 11), včetně oznamování nepodstatných změn a v Pravidlech OPZ je pro dané pochybení stanoveno, že nezakládá porušení rozpočtové kázně, </w:t>
      </w:r>
    </w:p>
    <w:p w14:paraId="11ED1E97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B62619" w:rsidDel="00994D92">
        <w:t xml:space="preserve"> </w:t>
      </w:r>
      <w:r w:rsidRPr="00B62619">
        <w:t>(uvedených v části II bodě 13),</w:t>
      </w:r>
    </w:p>
    <w:p w14:paraId="50BB3888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výstupů uvedených v Informaci o projektu v příloze č. 1 těchto Podmínek z 85 % nebo více,  </w:t>
      </w:r>
    </w:p>
    <w:p w14:paraId="3974A3A8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výsledků uvedených v Informaci o projektu v příloze č. 1 těchto Podmínek ze 75 % nebo více, </w:t>
      </w:r>
    </w:p>
    <w:p w14:paraId="4AB72D3C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nedodržení finančního plánu projektu obsaženého v příloze č. 1 těchto Podmínek, příp. upraveného v režimu nepodstatných změn projektu,</w:t>
      </w:r>
    </w:p>
    <w:p w14:paraId="704F4264" w14:textId="77777777" w:rsidR="00D03E09" w:rsidRPr="00B62619" w:rsidRDefault="00D03E09" w:rsidP="00D03E09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dle části VI těchto Podmínek,</w:t>
      </w:r>
    </w:p>
    <w:p w14:paraId="2BB2F03D" w14:textId="77777777" w:rsidR="00D03E09" w:rsidRPr="00B62619" w:rsidRDefault="00D03E09" w:rsidP="00D03E09">
      <w:pPr>
        <w:pStyle w:val="Odrky311"/>
        <w:keepNext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povinnosti aktualizovat v IS KP14+ údaje o zakázkách a kontrolách/auditech týkajících se projektu,</w:t>
      </w:r>
    </w:p>
    <w:p w14:paraId="0AB71C05" w14:textId="77777777" w:rsidR="00D03E09" w:rsidRPr="00B62619" w:rsidRDefault="00D03E09" w:rsidP="00D03E09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nejedná se o porušení rozpočtové kázně ve smyslu rozpočtových pravidel.</w:t>
      </w:r>
    </w:p>
    <w:p w14:paraId="2DBAA6B6" w14:textId="77777777" w:rsidR="00D03E09" w:rsidRPr="00B62619" w:rsidRDefault="00D03E09" w:rsidP="00D03E09"/>
    <w:p w14:paraId="6C9A651D" w14:textId="77777777" w:rsidR="00D03E09" w:rsidRPr="00B62619" w:rsidRDefault="00D03E09" w:rsidP="00D03E09">
      <w:pPr>
        <w:shd w:val="clear" w:color="auto" w:fill="F2F2F2"/>
        <w:rPr>
          <w:rFonts w:ascii="Arial" w:eastAsia="Calibri" w:hAnsi="Arial" w:cs="Arial"/>
          <w:b/>
        </w:rPr>
      </w:pPr>
      <w:r w:rsidRPr="00B62619">
        <w:rPr>
          <w:rFonts w:ascii="Arial" w:eastAsia="Calibri" w:hAnsi="Arial" w:cs="Arial"/>
          <w:b/>
        </w:rPr>
        <w:t xml:space="preserve">Část VI – Pověření ke zpracování osobních údajů </w:t>
      </w:r>
    </w:p>
    <w:p w14:paraId="7A25F0EF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1C98F424" w14:textId="77777777" w:rsidR="00D03E09" w:rsidRPr="00B62619" w:rsidRDefault="00D03E09" w:rsidP="00D03E09">
      <w:pPr>
        <w:pStyle w:val="slovanseznam"/>
        <w:numPr>
          <w:ilvl w:val="1"/>
          <w:numId w:val="61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je jakožto správce podle čl. 6 odst. 1 písm. c) nařízení Evropského parlamentu a Rady (EU) 2016/679 ze dne 27. dubna 2016, o ochraně fyzických osob v souvislosti se zpracováním osobních údajů a o volném pohybu těchto údajů a o zrušení směrnice 95/46/ES (dále jen „Obecné nařízení o ochraně osobních údajů“), oprávněno zpracovávat osobní údaje podpořených osob na základě nařízení Evropského parlamentu a Rady (EU) č. 1304/2013 ze dne 17. prosince 2013 o Evropském sociálním fondu a o zrušení nařízení Rady (ES) č. 1081/2006, zejména jeho přílohy I.</w:t>
      </w:r>
    </w:p>
    <w:p w14:paraId="32DAD189" w14:textId="77777777" w:rsidR="00D03E09" w:rsidRPr="00B62619" w:rsidRDefault="00D03E09" w:rsidP="00D03E09">
      <w:pPr>
        <w:pStyle w:val="slovanseznam"/>
        <w:numPr>
          <w:ilvl w:val="1"/>
          <w:numId w:val="61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14:paraId="0FA5410D" w14:textId="77777777" w:rsidR="00D03E09" w:rsidRPr="00B62619" w:rsidRDefault="00D03E09" w:rsidP="00D03E09">
      <w:pPr>
        <w:keepNext/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lastRenderedPageBreak/>
        <w:t>Rozsah zpracování osobních údajů na základě pověření a jejich ochrana</w:t>
      </w:r>
    </w:p>
    <w:p w14:paraId="51BD3FC0" w14:textId="77777777" w:rsidR="00D03E09" w:rsidRPr="00B62619" w:rsidRDefault="00D03E09" w:rsidP="00D03E09">
      <w:pPr>
        <w:keepNext/>
        <w:numPr>
          <w:ilvl w:val="1"/>
          <w:numId w:val="61"/>
        </w:numPr>
        <w:spacing w:before="2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14:paraId="64439325" w14:textId="77777777" w:rsidR="00D03E09" w:rsidRPr="00B62619" w:rsidRDefault="00D03E09" w:rsidP="00D03E09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0F70EFF3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7AB1FA44" w14:textId="77777777" w:rsidR="00D03E09" w:rsidRPr="00B62619" w:rsidRDefault="00D03E09" w:rsidP="00D03E09">
      <w:pPr>
        <w:spacing w:after="6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zpracovávat a chránit osobní údaje v souladu s </w:t>
      </w:r>
      <w:r w:rsidRPr="00B62619">
        <w:t xml:space="preserve">Obecným nařízením </w:t>
      </w:r>
      <w:r w:rsidRPr="00B62619">
        <w:rPr>
          <w:rFonts w:ascii="Arial" w:eastAsia="Calibri" w:hAnsi="Arial" w:cs="Arial"/>
        </w:rPr>
        <w:t>o ochraně osobních údajů, a to zejména takto:</w:t>
      </w:r>
    </w:p>
    <w:p w14:paraId="18DAFD5D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osobní údaje ve fyzické podobě, tj. listinné údaje či na nosičích dat, budou uchovávány v  uzamykatelných schránkách, a to po dobu uvedenou v bodě 4 této části těchto Podmínek; </w:t>
      </w:r>
    </w:p>
    <w:p w14:paraId="2436999A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14:paraId="5DAF60FD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B62619">
        <w:t>s výjimkami uvedenými v bodu 6 této části Podmínek</w:t>
      </w:r>
      <w:r w:rsidRPr="00B62619">
        <w:rPr>
          <w:rFonts w:ascii="Arial" w:eastAsia="Calibri" w:hAnsi="Arial" w:cs="Arial"/>
        </w:rPr>
        <w:t>;</w:t>
      </w:r>
    </w:p>
    <w:p w14:paraId="2C28C505" w14:textId="77777777" w:rsidR="00D03E09" w:rsidRPr="00B62619" w:rsidRDefault="00D03E09" w:rsidP="00D03E09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zaměstnanci příjemce, kterým bude umožněn přístup ke zpracovávaným osobním údajům, budou příjemcem doložitelně poučeni o povinnosti zachovávat mlčenlivost </w:t>
      </w:r>
      <w:r w:rsidRPr="00B62619">
        <w:rPr>
          <w:rFonts w:ascii="Arial" w:hAnsi="Arial" w:cs="Arial"/>
        </w:rPr>
        <w:t>čl. 28 odst. 3 písm. b) Obecného nařízení o ochraně osobních údajů</w:t>
      </w:r>
      <w:r w:rsidRPr="00B62619">
        <w:rPr>
          <w:rFonts w:ascii="Arial" w:eastAsia="Calibri" w:hAnsi="Arial" w:cs="Arial"/>
        </w:rPr>
        <w:t>.</w:t>
      </w:r>
    </w:p>
    <w:p w14:paraId="331B1501" w14:textId="77777777" w:rsidR="00D03E09" w:rsidRPr="00B62619" w:rsidRDefault="00D03E09" w:rsidP="00D03E09">
      <w:pPr>
        <w:numPr>
          <w:ilvl w:val="0"/>
          <w:numId w:val="61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31018614" w14:textId="77777777" w:rsidR="00D03E09" w:rsidRPr="00B62619" w:rsidRDefault="00D03E09" w:rsidP="00D03E09">
      <w:pPr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oprávněn zpracovávat osobní údaje po dobu deseti let od ukončení realizace projektu, </w:t>
      </w:r>
      <w:r w:rsidRPr="00B62619">
        <w:t>přičemž tato lhůta začíná běžet 1. ledna následujícího kalendářního roku poté, co byla realizace projektu ukončena</w:t>
      </w:r>
      <w:r w:rsidRPr="00B62619">
        <w:rPr>
          <w:rFonts w:ascii="Arial" w:eastAsia="Calibri" w:hAnsi="Arial" w:cs="Arial"/>
        </w:rPr>
        <w:t>. Bez zbytečného odkladu po uplynutí této doby je příjemce povinen provést likvidaci těchto osobních údajů.</w:t>
      </w:r>
    </w:p>
    <w:p w14:paraId="22818861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5E59C648" w14:textId="77777777" w:rsidR="00D03E09" w:rsidRPr="00B62619" w:rsidRDefault="00D03E09" w:rsidP="00D03E09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14:paraId="35189837" w14:textId="77777777" w:rsidR="00D03E09" w:rsidRPr="00B62619" w:rsidRDefault="00D03E09" w:rsidP="00D03E09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62619">
        <w:t>této části Podmínek</w:t>
      </w:r>
      <w:r w:rsidRPr="00B62619">
        <w:rPr>
          <w:rFonts w:ascii="Arial" w:eastAsia="Calibri" w:hAnsi="Arial" w:cs="Arial"/>
        </w:rPr>
        <w:t>.</w:t>
      </w:r>
    </w:p>
    <w:p w14:paraId="0B944A94" w14:textId="77777777" w:rsidR="00D03E09" w:rsidRPr="00B62619" w:rsidRDefault="00D03E09" w:rsidP="00D03E09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spolupracovat s MPSV při plnění jeho povinnosti reagovat na žádosti podpořených osob týkající se jejich osobních údajů.</w:t>
      </w:r>
    </w:p>
    <w:p w14:paraId="52FDC603" w14:textId="77777777" w:rsidR="00D03E09" w:rsidRPr="00B62619" w:rsidRDefault="00D03E09" w:rsidP="00D03E09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6CA24E68" w14:textId="77777777" w:rsidR="00D03E09" w:rsidRPr="00B62619" w:rsidRDefault="00D03E09" w:rsidP="00D03E09">
      <w:pPr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uzavřít smlouvu podle </w:t>
      </w:r>
      <w:r w:rsidRPr="00B62619">
        <w:rPr>
          <w:rFonts w:ascii="Arial" w:hAnsi="Arial" w:cs="Arial"/>
        </w:rPr>
        <w:t xml:space="preserve">čl. 28 odst. 4 Obecného nařízení o ochraně osobních údajů </w:t>
      </w:r>
      <w:r w:rsidRPr="00B62619">
        <w:rPr>
          <w:rFonts w:ascii="Arial" w:eastAsia="Calibri" w:hAnsi="Arial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 veškerých subjektech, které mají v projektu působit jako zpracovatelé osobních údajů. MPSV je oprávněno vyslovit vůči zapojení těchto subjektů jakožto zpracovatelů osobních údajů námitky.</w:t>
      </w:r>
    </w:p>
    <w:p w14:paraId="29A6EC82" w14:textId="77777777" w:rsidR="00D03E09" w:rsidRPr="00B62619" w:rsidRDefault="00D03E09" w:rsidP="00D03E09">
      <w:pPr>
        <w:numPr>
          <w:ilvl w:val="1"/>
          <w:numId w:val="61"/>
        </w:numPr>
        <w:spacing w:after="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Smlouvy uzavírané podle č</w:t>
      </w:r>
      <w:r w:rsidRPr="00B62619">
        <w:rPr>
          <w:rFonts w:ascii="Arial" w:hAnsi="Arial" w:cs="Arial"/>
        </w:rPr>
        <w:t>l. 28 odst. 4 Obecného nařízení o ochraně osobních údajů</w:t>
      </w:r>
      <w:r w:rsidRPr="002A0629">
        <w:rPr>
          <w:rFonts w:ascii="Arial" w:eastAsia="Calibri" w:hAnsi="Arial" w:cs="Arial"/>
        </w:rPr>
        <w:t xml:space="preserve"> s partnerem, resp. s dodavatelem musí upravovat podmínky zpracování osobních údajů stejně jako podmínky stanovené v pověření příjem</w:t>
      </w:r>
      <w:r w:rsidRPr="00B62619">
        <w:rPr>
          <w:rFonts w:ascii="Arial" w:eastAsia="Calibri" w:hAnsi="Arial" w:cs="Arial"/>
        </w:rPr>
        <w:t>ce v této části těchto Podmínek.</w:t>
      </w:r>
    </w:p>
    <w:p w14:paraId="03CC1351" w14:textId="77777777" w:rsidR="00D03E09" w:rsidRPr="00B62619" w:rsidRDefault="00D03E09" w:rsidP="00D03E09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14:paraId="470DC6F8" w14:textId="77777777" w:rsidR="00D03E09" w:rsidRPr="00B62619" w:rsidRDefault="00D03E09" w:rsidP="00D03E09"/>
    <w:p w14:paraId="7696E8F0" w14:textId="77777777" w:rsidR="00D03E09" w:rsidRPr="00B62619" w:rsidRDefault="00D03E09" w:rsidP="00D03E09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VII – Závěrečná ustanovení</w:t>
      </w:r>
    </w:p>
    <w:p w14:paraId="16733F05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before="120"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62619">
        <w:rPr>
          <w:sz w:val="22"/>
          <w:szCs w:val="22"/>
        </w:rPr>
        <w:t>v Pravidlech OPZ</w:t>
      </w:r>
      <w:r w:rsidRPr="00B62619">
        <w:rPr>
          <w:iCs/>
          <w:snapToGrid w:val="0"/>
          <w:sz w:val="22"/>
          <w:szCs w:val="22"/>
        </w:rPr>
        <w:t>.</w:t>
      </w:r>
    </w:p>
    <w:p w14:paraId="5E4551A5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Příjemce je povinen řídit se při realizaci projektu ustanoveními příloh uvedených v bodě 3 této části Podmínek a dále dokumenty, které jsou zmíněny v části II bodě 1 těchto Podmínek.</w:t>
      </w:r>
    </w:p>
    <w:p w14:paraId="245A14F0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Součástí Podmínek jsou tyto přílohy:</w:t>
      </w:r>
    </w:p>
    <w:p w14:paraId="2EE2078A" w14:textId="77777777" w:rsidR="00D03E09" w:rsidRPr="00B62619" w:rsidRDefault="00D03E09" w:rsidP="00D03E09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14:paraId="3048167F" w14:textId="77777777" w:rsidR="00D03E09" w:rsidRPr="00B62619" w:rsidRDefault="00D03E09" w:rsidP="00D03E09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Příloha č. 2 – </w:t>
      </w:r>
      <w:r w:rsidRPr="00B62619">
        <w:t>…</w:t>
      </w:r>
    </w:p>
    <w:p w14:paraId="5893C60D" w14:textId="77777777" w:rsidR="00D03E09" w:rsidRPr="00B62619" w:rsidRDefault="00D03E09" w:rsidP="00D03E09">
      <w:pPr>
        <w:pStyle w:val="slovanseznam"/>
        <w:numPr>
          <w:ilvl w:val="0"/>
          <w:numId w:val="49"/>
        </w:numPr>
        <w:spacing w:after="120"/>
        <w:ind w:left="357" w:hanging="357"/>
      </w:pPr>
      <w:r w:rsidRPr="00B62619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14:paraId="3821B83D" w14:textId="77777777" w:rsidR="00D03E09" w:rsidRPr="00B62619" w:rsidRDefault="00D03E09" w:rsidP="00D03E09">
      <w:pPr>
        <w:spacing w:line="276" w:lineRule="auto"/>
      </w:pPr>
    </w:p>
    <w:p w14:paraId="1201D7E7" w14:textId="77777777" w:rsidR="008D6622" w:rsidRPr="00B32D6B" w:rsidRDefault="008D6622" w:rsidP="008D6622">
      <w:pPr>
        <w:keepNext/>
        <w:keepLines/>
        <w:ind w:left="4248" w:firstLine="708"/>
        <w:rPr>
          <w:rFonts w:ascii="Arial" w:hAnsi="Arial" w:cs="Arial"/>
        </w:rPr>
      </w:pPr>
      <w:r w:rsidRPr="00B32D6B">
        <w:rPr>
          <w:rFonts w:ascii="Arial" w:hAnsi="Arial" w:cs="Arial"/>
        </w:rPr>
        <w:t>………………………………</w:t>
      </w:r>
    </w:p>
    <w:p w14:paraId="1201D7E8" w14:textId="77777777" w:rsidR="00985433" w:rsidRDefault="008D6622" w:rsidP="008D6622">
      <w:pPr>
        <w:keepNext/>
        <w:keepLines/>
        <w:spacing w:line="276" w:lineRule="auto"/>
        <w:jc w:val="right"/>
        <w:rPr>
          <w:rFonts w:ascii="Arial" w:hAnsi="Arial" w:cs="Arial"/>
        </w:rPr>
      </w:pPr>
      <w:r w:rsidRPr="00B32D6B">
        <w:rPr>
          <w:rFonts w:ascii="Arial" w:hAnsi="Arial" w:cs="Arial"/>
        </w:rPr>
        <w:t>(</w:t>
      </w:r>
      <w:r w:rsidRPr="00B32D6B">
        <w:rPr>
          <w:rFonts w:ascii="Arial" w:hAnsi="Arial" w:cs="Arial"/>
          <w:highlight w:val="lightGray"/>
        </w:rPr>
        <w:t>Uvedení jména a funkce osoby oprávněné vydat podmínky</w:t>
      </w:r>
      <w:r w:rsidRPr="00B32D6B">
        <w:rPr>
          <w:rFonts w:ascii="Arial" w:hAnsi="Arial" w:cs="Arial"/>
        </w:rPr>
        <w:t>)</w:t>
      </w:r>
    </w:p>
    <w:sectPr w:rsidR="00985433" w:rsidSect="000F0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D7EB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1201D7EC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EF" w14:textId="77777777" w:rsidR="007912EB" w:rsidRDefault="0079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1201D7F1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1201D7F0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1201D7F5" w14:textId="77777777" w:rsidTr="007639BE">
      <w:tc>
        <w:tcPr>
          <w:tcW w:w="1667" w:type="pct"/>
          <w:shd w:val="clear" w:color="auto" w:fill="auto"/>
          <w:vAlign w:val="center"/>
        </w:tcPr>
        <w:p w14:paraId="1201D7F2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201D7F3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201D7F4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1343">
            <w:rPr>
              <w:noProof/>
            </w:rPr>
            <w:t>13</w:t>
          </w:r>
          <w:r>
            <w:fldChar w:fldCharType="end"/>
          </w:r>
          <w:r>
            <w:t xml:space="preserve"> z </w:t>
          </w:r>
          <w:r w:rsidR="00F31343">
            <w:fldChar w:fldCharType="begin"/>
          </w:r>
          <w:r w:rsidR="00F31343">
            <w:instrText xml:space="preserve"> NUMPAGES   \* MERGEFORMAT </w:instrText>
          </w:r>
          <w:r w:rsidR="00F31343">
            <w:fldChar w:fldCharType="separate"/>
          </w:r>
          <w:r w:rsidR="00F31343">
            <w:rPr>
              <w:noProof/>
            </w:rPr>
            <w:t>13</w:t>
          </w:r>
          <w:r w:rsidR="00F31343">
            <w:rPr>
              <w:noProof/>
            </w:rPr>
            <w:fldChar w:fldCharType="end"/>
          </w:r>
        </w:p>
      </w:tc>
    </w:tr>
  </w:tbl>
  <w:p w14:paraId="1201D7F6" w14:textId="77777777"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1201D7F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201D7F9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1201D7FE" w14:textId="77777777" w:rsidTr="00A34F9E">
      <w:tc>
        <w:tcPr>
          <w:tcW w:w="1667" w:type="pct"/>
          <w:shd w:val="clear" w:color="auto" w:fill="auto"/>
          <w:vAlign w:val="center"/>
        </w:tcPr>
        <w:p w14:paraId="1201D7FB" w14:textId="6BC30776" w:rsidR="00A34F9E" w:rsidRDefault="007912EB" w:rsidP="00F31343">
          <w:pPr>
            <w:pStyle w:val="Tabulkatext"/>
          </w:pPr>
          <w:r>
            <w:t xml:space="preserve">Vzor účinný od </w:t>
          </w:r>
          <w:r w:rsidR="00F31343">
            <w:t>25</w:t>
          </w:r>
          <w:r>
            <w:t xml:space="preserve">. </w:t>
          </w:r>
          <w:r w:rsidR="00F31343">
            <w:t>5</w:t>
          </w:r>
          <w:bookmarkStart w:id="0" w:name="_GoBack"/>
          <w:bookmarkEnd w:id="0"/>
          <w:r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1201D7F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201D7FD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134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31343">
            <w:fldChar w:fldCharType="begin"/>
          </w:r>
          <w:r w:rsidR="00F31343">
            <w:instrText xml:space="preserve"> NUMPAGES   \* MERGEFORMAT </w:instrText>
          </w:r>
          <w:r w:rsidR="00F31343">
            <w:fldChar w:fldCharType="separate"/>
          </w:r>
          <w:r w:rsidR="00F31343">
            <w:rPr>
              <w:noProof/>
            </w:rPr>
            <w:t>13</w:t>
          </w:r>
          <w:r w:rsidR="00F31343">
            <w:rPr>
              <w:noProof/>
            </w:rPr>
            <w:fldChar w:fldCharType="end"/>
          </w:r>
        </w:p>
      </w:tc>
    </w:tr>
  </w:tbl>
  <w:p w14:paraId="1201D7FF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D7E9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1201D7EA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6708AA20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14:paraId="52738549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14:paraId="34CD1E6E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14:paraId="3C1544CB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14:paraId="16FCE9A1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14:paraId="7F9B7CB5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14:paraId="0B0C26F1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14:paraId="6C3E9057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14:paraId="37343A90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14:paraId="69B781CC" w14:textId="77777777" w:rsidR="00D03E09" w:rsidRDefault="00D03E09" w:rsidP="00D03E09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14:paraId="3FFB66FF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14:paraId="2AAB1017" w14:textId="77777777" w:rsidR="00D03E09" w:rsidRDefault="00D03E09" w:rsidP="00D03E09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3">
    <w:p w14:paraId="7F9518D2" w14:textId="77777777" w:rsidR="00D03E09" w:rsidRDefault="00D03E09" w:rsidP="00D03E09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14:paraId="15E621A9" w14:textId="77777777" w:rsidR="00D03E09" w:rsidRDefault="00D03E09" w:rsidP="00D03E09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14:paraId="38A5FD21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14:paraId="52EC9F52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útvarem v roli příjemci nastaven postup, že bude poskytování veřejné podpory a podpory de minimis zajišťovat.</w:t>
      </w:r>
    </w:p>
  </w:footnote>
  <w:footnote w:id="17">
    <w:p w14:paraId="5AA8FFCD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14:paraId="206A54B5" w14:textId="77777777" w:rsidR="00D03E09" w:rsidRDefault="00D03E09" w:rsidP="00D03E09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ED" w14:textId="77777777" w:rsidR="007912EB" w:rsidRDefault="0079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EE" w14:textId="77777777" w:rsidR="007912EB" w:rsidRDefault="007912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F7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201D800" wp14:editId="1201D80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1D7F8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C6ACC"/>
    <w:multiLevelType w:val="hybridMultilevel"/>
    <w:tmpl w:val="AE020164"/>
    <w:lvl w:ilvl="0" w:tplc="040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3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2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0"/>
  </w:num>
  <w:num w:numId="5">
    <w:abstractNumId w:val="21"/>
  </w:num>
  <w:num w:numId="6">
    <w:abstractNumId w:val="13"/>
  </w:num>
  <w:num w:numId="7">
    <w:abstractNumId w:val="0"/>
  </w:num>
  <w:num w:numId="8">
    <w:abstractNumId w:val="55"/>
  </w:num>
  <w:num w:numId="9">
    <w:abstractNumId w:val="28"/>
  </w:num>
  <w:num w:numId="10">
    <w:abstractNumId w:val="45"/>
  </w:num>
  <w:num w:numId="11">
    <w:abstractNumId w:val="22"/>
  </w:num>
  <w:num w:numId="12">
    <w:abstractNumId w:val="56"/>
  </w:num>
  <w:num w:numId="13">
    <w:abstractNumId w:val="24"/>
  </w:num>
  <w:num w:numId="14">
    <w:abstractNumId w:val="51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8"/>
  </w:num>
  <w:num w:numId="20">
    <w:abstractNumId w:val="60"/>
  </w:num>
  <w:num w:numId="21">
    <w:abstractNumId w:val="3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2"/>
  </w:num>
  <w:num w:numId="26">
    <w:abstractNumId w:val="23"/>
  </w:num>
  <w:num w:numId="27">
    <w:abstractNumId w:val="12"/>
  </w:num>
  <w:num w:numId="28">
    <w:abstractNumId w:val="39"/>
  </w:num>
  <w:num w:numId="29">
    <w:abstractNumId w:val="1"/>
  </w:num>
  <w:num w:numId="30">
    <w:abstractNumId w:val="46"/>
  </w:num>
  <w:num w:numId="31">
    <w:abstractNumId w:val="49"/>
  </w:num>
  <w:num w:numId="32">
    <w:abstractNumId w:val="26"/>
  </w:num>
  <w:num w:numId="33">
    <w:abstractNumId w:val="15"/>
  </w:num>
  <w:num w:numId="34">
    <w:abstractNumId w:val="52"/>
  </w:num>
  <w:num w:numId="35">
    <w:abstractNumId w:val="32"/>
  </w:num>
  <w:num w:numId="36">
    <w:abstractNumId w:val="7"/>
  </w:num>
  <w:num w:numId="37">
    <w:abstractNumId w:val="20"/>
  </w:num>
  <w:num w:numId="38">
    <w:abstractNumId w:val="47"/>
  </w:num>
  <w:num w:numId="39">
    <w:abstractNumId w:val="19"/>
  </w:num>
  <w:num w:numId="40">
    <w:abstractNumId w:val="63"/>
  </w:num>
  <w:num w:numId="41">
    <w:abstractNumId w:val="31"/>
  </w:num>
  <w:num w:numId="42">
    <w:abstractNumId w:val="44"/>
  </w:num>
  <w:num w:numId="43">
    <w:abstractNumId w:val="41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4"/>
  </w:num>
  <w:num w:numId="49">
    <w:abstractNumId w:val="43"/>
  </w:num>
  <w:num w:numId="50">
    <w:abstractNumId w:val="35"/>
  </w:num>
  <w:num w:numId="51">
    <w:abstractNumId w:val="53"/>
  </w:num>
  <w:num w:numId="52">
    <w:abstractNumId w:val="57"/>
  </w:num>
  <w:num w:numId="53">
    <w:abstractNumId w:val="18"/>
  </w:num>
  <w:num w:numId="54">
    <w:abstractNumId w:val="48"/>
  </w:num>
  <w:num w:numId="55">
    <w:abstractNumId w:val="33"/>
  </w:num>
  <w:num w:numId="56">
    <w:abstractNumId w:val="27"/>
  </w:num>
  <w:num w:numId="57">
    <w:abstractNumId w:val="3"/>
  </w:num>
  <w:num w:numId="58">
    <w:abstractNumId w:val="50"/>
  </w:num>
  <w:num w:numId="59">
    <w:abstractNumId w:val="34"/>
  </w:num>
  <w:num w:numId="60">
    <w:abstractNumId w:val="61"/>
  </w:num>
  <w:num w:numId="61">
    <w:abstractNumId w:val="11"/>
  </w:num>
  <w:num w:numId="62">
    <w:abstractNumId w:val="25"/>
  </w:num>
  <w:num w:numId="63">
    <w:abstractNumId w:val="58"/>
  </w:num>
  <w:num w:numId="64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D1CD1"/>
    <w:rsid w:val="000E11BF"/>
    <w:rsid w:val="000F0056"/>
    <w:rsid w:val="000F5592"/>
    <w:rsid w:val="0011753D"/>
    <w:rsid w:val="00121E84"/>
    <w:rsid w:val="00125909"/>
    <w:rsid w:val="001641A3"/>
    <w:rsid w:val="001673AF"/>
    <w:rsid w:val="001776A7"/>
    <w:rsid w:val="00181515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2CA0"/>
    <w:rsid w:val="002B3FC2"/>
    <w:rsid w:val="002B6E2F"/>
    <w:rsid w:val="002C4D5F"/>
    <w:rsid w:val="002D7766"/>
    <w:rsid w:val="00301407"/>
    <w:rsid w:val="00302400"/>
    <w:rsid w:val="0030691F"/>
    <w:rsid w:val="00306C59"/>
    <w:rsid w:val="00330790"/>
    <w:rsid w:val="00334D40"/>
    <w:rsid w:val="00342EB6"/>
    <w:rsid w:val="00361180"/>
    <w:rsid w:val="00361FFC"/>
    <w:rsid w:val="00364106"/>
    <w:rsid w:val="003851E9"/>
    <w:rsid w:val="00394C90"/>
    <w:rsid w:val="00394E65"/>
    <w:rsid w:val="003A5621"/>
    <w:rsid w:val="003A5981"/>
    <w:rsid w:val="003B1163"/>
    <w:rsid w:val="003B6F5A"/>
    <w:rsid w:val="003C2457"/>
    <w:rsid w:val="003C4D02"/>
    <w:rsid w:val="003D107E"/>
    <w:rsid w:val="003D3872"/>
    <w:rsid w:val="003E5795"/>
    <w:rsid w:val="003F02C5"/>
    <w:rsid w:val="004162EF"/>
    <w:rsid w:val="004213FC"/>
    <w:rsid w:val="004354DE"/>
    <w:rsid w:val="004415B1"/>
    <w:rsid w:val="004461FB"/>
    <w:rsid w:val="004548E9"/>
    <w:rsid w:val="00455567"/>
    <w:rsid w:val="00497ED7"/>
    <w:rsid w:val="004C721F"/>
    <w:rsid w:val="004D73F0"/>
    <w:rsid w:val="004E466F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38A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12EB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0CC"/>
    <w:rsid w:val="00847203"/>
    <w:rsid w:val="008647B8"/>
    <w:rsid w:val="008819E7"/>
    <w:rsid w:val="008842D3"/>
    <w:rsid w:val="00890FAA"/>
    <w:rsid w:val="008B607A"/>
    <w:rsid w:val="008C6214"/>
    <w:rsid w:val="008D4A7F"/>
    <w:rsid w:val="008D6622"/>
    <w:rsid w:val="008F7D9B"/>
    <w:rsid w:val="00910732"/>
    <w:rsid w:val="009117F1"/>
    <w:rsid w:val="009343A7"/>
    <w:rsid w:val="00934A32"/>
    <w:rsid w:val="00942E26"/>
    <w:rsid w:val="00942F74"/>
    <w:rsid w:val="009574F9"/>
    <w:rsid w:val="00957942"/>
    <w:rsid w:val="00967D4A"/>
    <w:rsid w:val="00975AD9"/>
    <w:rsid w:val="00985433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57626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3E0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B672F"/>
    <w:rsid w:val="00DC370F"/>
    <w:rsid w:val="00DC558E"/>
    <w:rsid w:val="00DD5FB3"/>
    <w:rsid w:val="00DF1B03"/>
    <w:rsid w:val="00E01A72"/>
    <w:rsid w:val="00E073EC"/>
    <w:rsid w:val="00E201FD"/>
    <w:rsid w:val="00E20828"/>
    <w:rsid w:val="00E303D1"/>
    <w:rsid w:val="00E412B3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4560"/>
    <w:rsid w:val="00F14015"/>
    <w:rsid w:val="00F25FB9"/>
    <w:rsid w:val="00F31343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01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sfcr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W:\METODIKA\VZORY_METODIKA\7E_P7_Vzor podminek_utvar v resortu MPSV_od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5922F-08AC-4641-B126-5160BBEE0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59E05-68AA-4EB4-A729-AAD60578601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dfed548f-0517-4d39-90e3-3947398480c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797C7F-2B70-4CAF-8BF0-72F4E7A8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4932</Words>
  <Characters>29104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2018-05-17T11:34:00Z</dcterms:created>
  <dcterms:modified xsi:type="dcterms:W3CDTF">2018-05-17T12:18:00Z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