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AE11AE" w:rsidR="00AE11AE" w:rsidP="00737D68" w:rsidRDefault="00AE11AE" w14:paraId="27EE5AD4" w14:textId="77777777">
      <w:pPr>
        <w:spacing w:before="60" w:after="60"/>
        <w:rPr>
          <w:rFonts w:ascii="Arial" w:hAnsi="Arial" w:cs="Arial"/>
        </w:rPr>
      </w:pPr>
      <w:r w:rsidRPr="00AE11AE">
        <w:rPr>
          <w:rFonts w:ascii="Arial" w:hAnsi="Arial" w:cs="Arial"/>
          <w:highlight w:val="lightGray"/>
        </w:rPr>
        <w:t>Česká republika – Ministerstvo práce a sociálních věcí</w:t>
      </w:r>
      <w:r w:rsidRPr="00AE11AE">
        <w:rPr>
          <w:rFonts w:ascii="Arial" w:hAnsi="Arial" w:cs="Arial"/>
        </w:rPr>
        <w:t xml:space="preserve"> </w:t>
      </w:r>
    </w:p>
    <w:p w:rsidRPr="00AE11AE" w:rsidR="00AE11AE" w:rsidP="00737D68" w:rsidRDefault="00AE11AE" w14:paraId="7E1F4EAE" w14:textId="77777777">
      <w:pPr>
        <w:spacing w:before="60" w:after="60"/>
        <w:rPr>
          <w:rFonts w:ascii="Arial" w:hAnsi="Arial" w:cs="Arial"/>
        </w:rPr>
      </w:pPr>
      <w:r w:rsidRPr="00AE11AE">
        <w:rPr>
          <w:rFonts w:ascii="Arial" w:hAnsi="Arial" w:cs="Arial"/>
          <w:highlight w:val="lightGray"/>
        </w:rPr>
        <w:t>Odbor ………….</w:t>
      </w:r>
    </w:p>
    <w:p w:rsidRPr="00AE11AE" w:rsidR="00AE11AE" w:rsidP="00737D68" w:rsidRDefault="00AE11AE" w14:paraId="121A56FC" w14:textId="77777777">
      <w:pPr>
        <w:spacing w:before="60" w:after="60"/>
        <w:rPr>
          <w:rFonts w:ascii="Arial" w:hAnsi="Arial" w:cs="Arial"/>
        </w:rPr>
      </w:pPr>
      <w:r w:rsidRPr="00AE11AE">
        <w:rPr>
          <w:rFonts w:ascii="Arial" w:hAnsi="Arial" w:cs="Arial"/>
          <w:highlight w:val="lightGray"/>
        </w:rPr>
        <w:t>Na Poříčním právu 1</w:t>
      </w:r>
    </w:p>
    <w:p w:rsidR="00AE11AE" w:rsidP="00737D68" w:rsidRDefault="00AE11AE" w14:paraId="1787B912" w14:textId="21E33776">
      <w:pPr>
        <w:spacing w:before="60" w:after="220"/>
        <w:rPr>
          <w:rFonts w:ascii="Arial" w:hAnsi="Arial" w:cs="Arial"/>
        </w:rPr>
      </w:pPr>
      <w:r w:rsidRPr="00AE11AE">
        <w:rPr>
          <w:rFonts w:ascii="Arial" w:hAnsi="Arial" w:cs="Arial"/>
          <w:highlight w:val="lightGray"/>
        </w:rPr>
        <w:t>128 01 Praha 2</w:t>
      </w:r>
    </w:p>
    <w:p w:rsidRPr="00737D68" w:rsidR="00737D68" w:rsidP="00737D68" w:rsidRDefault="00737D68" w14:paraId="5529F502" w14:textId="77777777">
      <w:pPr>
        <w:spacing w:after="220" w:line="240" w:lineRule="auto"/>
        <w:jc w:val="center"/>
        <w:rPr>
          <w:rFonts w:ascii="Arial" w:hAnsi="Arial" w:eastAsia="Arial" w:cs="Arial"/>
          <w:b/>
          <w:bCs/>
        </w:rPr>
      </w:pPr>
      <w:r w:rsidRPr="00737D68">
        <w:rPr>
          <w:rFonts w:ascii="Arial" w:hAnsi="Arial" w:eastAsia="Arial" w:cs="Arial"/>
          <w:b/>
        </w:rPr>
        <w:t>Rozhodnutí o poskytnutí dotace</w:t>
      </w:r>
      <w:r w:rsidRPr="00737D68">
        <w:rPr>
          <w:rFonts w:ascii="Arial" w:hAnsi="Arial" w:eastAsia="Times New Roman" w:cs="Arial"/>
          <w:b/>
          <w:vertAlign w:val="superscript"/>
        </w:rPr>
        <w:footnoteReference w:id="1"/>
      </w:r>
      <w:r w:rsidRPr="00737D68">
        <w:rPr>
          <w:rFonts w:ascii="Arial" w:hAnsi="Arial" w:eastAsia="Arial" w:cs="Arial"/>
          <w:b/>
          <w:bCs/>
          <w:smallCaps/>
        </w:rPr>
        <w:t xml:space="preserve"> </w:t>
      </w:r>
      <w:r w:rsidRPr="00737D68">
        <w:rPr>
          <w:rFonts w:ascii="Arial" w:hAnsi="Arial" w:eastAsia="Arial" w:cs="Arial"/>
          <w:b/>
        </w:rPr>
        <w:t>č. […]</w:t>
      </w:r>
      <w:r w:rsidRPr="00737D68">
        <w:rPr>
          <w:rFonts w:ascii="Arial" w:hAnsi="Arial" w:eastAsia="Arial" w:cs="Arial"/>
          <w:b/>
          <w:vertAlign w:val="superscript"/>
        </w:rPr>
        <w:footnoteReference w:id="2"/>
      </w:r>
    </w:p>
    <w:p w:rsidRPr="00737D68" w:rsidR="00737D68" w:rsidP="00737D68" w:rsidRDefault="00737D68" w14:paraId="45A93E0B" w14:textId="77777777">
      <w:pPr>
        <w:spacing w:after="220" w:line="240" w:lineRule="auto"/>
        <w:jc w:val="center"/>
        <w:rPr>
          <w:rFonts w:ascii="Arial" w:hAnsi="Arial" w:eastAsia="Arial" w:cs="Arial"/>
          <w:b/>
          <w:bCs/>
        </w:rPr>
      </w:pPr>
      <w:r w:rsidRPr="00737D68">
        <w:rPr>
          <w:rFonts w:ascii="Arial" w:hAnsi="Arial" w:eastAsia="Arial" w:cs="Arial"/>
          <w:b/>
          <w:bCs/>
        </w:rPr>
        <w:t>(dále jen „Rozhodnutí“)</w:t>
      </w:r>
    </w:p>
    <w:p w:rsidRPr="00737D68" w:rsidR="00737D68" w:rsidP="00737D68" w:rsidRDefault="00737D68" w14:paraId="08BE108E" w14:textId="77777777">
      <w:pPr>
        <w:spacing w:after="220" w:line="240" w:lineRule="auto"/>
        <w:jc w:val="center"/>
        <w:rPr>
          <w:rFonts w:ascii="Arial" w:hAnsi="Arial" w:eastAsia="Arial" w:cs="Arial"/>
          <w:i/>
          <w:iCs/>
        </w:rPr>
      </w:pPr>
      <w:r w:rsidRPr="00737D68">
        <w:rPr>
          <w:rFonts w:ascii="Arial" w:hAnsi="Arial" w:eastAsia="Arial" w:cs="Arial"/>
          <w:i/>
          <w:iCs/>
        </w:rPr>
        <w:t>dle § 14 odst. 4 zákona č. 218/2000 Sb., o rozpočtových pravidlech a o změně některých souvisejících zákonů (rozpočtová pravidla), ve znění pozdějších předpisů</w:t>
      </w:r>
    </w:p>
    <w:p w:rsidRPr="00737D68" w:rsidR="00737D68" w:rsidP="00737D68" w:rsidRDefault="00737D68" w14:paraId="7E8DC1EB" w14:textId="77777777">
      <w:pPr>
        <w:spacing w:after="220" w:line="240" w:lineRule="auto"/>
        <w:jc w:val="center"/>
        <w:rPr>
          <w:rFonts w:ascii="Arial" w:hAnsi="Arial" w:eastAsia="Arial" w:cs="Arial"/>
          <w:iCs/>
        </w:rPr>
      </w:pPr>
      <w:r w:rsidRPr="00737D68">
        <w:rPr>
          <w:rFonts w:ascii="Arial" w:hAnsi="Arial" w:eastAsia="Arial" w:cs="Arial"/>
          <w:b/>
        </w:rPr>
        <w:t>Odůvodnění:</w:t>
      </w:r>
    </w:p>
    <w:p w:rsidRPr="00737D68" w:rsidR="00737D68" w:rsidP="00737D68" w:rsidRDefault="00737D68" w14:paraId="1F554644" w14:textId="77777777">
      <w:pPr>
        <w:spacing w:after="220" w:line="240" w:lineRule="auto"/>
        <w:jc w:val="center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Žádosti o podporu z Operačního programu Zaměstnanost (dále jen „OPZ“) ze dne […]</w:t>
      </w:r>
      <w:r w:rsidRPr="00737D68">
        <w:rPr>
          <w:rFonts w:ascii="Arial" w:hAnsi="Arial" w:eastAsia="Arial" w:cs="Arial"/>
          <w:vertAlign w:val="superscript"/>
        </w:rPr>
        <w:footnoteReference w:id="3"/>
      </w:r>
      <w:r w:rsidRPr="00737D68">
        <w:rPr>
          <w:rFonts w:ascii="Arial" w:hAnsi="Arial" w:eastAsia="Arial" w:cs="Arial"/>
        </w:rPr>
        <w:t>na realizaci projektu […]</w:t>
      </w:r>
      <w:r w:rsidRPr="00737D68">
        <w:rPr>
          <w:rFonts w:ascii="Arial" w:hAnsi="Arial" w:eastAsia="Times New Roman" w:cs="Arial"/>
          <w:vertAlign w:val="superscript"/>
        </w:rPr>
        <w:footnoteReference w:id="4"/>
      </w:r>
      <w:r w:rsidRPr="00737D68">
        <w:rPr>
          <w:rFonts w:ascii="Arial" w:hAnsi="Arial" w:eastAsia="Arial" w:cs="Arial"/>
        </w:rPr>
        <w:t xml:space="preserve"> registrační číslo […], prioritní osa OPZ: […] (dále jen „projekt“) Ministerstvo práce a sociálních věcí (dále jen „poskytovatel“) vyhovuje zcela.</w:t>
      </w:r>
    </w:p>
    <w:p w:rsidRPr="00737D68" w:rsidR="00737D68" w:rsidP="00737D68" w:rsidRDefault="00737D68" w14:paraId="257555C7" w14:textId="77777777">
      <w:pPr>
        <w:spacing w:after="220" w:line="240" w:lineRule="auto"/>
        <w:jc w:val="center"/>
        <w:rPr>
          <w:rFonts w:ascii="Arial" w:hAnsi="Arial" w:eastAsia="Arial" w:cs="Arial"/>
        </w:rPr>
      </w:pPr>
    </w:p>
    <w:p w:rsidRPr="00737D68" w:rsidR="00737D68" w:rsidP="00737D68" w:rsidRDefault="00737D68" w14:paraId="21687A2D" w14:textId="77777777">
      <w:pPr>
        <w:shd w:val="clear" w:color="auto" w:fill="F2F2F2"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>Část I - Obecné vymezení dotace</w:t>
      </w:r>
    </w:p>
    <w:p w:rsidRPr="00737D68" w:rsidR="00737D68" w:rsidP="00737D68" w:rsidRDefault="00737D68" w14:paraId="4023E3BE" w14:textId="77777777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Specifikace účastníka řízení, tj. příjemce dotace (dále jen „příjemce“)</w:t>
      </w:r>
    </w:p>
    <w:p w:rsidRPr="00737D68" w:rsidR="00737D68" w:rsidP="00737D68" w:rsidRDefault="00737D68" w14:paraId="3BE4D03B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737D68">
        <w:rPr>
          <w:rFonts w:ascii="Arial" w:hAnsi="Arial" w:eastAsia="Arial" w:cs="Arial"/>
        </w:rPr>
        <w:t>[</w:t>
      </w:r>
      <w:r w:rsidRPr="00737D68">
        <w:rPr>
          <w:rFonts w:ascii="Arial" w:hAnsi="Arial" w:eastAsia="Arial" w:cs="Arial"/>
          <w:i/>
          <w:iCs/>
        </w:rPr>
        <w:t>FO – jméno a příjmení, datum narození, rodné číslo / PO – název</w:t>
      </w:r>
      <w:r w:rsidRPr="00737D68">
        <w:rPr>
          <w:rFonts w:ascii="Arial" w:hAnsi="Arial" w:eastAsia="Arial" w:cs="Arial"/>
        </w:rPr>
        <w:t>]</w:t>
      </w:r>
    </w:p>
    <w:p w:rsidRPr="00737D68" w:rsidR="00737D68" w:rsidP="00737D68" w:rsidRDefault="00737D68" w14:paraId="541549F7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737D68">
        <w:rPr>
          <w:rFonts w:ascii="Arial" w:hAnsi="Arial" w:eastAsia="Arial" w:cs="Arial"/>
        </w:rPr>
        <w:t>[</w:t>
      </w:r>
      <w:r w:rsidRPr="00737D68">
        <w:rPr>
          <w:rFonts w:ascii="Arial" w:hAnsi="Arial" w:eastAsia="Arial" w:cs="Arial"/>
          <w:i/>
          <w:iCs/>
        </w:rPr>
        <w:t>FO – adresa trvalého pobytu / PO – adresa sídla</w:t>
      </w:r>
      <w:r w:rsidRPr="00737D68">
        <w:rPr>
          <w:rFonts w:ascii="Arial" w:hAnsi="Arial" w:eastAsia="Arial" w:cs="Arial"/>
        </w:rPr>
        <w:t>]</w:t>
      </w:r>
    </w:p>
    <w:p w:rsidRPr="00737D68" w:rsidR="00737D68" w:rsidP="00737D68" w:rsidRDefault="00737D68" w14:paraId="4FC35D19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737D68">
        <w:rPr>
          <w:rFonts w:ascii="Arial" w:hAnsi="Arial" w:eastAsia="Arial" w:cs="Arial"/>
        </w:rPr>
        <w:t xml:space="preserve">Statutární orgán: […] </w:t>
      </w:r>
      <w:r w:rsidRPr="00737D68">
        <w:rPr>
          <w:rFonts w:ascii="Arial" w:hAnsi="Arial" w:eastAsia="Arial" w:cs="Arial"/>
          <w:i/>
          <w:iCs/>
        </w:rPr>
        <w:t>(pouze pro PO)</w:t>
      </w:r>
    </w:p>
    <w:p w:rsidRPr="00737D68" w:rsidR="00737D68" w:rsidP="00737D68" w:rsidRDefault="00737D68" w14:paraId="14D77628" w14:textId="77777777">
      <w:pPr>
        <w:spacing w:after="60" w:line="240" w:lineRule="auto"/>
        <w:jc w:val="both"/>
        <w:rPr>
          <w:rFonts w:ascii="Arial" w:hAnsi="Arial" w:eastAsia="Arial" w:cs="Arial"/>
          <w:i/>
          <w:iCs/>
        </w:rPr>
      </w:pPr>
      <w:r w:rsidRPr="00737D68">
        <w:rPr>
          <w:rFonts w:ascii="Arial" w:hAnsi="Arial" w:eastAsia="Arial" w:cs="Arial"/>
        </w:rPr>
        <w:t xml:space="preserve">IČ: […] </w:t>
      </w:r>
      <w:r w:rsidRPr="00737D68">
        <w:rPr>
          <w:rFonts w:ascii="Arial" w:hAnsi="Arial" w:eastAsia="Arial" w:cs="Arial"/>
          <w:i/>
          <w:iCs/>
        </w:rPr>
        <w:t>(FO pouze je-li podnikatelem)</w:t>
      </w:r>
    </w:p>
    <w:p w:rsidRPr="00737D68" w:rsidR="00737D68" w:rsidP="00737D68" w:rsidRDefault="00737D68" w14:paraId="28DC897D" w14:textId="77777777">
      <w:pPr>
        <w:spacing w:after="6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Bankovní účet příjemce: […/…]</w:t>
      </w:r>
    </w:p>
    <w:p w:rsidRPr="00737D68" w:rsidR="00737D68" w:rsidP="00737D68" w:rsidRDefault="00737D68" w14:paraId="2F9359A7" w14:textId="77777777">
      <w:pPr>
        <w:spacing w:after="60" w:line="240" w:lineRule="auto"/>
        <w:jc w:val="both"/>
        <w:rPr>
          <w:rFonts w:ascii="Arial" w:hAnsi="Arial" w:eastAsia="Arial" w:cs="Arial"/>
        </w:rPr>
      </w:pPr>
    </w:p>
    <w:p w:rsidRPr="00737D68" w:rsidR="00737D68" w:rsidP="00737D68" w:rsidRDefault="00737D68" w14:paraId="42E31BF5" w14:textId="77777777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Výše dotace a režim financování</w:t>
      </w:r>
    </w:p>
    <w:p w:rsidRPr="00737D68" w:rsidR="00737D68" w:rsidP="00737D68" w:rsidRDefault="00737D68" w14:paraId="1DB45A00" w14:textId="77777777">
      <w:pPr>
        <w:numPr>
          <w:ilvl w:val="1"/>
          <w:numId w:val="13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Dotace je poskytována do maximální výše uvedené v řádku „Dotace“ v následující tabulce: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0"/>
        <w:gridCol w:w="2124"/>
        <w:gridCol w:w="2268"/>
      </w:tblGrid>
      <w:tr w:rsidRPr="00737D68" w:rsidR="00737D68" w:rsidTr="00945A28" w14:paraId="4168AD16" w14:textId="77777777">
        <w:trPr>
          <w:tblHeader/>
        </w:trPr>
        <w:tc>
          <w:tcPr>
            <w:tcW w:w="4680" w:type="dxa"/>
            <w:vAlign w:val="center"/>
          </w:tcPr>
          <w:p w:rsidRPr="00737D68" w:rsidR="00737D68" w:rsidP="00737D68" w:rsidRDefault="00737D68" w14:paraId="2AED7D3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b/>
                <w:snapToGrid w:val="false"/>
                <w:sz w:val="20"/>
              </w:rPr>
            </w:pPr>
            <w:r w:rsidRPr="00737D68">
              <w:rPr>
                <w:rFonts w:ascii="Arial" w:hAnsi="Arial" w:eastAsia="Arial" w:cs="Arial"/>
                <w:b/>
                <w:snapToGrid w:val="false"/>
                <w:sz w:val="2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73EA01F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b/>
                <w:snapToGrid w:val="false"/>
                <w:sz w:val="20"/>
              </w:rPr>
            </w:pPr>
            <w:r w:rsidRPr="00737D68">
              <w:rPr>
                <w:rFonts w:ascii="Arial" w:hAnsi="Arial" w:eastAsia="Arial" w:cs="Arial"/>
                <w:b/>
                <w:snapToGrid w:val="false"/>
                <w:sz w:val="20"/>
              </w:rPr>
              <w:t>Částka</w:t>
            </w:r>
          </w:p>
          <w:p w:rsidRPr="00737D68" w:rsidR="00737D68" w:rsidP="00737D68" w:rsidRDefault="00737D68" w14:paraId="735B6B0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b/>
                <w:snapToGrid w:val="false"/>
                <w:sz w:val="20"/>
              </w:rPr>
            </w:pPr>
            <w:r w:rsidRPr="00737D68">
              <w:rPr>
                <w:rFonts w:ascii="Arial" w:hAnsi="Arial" w:eastAsia="Arial" w:cs="Arial"/>
                <w:b/>
                <w:snapToGrid w:val="false"/>
                <w:sz w:val="20"/>
              </w:rPr>
              <w:t>(v Kč)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1524D76A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b/>
                <w:snapToGrid w:val="false"/>
                <w:sz w:val="20"/>
              </w:rPr>
            </w:pPr>
            <w:r w:rsidRPr="00737D68">
              <w:rPr>
                <w:rFonts w:ascii="Arial" w:hAnsi="Arial" w:eastAsia="Arial" w:cs="Arial"/>
                <w:b/>
                <w:snapToGrid w:val="false"/>
                <w:sz w:val="20"/>
              </w:rPr>
              <w:t xml:space="preserve">Podíl na celkovém rozpočtu </w:t>
            </w:r>
            <w:r w:rsidRPr="00737D68">
              <w:rPr>
                <w:rFonts w:ascii="Arial" w:hAnsi="Arial" w:eastAsia="Arial" w:cs="Times New Roman"/>
                <w:b/>
                <w:snapToGrid w:val="false"/>
                <w:sz w:val="20"/>
              </w:rPr>
              <w:t xml:space="preserve">očištěném o příjmy </w:t>
            </w:r>
            <w:r w:rsidRPr="00737D68">
              <w:rPr>
                <w:rFonts w:ascii="Arial" w:hAnsi="Arial" w:eastAsia="Arial" w:cs="Arial"/>
                <w:b/>
                <w:snapToGrid w:val="false"/>
                <w:sz w:val="20"/>
              </w:rPr>
              <w:t>(v %)</w:t>
            </w:r>
          </w:p>
        </w:tc>
      </w:tr>
      <w:tr w:rsidRPr="00737D68" w:rsidR="00737D68" w:rsidTr="00945A28" w14:paraId="0AD6713F" w14:textId="77777777">
        <w:tc>
          <w:tcPr>
            <w:tcW w:w="4680" w:type="dxa"/>
            <w:vAlign w:val="center"/>
          </w:tcPr>
          <w:p w:rsidRPr="00737D68" w:rsidR="00737D68" w:rsidP="00737D68" w:rsidRDefault="00737D68" w14:paraId="67C50BF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napToGrid w:val="false"/>
                <w:sz w:val="20"/>
              </w:rPr>
            </w:pPr>
            <w:r w:rsidRPr="00737D68">
              <w:rPr>
                <w:rFonts w:ascii="Arial" w:hAnsi="Arial" w:eastAsia="Arial" w:cs="Times New Roman"/>
                <w:snapToGrid w:val="false"/>
                <w:sz w:val="2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0D680C6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6BB145FA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-</w:t>
            </w:r>
          </w:p>
        </w:tc>
      </w:tr>
      <w:tr w:rsidRPr="00737D68" w:rsidR="00737D68" w:rsidTr="00945A28" w14:paraId="024055A1" w14:textId="77777777">
        <w:tc>
          <w:tcPr>
            <w:tcW w:w="4680" w:type="dxa"/>
            <w:vAlign w:val="center"/>
          </w:tcPr>
          <w:p w:rsidRPr="00737D68" w:rsidR="00737D68" w:rsidP="00737D68" w:rsidRDefault="00737D68" w14:paraId="5FC3473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napToGrid w:val="false"/>
                <w:sz w:val="20"/>
              </w:rPr>
            </w:pPr>
            <w:r w:rsidRPr="00737D68">
              <w:rPr>
                <w:rFonts w:ascii="Arial" w:hAnsi="Arial" w:eastAsia="Arial" w:cs="Times New Roman"/>
                <w:snapToGrid w:val="false"/>
                <w:sz w:val="20"/>
              </w:rPr>
              <w:t>Příjmy projektu připadající na způsobilé výdaje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6190E8B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0F3BBFF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-</w:t>
            </w:r>
          </w:p>
        </w:tc>
      </w:tr>
      <w:tr w:rsidRPr="00737D68" w:rsidR="00737D68" w:rsidTr="00945A28" w14:paraId="260582C0" w14:textId="77777777">
        <w:tc>
          <w:tcPr>
            <w:tcW w:w="4680" w:type="dxa"/>
            <w:vAlign w:val="center"/>
          </w:tcPr>
          <w:p w:rsidRPr="00737D68" w:rsidR="00737D68" w:rsidP="00737D68" w:rsidRDefault="00737D68" w14:paraId="7921AE5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napToGrid w:val="false"/>
                <w:sz w:val="20"/>
              </w:rPr>
            </w:pPr>
            <w:r w:rsidRPr="00737D68">
              <w:rPr>
                <w:rFonts w:ascii="Arial" w:hAnsi="Arial" w:eastAsia="Arial" w:cs="Arial"/>
                <w:snapToGrid w:val="false"/>
                <w:sz w:val="20"/>
              </w:rPr>
              <w:t>Celkové způsobilé náklady očištěné o příjmy připadající na způsobilé výdaje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1C2B44CA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42FAAE8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100 %</w:t>
            </w:r>
          </w:p>
        </w:tc>
      </w:tr>
      <w:tr w:rsidRPr="00737D68" w:rsidR="00737D68" w:rsidTr="00945A28" w14:paraId="08B14C9F" w14:textId="77777777">
        <w:tc>
          <w:tcPr>
            <w:tcW w:w="4680" w:type="dxa"/>
            <w:vAlign w:val="center"/>
          </w:tcPr>
          <w:p w:rsidRPr="00737D68" w:rsidR="00737D68" w:rsidP="00737D68" w:rsidRDefault="00737D68" w14:paraId="3C75CB34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napToGrid w:val="false"/>
                <w:sz w:val="20"/>
              </w:rPr>
            </w:pPr>
            <w:r w:rsidRPr="00737D68">
              <w:rPr>
                <w:rFonts w:ascii="Arial" w:hAnsi="Arial" w:eastAsia="Arial" w:cs="Arial"/>
                <w:snapToGrid w:val="false"/>
                <w:sz w:val="20"/>
              </w:rPr>
              <w:lastRenderedPageBreak/>
              <w:t>Vlastní financování způsobilých výdajů očištěných o příjmy projektu připadající na způsobilé výdaje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0E01605C" w14:textId="77777777">
            <w:pPr>
              <w:keepNext/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65DA746C" w14:textId="77777777">
            <w:pPr>
              <w:keepNext/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</w:tr>
      <w:tr w:rsidRPr="00737D68" w:rsidR="00737D68" w:rsidTr="00945A28" w14:paraId="5C7EEE8E" w14:textId="77777777">
        <w:tc>
          <w:tcPr>
            <w:tcW w:w="4680" w:type="dxa"/>
            <w:vAlign w:val="center"/>
          </w:tcPr>
          <w:p w:rsidRPr="00737D68" w:rsidR="00737D68" w:rsidP="00737D68" w:rsidRDefault="00737D68" w14:paraId="14D52D2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Dotace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51311BC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6402DA5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</w:tr>
      <w:tr w:rsidRPr="00737D68" w:rsidR="00737D68" w:rsidTr="00945A28" w14:paraId="38FC676B" w14:textId="77777777">
        <w:tc>
          <w:tcPr>
            <w:tcW w:w="4680" w:type="dxa"/>
            <w:vAlign w:val="center"/>
          </w:tcPr>
          <w:p w:rsidRPr="00737D68" w:rsidR="00737D68" w:rsidP="00737D68" w:rsidRDefault="00737D68" w14:paraId="0C92AB36" w14:textId="77777777">
            <w:pPr>
              <w:numPr>
                <w:ilvl w:val="0"/>
                <w:numId w:val="3"/>
              </w:numPr>
              <w:spacing w:before="60" w:after="60" w:line="240" w:lineRule="auto"/>
              <w:ind w:right="57"/>
              <w:jc w:val="both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 xml:space="preserve">z toho z Evropského sociálního fondu, tj. z prostředků poskytnutých ze státního rozpočtu na předfinancování výdajů, které mají být kryty prostředky z  Národního fondu (§ 44 odst. 2 písm. f) rozpočtových pravidel)  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71BEE02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  <w:p w:rsidRPr="00737D68" w:rsidR="00737D68" w:rsidP="00737D68" w:rsidRDefault="00737D68" w14:paraId="42A91D97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</w:p>
          <w:p w:rsidRPr="00737D68" w:rsidR="00737D68" w:rsidP="00737D68" w:rsidRDefault="00737D68" w14:paraId="6CE10E5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10EFC2FA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  <w:p w:rsidRPr="00737D68" w:rsidR="00737D68" w:rsidP="00737D68" w:rsidRDefault="00737D68" w14:paraId="59179A1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</w:p>
          <w:p w:rsidRPr="00737D68" w:rsidR="00737D68" w:rsidP="00737D68" w:rsidRDefault="00737D68" w14:paraId="797FDAD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</w:p>
        </w:tc>
      </w:tr>
      <w:tr w:rsidRPr="00737D68" w:rsidR="00737D68" w:rsidTr="00945A28" w14:paraId="20620EDE" w14:textId="77777777">
        <w:tc>
          <w:tcPr>
            <w:tcW w:w="4680" w:type="dxa"/>
            <w:vAlign w:val="center"/>
          </w:tcPr>
          <w:p w:rsidRPr="00737D68" w:rsidR="00737D68" w:rsidP="00737D68" w:rsidRDefault="00737D68" w14:paraId="46183595" w14:textId="77777777">
            <w:pPr>
              <w:numPr>
                <w:ilvl w:val="0"/>
                <w:numId w:val="4"/>
              </w:numPr>
              <w:spacing w:before="60" w:after="60" w:line="240" w:lineRule="auto"/>
              <w:ind w:right="57"/>
              <w:jc w:val="both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 xml:space="preserve">z toho státní rozpočet, tj. prostředky ze státního rozpočtu na část národního spolufinancování (§ 44 odst. 2 písm. j) rozpočtových pravidel).   </w:t>
            </w:r>
          </w:p>
        </w:tc>
        <w:tc>
          <w:tcPr>
            <w:tcW w:w="2124" w:type="dxa"/>
            <w:vAlign w:val="center"/>
          </w:tcPr>
          <w:p w:rsidRPr="00737D68" w:rsidR="00737D68" w:rsidP="00737D68" w:rsidRDefault="00737D68" w14:paraId="29CC7A6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2481BDF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[…]</w:t>
            </w:r>
          </w:p>
        </w:tc>
      </w:tr>
    </w:tbl>
    <w:p w:rsidRPr="00737D68" w:rsidR="00737D68" w:rsidP="00737D68" w:rsidRDefault="00737D68" w14:paraId="6CE11577" w14:textId="77777777">
      <w:pPr>
        <w:spacing w:before="120" w:after="60" w:line="240" w:lineRule="auto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Všechny výdaje projektu jsou neinvestičního charakteru.</w:t>
      </w:r>
    </w:p>
    <w:p w:rsidRPr="00737D68" w:rsidR="00737D68" w:rsidP="00737D68" w:rsidRDefault="00737D68" w14:paraId="120166A0" w14:textId="77777777">
      <w:pPr>
        <w:numPr>
          <w:ilvl w:val="1"/>
          <w:numId w:val="13"/>
        </w:numPr>
        <w:spacing w:before="120" w:after="60" w:line="240" w:lineRule="auto"/>
        <w:ind w:left="709" w:hanging="709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respektovat stanovený podíl (v %) zapojení vlastních zdrojů do financování způsobilých výdajů projektu dle výše uvedené tabulky. Vyjádření závazku vlastního financování částkou v Kč je pouze orientační.</w:t>
      </w:r>
    </w:p>
    <w:p w:rsidRPr="00737D68" w:rsidR="00737D68" w:rsidP="00737D68" w:rsidRDefault="00737D68" w14:paraId="5ACACD48" w14:textId="77777777">
      <w:pPr>
        <w:numPr>
          <w:ilvl w:val="1"/>
          <w:numId w:val="13"/>
        </w:numPr>
        <w:spacing w:after="60" w:line="240" w:lineRule="auto"/>
        <w:ind w:left="709" w:hanging="709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Dotace je poskytována na způsobilé výdaje projektu, které nejsou či nebudou kryty z příjmů projektu připadajících na způsobilé výdaje, ani z jiných zdrojů příjemce. </w:t>
      </w:r>
    </w:p>
    <w:p w:rsidRPr="00737D68" w:rsidR="00737D68" w:rsidP="00737D68" w:rsidRDefault="00737D68" w14:paraId="31323619" w14:textId="77777777">
      <w:pPr>
        <w:numPr>
          <w:ilvl w:val="1"/>
          <w:numId w:val="13"/>
        </w:numPr>
        <w:spacing w:after="60" w:line="240" w:lineRule="auto"/>
        <w:ind w:left="709" w:hanging="709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Pro zapojení zdrojů financování dle výše uvedené tabulky jsou rozhodující hodnoty podílů vyjádřené v procentech. Vyjádření v Kč je jako závazné a maximálně možné stanoveno pouze pro zdroj „Evropský sociální fond“, pro další zdroj se jedná o vyjádření pouze orientační.</w:t>
      </w:r>
    </w:p>
    <w:p w:rsidRPr="00737D68" w:rsidR="00737D68" w:rsidP="00737D68" w:rsidRDefault="00737D68" w14:paraId="6E5228FB" w14:textId="77777777">
      <w:pPr>
        <w:numPr>
          <w:ilvl w:val="1"/>
          <w:numId w:val="13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Skutečná výše dotace, která bude příjemci poskytnuta, bude určena na základě skutečně dosažených a řádně prokázaných jednotek, k nimž poskytovatel stanovil jednotkové náklady. Bližší specifikace je uvedena v části II bodu 3.2 tohoto Rozhodnutí. Výše dotace bude v souladu s Pravidly OPZ a právními předpisy ČR a EU snížena o ty příjmy, které projekt vytvoří v průběhu své realizace, které převýší částku příjmů projektu uvedenou v bodě 2.1 této části Rozhodnutí a které přesáhnou objem vlastního financování způsobilých výdajů uvedený v bodě 2.1 této části Rozhodnutí. Příjmy, které nepřesáhnou částku, kterou do financování projektu vkládá příjemce podpory, nesnižují dotaci.</w:t>
      </w:r>
    </w:p>
    <w:p w:rsidRPr="00737D68" w:rsidR="00737D68" w:rsidP="00737D68" w:rsidRDefault="00737D68" w14:paraId="60FB2576" w14:textId="77777777">
      <w:pPr>
        <w:numPr>
          <w:ilvl w:val="1"/>
          <w:numId w:val="13"/>
        </w:numPr>
        <w:spacing w:after="60" w:line="240" w:lineRule="auto"/>
        <w:ind w:left="709" w:hanging="709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Dojde-li v průběhu realizace projektu ke snížení způsobilých výdajů, musí být vždy zachovány procentní podíly pro zapojení vlastního financování způsobilých výdajů a dotace uvedené v bodě 2.1 této části.</w:t>
      </w:r>
    </w:p>
    <w:p w:rsidRPr="00737D68" w:rsidR="00737D68" w:rsidP="00737D68" w:rsidRDefault="00737D68" w14:paraId="1DD8F883" w14:textId="77777777">
      <w:pPr>
        <w:numPr>
          <w:ilvl w:val="1"/>
          <w:numId w:val="13"/>
        </w:numPr>
        <w:spacing w:after="240" w:line="240" w:lineRule="auto"/>
        <w:ind w:left="709" w:hanging="709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Režim financování projektu:</w:t>
      </w:r>
      <w:r w:rsidRPr="00737D68">
        <w:rPr>
          <w:rFonts w:ascii="Arial" w:hAnsi="Arial" w:eastAsia="Times New Roman" w:cs="Arial"/>
          <w:vertAlign w:val="superscript"/>
          <w:lang w:eastAsia="cs-CZ"/>
        </w:rPr>
        <w:footnoteReference w:id="5"/>
      </w:r>
      <w:r w:rsidRPr="00737D68">
        <w:rPr>
          <w:rFonts w:ascii="Arial" w:hAnsi="Arial" w:eastAsia="Times New Roman" w:cs="Arial"/>
          <w:lang w:eastAsia="cs-CZ"/>
        </w:rPr>
        <w:t xml:space="preserve"> ex-ante/ex-post.</w:t>
      </w:r>
    </w:p>
    <w:p w:rsidRPr="00737D68" w:rsidR="00737D68" w:rsidP="00737D68" w:rsidRDefault="00737D68" w14:paraId="27C2687F" w14:textId="77777777">
      <w:pPr>
        <w:keepNext/>
        <w:numPr>
          <w:ilvl w:val="0"/>
          <w:numId w:val="14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Účel dotace</w:t>
      </w:r>
    </w:p>
    <w:p w:rsidRPr="00737D68" w:rsidR="00737D68" w:rsidP="00737D68" w:rsidRDefault="00737D68" w14:paraId="682F9EBC" w14:textId="77777777">
      <w:pPr>
        <w:keepNext/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szCs w:val="24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 rámci realizace projektu identifikovaného názvem a registračním číslem v úvodní části tohoto Rozhodnutí je účelem dotace </w:t>
      </w:r>
      <w:r w:rsidRPr="00737D68">
        <w:rPr>
          <w:rFonts w:ascii="Arial" w:hAnsi="Arial" w:eastAsia="Times New Roman" w:cs="Arial"/>
          <w:szCs w:val="20"/>
          <w:lang w:eastAsia="cs-CZ"/>
        </w:rPr>
        <w:t>podpora dalšího profesního vzdělávání zaměstnanců</w:t>
      </w:r>
      <w:r w:rsidRPr="00737D68">
        <w:rPr>
          <w:rFonts w:ascii="Arial" w:hAnsi="Arial" w:eastAsia="Times New Roman" w:cs="Arial"/>
          <w:szCs w:val="24"/>
          <w:lang w:eastAsia="cs-CZ"/>
        </w:rPr>
        <w:t>.</w:t>
      </w:r>
    </w:p>
    <w:p w:rsidRPr="00737D68" w:rsidR="00737D68" w:rsidP="00737D68" w:rsidRDefault="00737D68" w14:paraId="05E980E5" w14:textId="77777777">
      <w:pPr>
        <w:keepNext/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6A028890" w14:textId="77777777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Lhůta, v níž má být dosaženo účelu</w:t>
      </w:r>
    </w:p>
    <w:p w:rsidRPr="00737D68" w:rsidR="00737D68" w:rsidP="00737D68" w:rsidRDefault="00737D68" w14:paraId="7E3DDF11" w14:textId="77777777">
      <w:pPr>
        <w:spacing w:after="6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Účelu dotace musí být dosaženo ve lhůtě: </w:t>
      </w:r>
    </w:p>
    <w:p w:rsidRPr="00737D68" w:rsidR="00737D68" w:rsidP="00737D68" w:rsidRDefault="00737D68" w14:paraId="26A37874" w14:textId="77777777">
      <w:pPr>
        <w:numPr>
          <w:ilvl w:val="0"/>
          <w:numId w:val="1"/>
        </w:numPr>
        <w:tabs>
          <w:tab w:val="center" w:pos="4536"/>
          <w:tab w:val="left" w:pos="5940"/>
          <w:tab w:val="right" w:pos="9072"/>
        </w:tabs>
        <w:spacing w:after="6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lastRenderedPageBreak/>
        <w:t>datum zahájení realizace projektu:</w:t>
      </w:r>
      <w:r w:rsidRPr="00737D68">
        <w:rPr>
          <w:rFonts w:ascii="Arial" w:hAnsi="Arial" w:eastAsia="Arial" w:cs="Arial"/>
        </w:rPr>
        <w:tab/>
        <w:t>[…]</w:t>
      </w:r>
    </w:p>
    <w:p w:rsidRPr="00737D68" w:rsidR="00737D68" w:rsidP="00737D68" w:rsidRDefault="00737D68" w14:paraId="6850B58E" w14:textId="77777777">
      <w:pPr>
        <w:numPr>
          <w:ilvl w:val="0"/>
          <w:numId w:val="1"/>
        </w:numPr>
        <w:tabs>
          <w:tab w:val="center" w:pos="4536"/>
          <w:tab w:val="left" w:pos="5940"/>
          <w:tab w:val="right" w:pos="9072"/>
        </w:tabs>
        <w:spacing w:after="220" w:line="240" w:lineRule="auto"/>
        <w:ind w:left="714" w:hanging="357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datum ukončení realizace projektu nejpozději do:</w:t>
      </w:r>
      <w:r w:rsidRPr="00737D68">
        <w:rPr>
          <w:rFonts w:ascii="Arial" w:hAnsi="Arial" w:eastAsia="Arial" w:cs="Arial"/>
        </w:rPr>
        <w:tab/>
        <w:t>[…]</w:t>
      </w:r>
    </w:p>
    <w:p w:rsidRPr="00737D68" w:rsidR="00737D68" w:rsidP="00737D68" w:rsidRDefault="00737D68" w14:paraId="7B520A5C" w14:textId="77777777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Vzájemná komunikace poskytovatele a příjemce</w:t>
      </w:r>
    </w:p>
    <w:p w:rsidRPr="00737D68" w:rsidR="00737D68" w:rsidP="00737D68" w:rsidRDefault="00737D68" w14:paraId="15645C57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Příjemce a poskytovatel budou v případě doručování písemností, které musí být opatřeny podpisem osoby oprávněné jednat za daný subjekt, přednostně používat informační systém MS2014+. Příjemce je povinen zajistit, aby se seznámil se všemi zprávami, které mu budou od poskytovatele doručeny prostřednictvím MS2014+. </w:t>
      </w:r>
    </w:p>
    <w:p w:rsidRPr="00737D68" w:rsidR="00737D68" w:rsidP="00737D68" w:rsidRDefault="00737D68" w14:paraId="46374541" w14:textId="77777777">
      <w:pPr>
        <w:keepNext/>
        <w:shd w:val="clear" w:color="auto" w:fill="F2F2F2"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>Část II – Obecné povinnosti příjemce</w:t>
      </w:r>
    </w:p>
    <w:p w:rsidRPr="00737D68" w:rsidR="00737D68" w:rsidP="00737D68" w:rsidRDefault="00737D68" w14:paraId="5168ABAC" w14:textId="77777777">
      <w:pPr>
        <w:keepNext/>
        <w:numPr>
          <w:ilvl w:val="0"/>
          <w:numId w:val="15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Užití dotace </w:t>
      </w:r>
    </w:p>
    <w:p w:rsidRPr="00737D68" w:rsidR="00737D68" w:rsidP="00737D68" w:rsidRDefault="00737D68" w14:paraId="378ED641" w14:textId="77777777">
      <w:pPr>
        <w:keepNext/>
        <w:numPr>
          <w:ilvl w:val="1"/>
          <w:numId w:val="15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Při použití dotace je příjemce povinen dodržovat podmínky stanovené právními předpisy EU a ČR, tímto Rozhodnutím a Pravidly OPZ, kterými jsou: </w:t>
      </w:r>
    </w:p>
    <w:p w:rsidRPr="00737D68" w:rsidR="00737D68" w:rsidP="00737D68" w:rsidRDefault="00737D68" w14:paraId="7DBE3D3F" w14:textId="77777777">
      <w:pPr>
        <w:numPr>
          <w:ilvl w:val="0"/>
          <w:numId w:val="6"/>
        </w:numPr>
        <w:spacing w:after="6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Obecná část pravidel pro žadatele a příjemce v rámci OPZ a</w:t>
      </w:r>
    </w:p>
    <w:p w:rsidRPr="00737D68" w:rsidR="00737D68" w:rsidP="00737D68" w:rsidRDefault="00737D68" w14:paraId="06409E97" w14:textId="77777777">
      <w:pPr>
        <w:numPr>
          <w:ilvl w:val="0"/>
          <w:numId w:val="6"/>
        </w:numPr>
        <w:spacing w:after="6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Specifická část pravidel pro žadatele a příjemce v rámci OPZ pro projekty s jednotkovými náklady zaměřené na další profesní vzdělávání (dále jen „</w:t>
      </w:r>
      <w:r w:rsidRPr="00737D68">
        <w:rPr>
          <w:rFonts w:ascii="Arial" w:hAnsi="Arial" w:eastAsia="Arial" w:cs="Arial"/>
          <w:i/>
        </w:rPr>
        <w:t>Specifická pravidla</w:t>
      </w:r>
      <w:r w:rsidRPr="00737D68">
        <w:rPr>
          <w:rFonts w:ascii="Arial" w:hAnsi="Arial" w:eastAsia="Arial" w:cs="Arial"/>
        </w:rPr>
        <w:t>")</w:t>
      </w:r>
    </w:p>
    <w:p w:rsidRPr="00737D68" w:rsidR="00737D68" w:rsidP="00737D68" w:rsidRDefault="00737D68" w14:paraId="7810AE57" w14:textId="77777777">
      <w:pPr>
        <w:numPr>
          <w:ilvl w:val="1"/>
          <w:numId w:val="15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Pravidla OPZ jsou uveřejněna na webovém portálu poskytovatele </w:t>
      </w:r>
      <w:hyperlink w:history="true" r:id="rId11">
        <w:r w:rsidRPr="00737D68">
          <w:rPr>
            <w:rFonts w:ascii="Arial" w:hAnsi="Arial" w:eastAsia="Times New Roman" w:cs="Arial"/>
            <w:color w:val="084A8B"/>
            <w:u w:val="single"/>
            <w:lang w:eastAsia="cs-CZ"/>
          </w:rPr>
          <w:t>www.esfcr.cz</w:t>
        </w:r>
      </w:hyperlink>
      <w:r w:rsidRPr="00737D68">
        <w:rPr>
          <w:rFonts w:ascii="Arial" w:hAnsi="Arial" w:eastAsia="Times New Roman" w:cs="Arial"/>
          <w:lang w:eastAsia="cs-CZ"/>
        </w:rPr>
        <w:t xml:space="preserve">. </w:t>
      </w:r>
    </w:p>
    <w:p w:rsidRPr="00737D68" w:rsidR="00737D68" w:rsidP="00737D68" w:rsidRDefault="00737D68" w14:paraId="32FD353E" w14:textId="77777777">
      <w:pPr>
        <w:numPr>
          <w:ilvl w:val="1"/>
          <w:numId w:val="15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dotace je povinen řídit se při realizaci projektu podmínkami upravenými v Pravidlech OPZ, nestanoví-li toto Rozhodnutí jinak.</w:t>
      </w:r>
    </w:p>
    <w:p w:rsidRPr="00737D68" w:rsidR="00737D68" w:rsidP="00737D68" w:rsidRDefault="00737D68" w14:paraId="36F06C42" w14:textId="77777777">
      <w:pPr>
        <w:numPr>
          <w:ilvl w:val="1"/>
          <w:numId w:val="15"/>
        </w:num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Pravidla OPZ jsou pro příjemce dotace závazná ve verzi platné v den učinění příslušného úkonu souvisejícího s realizací projektu, nebo v den porušení příslušného ustanovení plynoucího z právních předpisů, tohoto Rozhodnutí či Pravidel OPZ. Při zadávání zakázek je pro příjemce závazná verze Pravidel OPZ platná v den zahájení zadávání zakázky. O vydání nové revize Pravidel OPZ uvědomí poskytovatel příjemce bez zbytečného odkladu elektronickou formou prostřednictvím informačního systému MS2014+.</w:t>
      </w:r>
    </w:p>
    <w:p w:rsidRPr="00737D68" w:rsidR="00737D68" w:rsidP="00737D68" w:rsidRDefault="00737D68" w14:paraId="4075E68F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Splnění účelu a realizace projektu</w:t>
      </w:r>
    </w:p>
    <w:p w:rsidRPr="00737D68" w:rsidR="00737D68" w:rsidP="00737D68" w:rsidRDefault="00737D68" w14:paraId="061AD9D7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splnit účel dotace uvedený v části I. bodě 3 tohoto Rozhodnutí. </w:t>
      </w:r>
    </w:p>
    <w:p w:rsidRPr="00737D68" w:rsidR="00737D68" w:rsidP="00737D68" w:rsidRDefault="00737D68" w14:paraId="4F23B112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realizovat projekt v souladu s Informací o projektu, která tvoří přílohu č. 1 tohoto Rozhodnutí, není-li v Rozhodnutí uvedeno jinak, a to ve znění jejích případných změn, k jejichž provedení je příjemce oprávněn dle Pravidel OPZ, anebo ve znění změn, které poskytovatel dle Pravidel OPZ schválil.</w:t>
      </w:r>
    </w:p>
    <w:p w:rsidRPr="00737D68" w:rsidR="00737D68" w:rsidP="00737D68" w:rsidRDefault="00737D68" w14:paraId="274CE093" w14:textId="77777777">
      <w:pPr>
        <w:keepNext/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Způsobilé výdaje</w:t>
      </w:r>
    </w:p>
    <w:p w:rsidRPr="00737D68" w:rsidR="00737D68" w:rsidP="00737D68" w:rsidRDefault="00737D68" w14:paraId="4B50237F" w14:textId="77777777">
      <w:pPr>
        <w:keepNext/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Dotace je určena na úhradu způsobilých výdajů, které poskytovatel stanovil jakožto paušální na základě jednotkových nákladů v návaznosti na § 14 odst. 6 písm. b) rozpočtových pravidel.</w:t>
      </w:r>
    </w:p>
    <w:p w:rsidRPr="00737D68" w:rsidR="00737D68" w:rsidP="00737D68" w:rsidRDefault="00737D68" w14:paraId="5C6E8C89" w14:textId="77777777">
      <w:pPr>
        <w:keepNext/>
        <w:numPr>
          <w:ilvl w:val="1"/>
          <w:numId w:val="15"/>
        </w:numPr>
        <w:spacing w:after="12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Výdaje mohou být považovány za způsobilé pouze tehdy, pokud příjemce doloží v souladu s Pravidly OPZ dosažení jednotek, k nimž byly poskytovatelem stanoveny jednotkové náklady.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127"/>
        <w:gridCol w:w="5103"/>
        <w:gridCol w:w="1842"/>
      </w:tblGrid>
      <w:tr w:rsidRPr="00737D68" w:rsidR="00737D68" w:rsidTr="00945A28" w14:paraId="5620218C" w14:textId="77777777">
        <w:trPr>
          <w:tblHeader/>
        </w:trPr>
        <w:tc>
          <w:tcPr>
            <w:tcW w:w="2127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181255F7" w14:textId="77777777">
            <w:pPr>
              <w:spacing w:before="60" w:after="6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737D68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12789151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737D68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Definice jednotky</w:t>
            </w: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366B86D3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737D68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Jednotkový náklad (v Kč)</w:t>
            </w:r>
          </w:p>
        </w:tc>
      </w:tr>
      <w:tr w:rsidRPr="00737D68" w:rsidR="00737D68" w:rsidTr="00945A28" w14:paraId="0958E75D" w14:textId="77777777">
        <w:tc>
          <w:tcPr>
            <w:tcW w:w="2127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29B3C9FC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71587F04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6B0DBEAD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737D68" w:rsidR="00737D68" w:rsidTr="00945A28" w14:paraId="252609F4" w14:textId="77777777">
        <w:tc>
          <w:tcPr>
            <w:tcW w:w="2127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32B09FA5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3CE95402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5E48AD1D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737D68" w:rsidR="00737D68" w:rsidTr="00945A28" w14:paraId="61073C0F" w14:textId="77777777">
        <w:tc>
          <w:tcPr>
            <w:tcW w:w="2127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3F589601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447F7F54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6A44809F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737D68" w:rsidR="00737D68" w:rsidTr="00945A28" w14:paraId="2A119D75" w14:textId="77777777">
        <w:tc>
          <w:tcPr>
            <w:tcW w:w="2127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6D9805A8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7C1DE1AF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2167E6E5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737D68" w:rsidR="00737D68" w:rsidTr="00945A28" w14:paraId="780909F0" w14:textId="77777777">
        <w:tc>
          <w:tcPr>
            <w:tcW w:w="2127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00D2692D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Pr="00737D68" w:rsidR="00737D68" w:rsidP="00737D68" w:rsidRDefault="00737D68" w14:paraId="23198465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24F8CE24" w14:textId="77777777">
            <w:pPr>
              <w:spacing w:before="60" w:after="6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Pr="00737D68" w:rsidR="00737D68" w:rsidP="00737D68" w:rsidRDefault="00737D68" w14:paraId="0DCF2FFE" w14:textId="77777777">
      <w:pPr>
        <w:numPr>
          <w:ilvl w:val="1"/>
          <w:numId w:val="15"/>
        </w:numPr>
        <w:spacing w:before="120"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zajistit úhradu veškerých výdajů projektu, které nejsou kryty dotací, aby byl dodržen účel poskytnutí dotace na daný projekt.</w:t>
      </w:r>
    </w:p>
    <w:p w:rsidRPr="00737D68" w:rsidR="00737D68" w:rsidP="00737D68" w:rsidRDefault="00737D68" w14:paraId="6070DF70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Výši skutečně vzniklých výdajů projektu příjemce v souladu s § 14 odst. 6 písm. b) rozpočtových pravidel poskytovateli neprokazuje.</w:t>
      </w:r>
    </w:p>
    <w:p w:rsidRPr="00737D68" w:rsidR="00737D68" w:rsidP="00737D68" w:rsidRDefault="00737D68" w14:paraId="6538C66B" w14:textId="77777777">
      <w:pPr>
        <w:keepNext/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Udržitelnost projektu </w:t>
      </w:r>
    </w:p>
    <w:p w:rsidRPr="00737D68" w:rsidR="00737D68" w:rsidP="00737D68" w:rsidRDefault="00737D68" w14:paraId="4E20E4F1" w14:textId="77777777">
      <w:pPr>
        <w:keepNext/>
        <w:spacing w:after="22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Vzhledem k parametrům projektu není článek 71 odst. 3 nařízení Evropského parlamentu a Rady (EU) č. 1303/2013 ze dne 17. prosince 2013 o společných ustanoveních o 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pro projekt relevantní.</w:t>
      </w:r>
    </w:p>
    <w:p w:rsidRPr="00737D68" w:rsidR="00737D68" w:rsidP="00737D68" w:rsidRDefault="00737D68" w14:paraId="5EFBC4DF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Účetnictví a předávání dokumentace na vyžádání</w:t>
      </w:r>
    </w:p>
    <w:p w:rsidRPr="00737D68" w:rsidR="00737D68" w:rsidP="00737D68" w:rsidRDefault="00737D68" w14:paraId="7BBC783F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řádně účtovat o příjmech, resp. výnosech v podobě prostředků, kterými partner či další subjekty nebo osoby zapojené do realizace projektů spolufinancují z vlastních zdrojů činnosti projektu. Příjemce je povinen vést účetnictví v souladu se zákonem č. 563/1991 Sb., o účetnictví, ve znění pozdějších předpisů, a vést výnosy s jednoznačnou vazbou na projekt, nebo je povinen vést pro projekt tzv. daňovou evidenci podle zákona č. 586/1992 Sb., o daních z příjmů, ve znění pozdějších předpisů, rozšířenou tak, aby příslušné doklady vztahující se k projektu splňovaly náležitosti účetního dokladu ve smyslu § 11 zákona č. 563/1991 Sb. (s výjimkou písm. f) zákona) a aby předmětné doklady byly správné, úplné, průkazné, srozumitelné, vedené v písemné formě chronologicky a způsobem zaručujícím jejich trvanlivost a aby uskutečněné příjmy byly vedeny s jednoznačnou vazbou na projekt.</w:t>
      </w:r>
    </w:p>
    <w:p w:rsidRPr="00737D68" w:rsidR="00737D68" w:rsidP="00737D68" w:rsidRDefault="00737D68" w14:paraId="085E15E8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předat ve lhůtě stanovené poskytovatelem poskytovateli na jeho vyžádání doklady vztahující se k projektu převedené do digitální podoby.</w:t>
      </w:r>
    </w:p>
    <w:p w:rsidRPr="00737D68" w:rsidR="00737D68" w:rsidP="00737D68" w:rsidRDefault="00737D68" w14:paraId="1C7B1311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Zakázky </w:t>
      </w:r>
    </w:p>
    <w:p w:rsidRPr="00737D68" w:rsidR="00737D68" w:rsidP="00737D68" w:rsidRDefault="00737D68" w14:paraId="389725FA" w14:textId="77777777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Při zadávání zakázek v rámci realizace projektu je příjemce povinen postupovat v souladu s pravidly pro zadávání zakázek, jež jsou stanovena v Obecné části pravidel pro žadatele a příjemce v rámci OPZ.</w:t>
      </w:r>
    </w:p>
    <w:p w:rsidRPr="00737D68" w:rsidR="00737D68" w:rsidP="00737D68" w:rsidRDefault="00737D68" w14:paraId="1998C782" w14:textId="77777777">
      <w:pPr>
        <w:keepNext/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Plnění politik Evropské unie</w:t>
      </w:r>
    </w:p>
    <w:p w:rsidRPr="00737D68" w:rsidR="00737D68" w:rsidP="00737D68" w:rsidRDefault="00737D68" w14:paraId="152A77FB" w14:textId="77777777">
      <w:pPr>
        <w:spacing w:after="0" w:line="240" w:lineRule="auto"/>
        <w:jc w:val="both"/>
        <w:rPr>
          <w:rFonts w:ascii="Arial" w:hAnsi="Arial" w:eastAsia="Times New Roman" w:cs="Arial"/>
          <w:szCs w:val="24"/>
          <w:lang w:eastAsia="cs-CZ"/>
        </w:rPr>
      </w:pPr>
      <w:r w:rsidRPr="00737D68">
        <w:rPr>
          <w:rFonts w:ascii="Arial" w:hAnsi="Arial" w:eastAsia="Times New Roman" w:cs="Arial"/>
          <w:szCs w:val="24"/>
          <w:lang w:eastAsia="cs-CZ"/>
        </w:rPr>
        <w:t xml:space="preserve">Při realizaci projektu je příjemce povinen dodržovat politiky Evropské unie, zejména pravidla hospodářské soutěže a veřejné podpory, principy udržitelného rozvoje a prosazování rovných příležitostí. </w:t>
      </w:r>
    </w:p>
    <w:p w:rsidRPr="00737D68" w:rsidR="00737D68" w:rsidP="00737D68" w:rsidRDefault="00737D68" w14:paraId="1949A30A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Kontrola </w:t>
      </w:r>
    </w:p>
    <w:p w:rsidRPr="00737D68" w:rsidR="00737D68" w:rsidP="00737D68" w:rsidRDefault="00737D68" w14:paraId="39007BB8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Příjemce je povinen za účelem ověření plnění povinností vyplývajících z tohoto Rozhodnutí vytvořit podmínky k provedení kontroly 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kontroly. Těmito oprávněnými osobami jsou poskytovatel (Řídicí orgán), orgány finanční správy, Ministerstvo financí, Nejvyšší kontrolní úřad, Evropská komise a Evropský účetní dvůr, případně další orgány oprávněné k výkonu kontroly.</w:t>
      </w:r>
    </w:p>
    <w:p w:rsidRPr="00737D68" w:rsidR="00737D68" w:rsidP="00737D68" w:rsidRDefault="00737D68" w14:paraId="62970773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Informační a komunikační opatření</w:t>
      </w:r>
    </w:p>
    <w:p w:rsidRPr="00737D68" w:rsidR="00737D68" w:rsidP="00737D68" w:rsidRDefault="00737D68" w14:paraId="5705BD2A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provádět informační a komunikační opatření projektu v souladu s Pravidly OPZ.</w:t>
      </w:r>
    </w:p>
    <w:p w:rsidRPr="00737D68" w:rsidR="00737D68" w:rsidP="00737D68" w:rsidRDefault="00737D68" w14:paraId="1236CDCD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zajistit nápravu nedostatků týkajících se provádění informačních a komunikačních opatření projektu ve výzvě k provedení této nápravy, kterou příjemci adresuje poskytovatel. </w:t>
      </w:r>
    </w:p>
    <w:p w:rsidRPr="00737D68" w:rsidR="00737D68" w:rsidP="00737D68" w:rsidRDefault="00737D68" w14:paraId="5B81E745" w14:textId="77777777">
      <w:pPr>
        <w:keepNext/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Poskytování údajů o realizaci projektu </w:t>
      </w:r>
    </w:p>
    <w:p w:rsidRPr="00737D68" w:rsidR="00737D68" w:rsidP="00737D68" w:rsidRDefault="00737D68" w14:paraId="21922BF1" w14:textId="77777777">
      <w:pPr>
        <w:keepNext/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Příjemce je povinen na základě žádosti poskytovatele nebo Ministerstva financí poskytnout těmto písemně jakékoliv doplňující informace související s realizací projektu, a to ve lhůtě stanovené poskytovatelem, resp. Ministerstvem financí.</w:t>
      </w:r>
    </w:p>
    <w:p w:rsidRPr="00737D68" w:rsidR="00737D68" w:rsidP="00737D68" w:rsidRDefault="00737D68" w14:paraId="7FAC8946" w14:textId="77777777">
      <w:pPr>
        <w:keepNext/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Oznamovací povinnost</w:t>
      </w:r>
    </w:p>
    <w:p w:rsidRPr="00737D68" w:rsidR="00737D68" w:rsidP="00737D68" w:rsidRDefault="00737D68" w14:paraId="191B42A2" w14:textId="77777777">
      <w:pPr>
        <w:keepNext/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poskytovatele informovat o zahájeném insolvenčním řízení, a to do 5 dnů od uveřejnění vyhlášky o insolvenčním návrhu na portálu </w:t>
      </w:r>
      <w:r w:rsidRPr="00737D68">
        <w:rPr>
          <w:rFonts w:ascii="Arial" w:hAnsi="Arial" w:eastAsia="Times New Roman" w:cs="Arial"/>
          <w:sz w:val="24"/>
          <w:szCs w:val="24"/>
          <w:lang w:eastAsia="cs-CZ"/>
        </w:rPr>
        <w:t xml:space="preserve"> </w:t>
      </w:r>
      <w:hyperlink w:history="true" r:id="rId12">
        <w:r w:rsidRPr="00737D68">
          <w:rPr>
            <w:rFonts w:ascii="Arial" w:hAnsi="Arial" w:eastAsia="Times New Roman" w:cs="Arial"/>
            <w:color w:val="084A8B"/>
            <w:u w:val="single"/>
            <w:lang w:eastAsia="cs-CZ"/>
          </w:rPr>
          <w:t>https://isir.justice.cz</w:t>
        </w:r>
      </w:hyperlink>
      <w:r w:rsidRPr="00737D68">
        <w:rPr>
          <w:rFonts w:ascii="Arial" w:hAnsi="Arial" w:eastAsia="Times New Roman" w:cs="Arial"/>
          <w:lang w:eastAsia="cs-CZ"/>
        </w:rPr>
        <w:t xml:space="preserve">. Příjemce je dále povinen informovat poskytovatele o vstupu příjemce do likvidace, a to do 5 dnů od uveřejnění výzvy likvidátora k přihlášení pohledávek uveřejněné na portálu </w:t>
      </w:r>
      <w:hyperlink w:history="true" r:id="rId13">
        <w:r w:rsidRPr="00737D68">
          <w:rPr>
            <w:rFonts w:ascii="Arial" w:hAnsi="Arial" w:eastAsia="Times New Roman" w:cs="Arial"/>
            <w:color w:val="084A8B"/>
            <w:szCs w:val="24"/>
            <w:u w:val="single"/>
            <w:lang w:eastAsia="cs-CZ"/>
          </w:rPr>
          <w:t>http://ov.gov.cz</w:t>
        </w:r>
      </w:hyperlink>
      <w:r w:rsidRPr="00737D68">
        <w:rPr>
          <w:rFonts w:ascii="Arial" w:hAnsi="Arial" w:eastAsia="Times New Roman" w:cs="Arial"/>
          <w:lang w:eastAsia="cs-CZ"/>
        </w:rPr>
        <w:t>.</w:t>
      </w:r>
    </w:p>
    <w:p w:rsidRPr="00737D68" w:rsidR="00737D68" w:rsidP="00737D68" w:rsidRDefault="00737D68" w14:paraId="45D81299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dodržet Pravidla OPZ upravující oznamování změn týkajících se projektu.</w:t>
      </w:r>
    </w:p>
    <w:p w:rsidRPr="00737D68" w:rsidR="00737D68" w:rsidP="00737D68" w:rsidRDefault="00737D68" w14:paraId="0D4E57F1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Zákaz čerpání jiných podpor</w:t>
      </w:r>
    </w:p>
    <w:p w:rsidRPr="00737D68" w:rsidR="00737D68" w:rsidP="00737D68" w:rsidRDefault="00737D68" w14:paraId="119082A8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Příjemce není oprávněn čerpat na výdaje projektu, na které je poskytována dotace dle části I. bodu 2.1, jiné finanční prostředky z rozpočtových kapitol státního rozpočtu ČR, státních fondů, z rozpočtů obcí, měst a krajů, strukturálních fondů nebo jiných prostředků EU, než jsou prostředky uvedené v čl. I bodě 2.1 tohoto Rozhodnutí. V případě, že do projektu jsou zařazeny jen výdaje na pořízení či zajištění části určitého celku, pravidlo z předchozí věty se vztahuje jen na tu část výdajů, na kterou je poskytována dotace. </w:t>
      </w:r>
    </w:p>
    <w:p w:rsidRPr="00737D68" w:rsidR="00737D68" w:rsidP="00737D68" w:rsidRDefault="00737D68" w14:paraId="6FF13328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Vypořádání projektu</w:t>
      </w:r>
    </w:p>
    <w:p w:rsidRPr="00737D68" w:rsidR="00737D68" w:rsidP="00737D68" w:rsidRDefault="00737D68" w14:paraId="1344745A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Příjemce, jehož projekt je financován zálohově (v tzv. režimu ex ante), je povinen dotaci finančně vypořádat v souladu s rozpočtovými pravidly a </w:t>
      </w:r>
      <w:r w:rsidRPr="00737D68">
        <w:rPr>
          <w:rFonts w:ascii="Arial" w:hAnsi="Arial" w:eastAsia="Arial" w:cs="Times New Roman"/>
        </w:rPr>
        <w:t xml:space="preserve">aktuálně platnou </w:t>
      </w:r>
      <w:r w:rsidRPr="00737D68">
        <w:rPr>
          <w:rFonts w:ascii="Arial" w:hAnsi="Arial" w:eastAsia="Arial" w:cs="Arial"/>
        </w:rPr>
        <w:t>vyhláškou upravující zásady a lhůty finančního vypořádání vztahů se státním rozpočtem.</w:t>
      </w:r>
      <w:r w:rsidRPr="00737D68">
        <w:rPr>
          <w:rFonts w:ascii="Arial" w:hAnsi="Arial" w:eastAsia="Arial" w:cs="Arial"/>
          <w:vertAlign w:val="superscript"/>
        </w:rPr>
        <w:footnoteReference w:id="6"/>
      </w:r>
    </w:p>
    <w:p w:rsidRPr="00737D68" w:rsidR="00737D68" w:rsidP="00737D68" w:rsidRDefault="00737D68" w14:paraId="44306D0C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Uchovávání dokumentů</w:t>
      </w:r>
    </w:p>
    <w:p w:rsidRPr="00737D68" w:rsidR="00737D68" w:rsidP="00737D68" w:rsidRDefault="00737D68" w14:paraId="10D442B9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Příjemce je povinen uchovat veškeré dokumenty související s realizací projektu v souladu s platnými právními předpisy ČR, zejména v souladu s § 44a odst. 11 rozpočtových pravidel</w:t>
      </w:r>
      <w:r w:rsidRPr="00737D68">
        <w:rPr>
          <w:rFonts w:ascii="Arial" w:hAnsi="Arial" w:eastAsia="Arial" w:cs="Arial"/>
          <w:vertAlign w:val="superscript"/>
        </w:rPr>
        <w:footnoteReference w:id="7"/>
      </w:r>
      <w:r w:rsidRPr="00737D68">
        <w:rPr>
          <w:rFonts w:ascii="Arial" w:hAnsi="Arial" w:eastAsia="Arial" w:cs="Arial"/>
        </w:rPr>
        <w:t xml:space="preserve"> a Pravidly OPZ.</w:t>
      </w:r>
    </w:p>
    <w:p w:rsidRPr="00737D68" w:rsidR="00737D68" w:rsidP="00737D68" w:rsidRDefault="00737D68" w14:paraId="3A10731F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Péče o majetek </w:t>
      </w:r>
    </w:p>
    <w:p w:rsidRPr="00737D68" w:rsidR="00737D68" w:rsidP="00737D68" w:rsidRDefault="00737D68" w14:paraId="241D43C8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Příjemce je povinen po dobu realizace projektu zacházet s majetkem spolufinancovaným z dotace s péčí řádného hospodáře, zejména jej zabezpečit proti poškození, ztrátě nebo odcizení a nezatěžovat takový majetek žádnými věcnými právy třetích osob, včetně zástavního práva. Povinnost podle předchozí věty se netýká spotřebního materiálu.</w:t>
      </w:r>
    </w:p>
    <w:p w:rsidRPr="00737D68" w:rsidR="00737D68" w:rsidP="00737D68" w:rsidRDefault="00737D68" w14:paraId="11BE0921" w14:textId="77777777">
      <w:pPr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Práva duševního vlastnictví</w:t>
      </w:r>
    </w:p>
    <w:p w:rsidRPr="00737D68" w:rsidR="00737D68" w:rsidP="00737D68" w:rsidRDefault="00737D68" w14:paraId="4270F6AD" w14:textId="77777777">
      <w:pPr>
        <w:spacing w:after="24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Příjemce je povinen poskytovateli poskytnout neomezenou bezplatnou licenci k užití práv duševního vlastnictví včetně možnosti zcela nebo zčásti poskytnout třetí osobě oprávnění tvořící součást licence, jestliže byly při vzniku práv duševního vlastnictví použity prostředky této dotace, a to bez zbytečného odkladu po vzniku takových práv. Pokud je držitelem takových práv duševního vlastnictví vzniklých na základě zakázky jiná osoba než příjemce, je příjemce povinen ve smlouvě uzavřené s dodavatelem zajistit pro poskytovatele neomezenou bezplatnou licenci k užití těchto práv včetně možnosti zcela nebo zčásti poskytnout třetí osobě oprávnění tvořící součást licence.</w:t>
      </w:r>
    </w:p>
    <w:p w:rsidRPr="00737D68" w:rsidR="00737D68" w:rsidP="00737D68" w:rsidRDefault="00737D68" w14:paraId="02B433D4" w14:textId="77777777">
      <w:pPr>
        <w:keepNext/>
        <w:numPr>
          <w:ilvl w:val="0"/>
          <w:numId w:val="15"/>
        </w:numPr>
        <w:spacing w:before="240" w:after="1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Partnerství</w:t>
      </w:r>
      <w:r w:rsidRPr="00737D68">
        <w:rPr>
          <w:rFonts w:ascii="Arial" w:hAnsi="Arial" w:eastAsia="Times New Roman" w:cs="Arial"/>
          <w:bCs/>
          <w:vertAlign w:val="superscript"/>
          <w:lang w:eastAsia="cs-CZ"/>
        </w:rPr>
        <w:footnoteReference w:id="8"/>
      </w:r>
    </w:p>
    <w:p w:rsidRPr="00737D68" w:rsidR="00737D68" w:rsidP="00737D68" w:rsidRDefault="00737D68" w14:paraId="5634EB7C" w14:textId="77777777">
      <w:pPr>
        <w:keepNext/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zajistit, aby vztahy mezi příjemcem a jeho partnery, jejichž seznam je součástí Informace o projektu v příloze č. 1 tohoto Rozhodnutí, po celou dobu realizace projektu odpovídaly podmínkám partnerství uvedeným v Pravidlech OPZ.</w:t>
      </w:r>
    </w:p>
    <w:p w:rsidRPr="00737D68" w:rsidR="00737D68" w:rsidP="00737D68" w:rsidRDefault="00737D68" w14:paraId="473AD8FA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uzavřít s partnery s finančním příspěvkem smlouvu, která vymezuje vzájemné vztahy a role jednotlivých partnerů s finančním příspěvkem v projektu. Smlouva podle předchozí věty může být nahrazena jednostranným písemným prohlášením partnera se stejným obsahem, </w:t>
      </w:r>
    </w:p>
    <w:p w:rsidRPr="00737D68" w:rsidR="00737D68" w:rsidP="00737D68" w:rsidRDefault="00737D68" w14:paraId="37A2D300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Ve smlouvě s partnery s finančním příspěvkem je příjemce povinen zavázat partnery povinnostmi podle části II Rozhodnutí. To se netýká bodů 3.3, 11.1, 13 a 17. Pokud smlouvu nahrazuje jednostranné písemné prohlášení partnera, musí být součástí prohlášení závazek partnera dodržovat v tomto bodě uvedené povinnosti části II Rozhodnutí (netýká se bodů 3.3, 11.1, 13 a 17).</w:t>
      </w:r>
    </w:p>
    <w:p w:rsidRPr="00737D68" w:rsidR="00737D68" w:rsidP="00737D68" w:rsidRDefault="00737D68" w14:paraId="7C857B37" w14:textId="77777777">
      <w:pPr>
        <w:numPr>
          <w:ilvl w:val="1"/>
          <w:numId w:val="15"/>
        </w:num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odpovídá za splnění všech povinností partnerů s finančním příspěvkem podle části II uvedených v bodě 17.3. Pokud některý z partnerů poruší některou z těchto povinností, odpovídá příjemce podle části V tohoto Rozhodnutí, jako by tuto povinnost porušil sám.</w:t>
      </w:r>
    </w:p>
    <w:p w:rsidRPr="00737D68" w:rsidR="00737D68" w:rsidP="00737D68" w:rsidRDefault="00737D68" w14:paraId="27D4F37B" w14:textId="77777777">
      <w:pPr>
        <w:numPr>
          <w:ilvl w:val="1"/>
          <w:numId w:val="15"/>
        </w:numPr>
        <w:spacing w:after="220" w:line="240" w:lineRule="auto"/>
        <w:jc w:val="both"/>
        <w:rPr>
          <w:rFonts w:ascii="Arial" w:hAnsi="Arial" w:eastAsia="Times New Roman" w:cs="Arial"/>
          <w:szCs w:val="24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není oprávněn se svými partnery uzavírat v rámci tohoto projektu smluvní vztahy, jejichž předmětem je poskytování služeb, zboží nebo stavebních prací za úplatu. </w:t>
      </w:r>
    </w:p>
    <w:p w:rsidRPr="00737D68" w:rsidR="00737D68" w:rsidP="00737D68" w:rsidRDefault="00737D68" w14:paraId="2F8D6AF5" w14:textId="77777777">
      <w:pPr>
        <w:spacing w:after="22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Pr="00737D68" w:rsidR="00737D68" w:rsidP="00737D68" w:rsidRDefault="00737D68" w14:paraId="5F4D1876" w14:textId="77777777">
      <w:pPr>
        <w:keepNext/>
        <w:shd w:val="clear" w:color="auto" w:fill="F2F2F2"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 xml:space="preserve">Část III – Specifické povinnosti příjemce týkající se realizace projektu </w:t>
      </w:r>
    </w:p>
    <w:p w:rsidRPr="00737D68" w:rsidR="00737D68" w:rsidP="00737D68" w:rsidRDefault="00737D68" w14:paraId="2BB05071" w14:textId="77777777">
      <w:pPr>
        <w:keepNext/>
        <w:numPr>
          <w:ilvl w:val="0"/>
          <w:numId w:val="16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Vazba na výzvu k předkládání žádostí o podporu</w:t>
      </w:r>
    </w:p>
    <w:p w:rsidRPr="00737D68" w:rsidR="00737D68" w:rsidP="00737D68" w:rsidRDefault="00737D68" w14:paraId="260AD645" w14:textId="77777777">
      <w:pPr>
        <w:widowControl w:val="false"/>
        <w:tabs>
          <w:tab w:val="num" w:pos="720"/>
        </w:tabs>
        <w:overflowPunct w:val="false"/>
        <w:autoSpaceDE w:val="false"/>
        <w:autoSpaceDN w:val="false"/>
        <w:adjustRightInd w:val="false"/>
        <w:spacing w:after="6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během realizace projektu dodržovat tyto podmínky, jež vycházejí z výzvy k předkládání žádostí o podporu, na základě které byl projekt vybrán k poskytnutí dotace:</w:t>
      </w:r>
    </w:p>
    <w:p w:rsidRPr="00737D68" w:rsidR="00737D68" w:rsidP="00737D68" w:rsidRDefault="00737D68" w14:paraId="08CAD908" w14:textId="77777777">
      <w:pPr>
        <w:widowControl w:val="false"/>
        <w:tabs>
          <w:tab w:val="num" w:pos="720"/>
        </w:tabs>
        <w:overflowPunct w:val="false"/>
        <w:autoSpaceDE w:val="false"/>
        <w:autoSpaceDN w:val="false"/>
        <w:adjustRightInd w:val="false"/>
        <w:spacing w:after="6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68F4B1B7" w14:textId="77777777">
      <w:pPr>
        <w:widowControl w:val="false"/>
        <w:overflowPunct w:val="false"/>
        <w:autoSpaceDE w:val="false"/>
        <w:autoSpaceDN w:val="false"/>
        <w:adjustRightInd w:val="false"/>
        <w:spacing w:after="22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Územní vymezení: </w:t>
      </w:r>
    </w:p>
    <w:p w:rsidRPr="00737D68" w:rsidR="00737D68" w:rsidP="00737D68" w:rsidRDefault="00737D68" w14:paraId="0E52A0F6" w14:textId="77777777">
      <w:pPr>
        <w:widowControl w:val="false"/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after="22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Programová oblast a území dopadu: ČR bez hl. m. Prahy</w:t>
      </w:r>
    </w:p>
    <w:p w:rsidRPr="00737D68" w:rsidR="00737D68" w:rsidP="00737D68" w:rsidRDefault="00737D68" w14:paraId="12F5AAED" w14:textId="77777777">
      <w:pPr>
        <w:widowControl w:val="false"/>
        <w:numPr>
          <w:ilvl w:val="0"/>
          <w:numId w:val="12"/>
        </w:numPr>
        <w:overflowPunct w:val="false"/>
        <w:autoSpaceDE w:val="false"/>
        <w:autoSpaceDN w:val="false"/>
        <w:adjustRightInd w:val="false"/>
        <w:spacing w:after="22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Místo realizace: ČR bez hl. m. Prahy</w:t>
      </w:r>
    </w:p>
    <w:p w:rsidRPr="00737D68" w:rsidR="00737D68" w:rsidP="00737D68" w:rsidRDefault="00737D68" w14:paraId="75AB0A5B" w14:textId="77777777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ind w:left="20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3DB9311B" w14:textId="77777777">
      <w:pPr>
        <w:numPr>
          <w:ilvl w:val="0"/>
          <w:numId w:val="16"/>
        </w:numPr>
        <w:spacing w:after="220" w:line="240" w:lineRule="auto"/>
        <w:ind w:left="357" w:hanging="357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Podmínky monitorování projektu </w:t>
      </w:r>
    </w:p>
    <w:p w:rsidRPr="00737D68" w:rsidR="00737D68" w:rsidP="00737D68" w:rsidRDefault="00737D68" w14:paraId="049DAFF4" w14:textId="77777777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Příjemce je povinen naplnit celkové cílové hodnoty indikátorů uvedených v Informaci o projektu v příloze č. 1 tohoto Rozhodnutí; definice indikátorů je obsažena v Pravidlech OPZ.</w:t>
      </w:r>
    </w:p>
    <w:p w:rsidRPr="00737D68" w:rsidR="00737D68" w:rsidP="00737D68" w:rsidRDefault="00737D68" w14:paraId="3073E0A2" w14:textId="77777777">
      <w:pPr>
        <w:spacing w:after="6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Celkovou cílovou hodnotu indikátorů výstupů, resp. výsledků příjemce naplní, pokud celková míra naplnění indikátorů výstupů, resp. výsledků dosáhne 100 %.</w:t>
      </w:r>
    </w:p>
    <w:p w:rsidRPr="00737D68" w:rsidR="00737D68" w:rsidP="00737D68" w:rsidRDefault="00737D68" w14:paraId="687D7B25" w14:textId="77777777">
      <w:pPr>
        <w:spacing w:after="6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Pro zjištění celkové míry naplnění indikátorů výstupů se sečtou procenta naplnění cílových hodnot uvedených v Informaci o projektu v příloze č. 1 tohoto Rozhodnutí u jednotlivých indikátorů výstupů a vydělí se počtem těchto indikátorů. Pokud nebyla vyčerpána celková maximální výše dotace, snižují se cílové hodnoty v Informaci o projektu v příloze č. 1 tohoto Rozhodnutí tak, že se vynásobí podílem skutečně vyčerpané částky dotace k celkové maximální výši dotace. Překročení cílové hodnoty jednotlivých indikátorů výstupů bude zohledněno maximálně v míře 120 %. Při zjištění celkové míry naplnění indikátorů výsledků se postupuje obdobně. </w:t>
      </w:r>
    </w:p>
    <w:p w:rsidRPr="00737D68" w:rsidR="00737D68" w:rsidP="00737D68" w:rsidRDefault="00737D68" w14:paraId="30EA218B" w14:textId="77777777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 w:rsidDel="008A1552">
        <w:rPr>
          <w:rFonts w:ascii="Arial" w:hAnsi="Arial" w:eastAsia="Times New Roman" w:cs="Arial"/>
          <w:lang w:eastAsia="cs-CZ"/>
        </w:rPr>
        <w:t>Příjemce je povinen předávat poskytovateli údaje nezbytné k průběžnému sledování přínosů projektu (monitorování projektu) a to zejména prostřednictvím předkládání zpráv o realizaci projektu</w:t>
      </w:r>
      <w:r w:rsidRPr="00737D68">
        <w:rPr>
          <w:rFonts w:ascii="Arial" w:hAnsi="Arial" w:eastAsia="Times New Roman" w:cs="Arial"/>
          <w:lang w:eastAsia="cs-CZ"/>
        </w:rPr>
        <w:t xml:space="preserve"> a aktualizace údajů v IS KP14+ o zakázkách a kontrolách/auditech týkajících se projektu (s výjimkou kontrol provedených poskytovatelem)</w:t>
      </w:r>
      <w:r w:rsidRPr="00737D68" w:rsidDel="008A1552">
        <w:rPr>
          <w:rFonts w:ascii="Arial" w:hAnsi="Arial" w:eastAsia="Times New Roman" w:cs="Arial"/>
          <w:lang w:eastAsia="cs-CZ"/>
        </w:rPr>
        <w:t>.</w:t>
      </w:r>
      <w:r w:rsidRPr="00737D68">
        <w:rPr>
          <w:rFonts w:ascii="Arial" w:hAnsi="Arial" w:eastAsia="Times New Roman" w:cs="Arial"/>
          <w:lang w:eastAsia="cs-CZ"/>
        </w:rPr>
        <w:t xml:space="preserve"> Průběžnou zprávu o realizaci projektu je příjemce povinen předložit do konce prvního měsíce následujícího po ukončení monitorovacího období a závěrečnou zprávu o realizaci projektu do konce druhého měsíce následujícího po ukončení posledního monitorovacího období. Pokud monitorovací období skončí v jiný než poslední den kalendářního měsíce, pak je příjemce povinen předložit příslušnou zprávu o realizaci ve lhůtě 30 dní, resp. 60 dní v případě závěrečné zprávy o realizaci ode dne skončení daného monitorovacího období.</w:t>
      </w:r>
      <w:r w:rsidRPr="00737D68">
        <w:rPr>
          <w:rFonts w:ascii="Arial" w:hAnsi="Arial" w:eastAsia="Times New Roman" w:cs="Arial"/>
          <w:vertAlign w:val="superscript"/>
          <w:lang w:eastAsia="cs-CZ"/>
        </w:rPr>
        <w:footnoteReference w:id="9"/>
      </w:r>
      <w:r w:rsidRPr="00737D68">
        <w:rPr>
          <w:rFonts w:ascii="Arial" w:hAnsi="Arial" w:eastAsia="Times New Roman" w:cs="Arial"/>
          <w:lang w:eastAsia="cs-CZ"/>
        </w:rPr>
        <w:t xml:space="preserve"> Aktualizaci údajů v IS KP14+ o zakázkách a kontrolách/auditech týkajících se projektu příjemce provádí minimálně k termínům pro předložení zpráv o realizaci projektu.</w:t>
      </w:r>
    </w:p>
    <w:p w:rsidRPr="00737D68" w:rsidR="00737D68" w:rsidP="00737D68" w:rsidRDefault="00737D68" w14:paraId="2115A8F1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Vymezení monitorovacích období projektu, za které je příjemce povinen předložit zprávu o realizaci projektu: </w:t>
      </w:r>
    </w:p>
    <w:p w:rsidRPr="00737D68" w:rsidR="00737D68" w:rsidP="00737D68" w:rsidRDefault="00737D68" w14:paraId="56FED80D" w14:textId="77777777">
      <w:pPr>
        <w:widowControl w:val="false"/>
        <w:overflowPunct w:val="false"/>
        <w:autoSpaceDE w:val="false"/>
        <w:autoSpaceDN w:val="false"/>
        <w:adjustRightInd w:val="false"/>
        <w:spacing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zprávy o realizaci projektu budou předloženy vždy za šestiměsíční monitorovací období.</w:t>
      </w:r>
    </w:p>
    <w:p w:rsidRPr="00737D68" w:rsidR="00737D68" w:rsidP="00737D68" w:rsidRDefault="00737D68" w14:paraId="09B354E6" w14:textId="77777777">
      <w:pPr>
        <w:numPr>
          <w:ilvl w:val="1"/>
          <w:numId w:val="16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předkládat zprávy o realizaci projektu ve formátu, který poskytovatel pro projekt nastaví v informačním systému MS2014+. </w:t>
      </w:r>
    </w:p>
    <w:p w:rsidRPr="00737D68" w:rsidR="00737D68" w:rsidP="00737D68" w:rsidRDefault="00737D68" w14:paraId="3FCCBDCB" w14:textId="77777777">
      <w:pPr>
        <w:widowControl w:val="false"/>
        <w:numPr>
          <w:ilvl w:val="1"/>
          <w:numId w:val="16"/>
        </w:numPr>
        <w:spacing w:before="40" w:after="220" w:line="240" w:lineRule="auto"/>
        <w:ind w:left="567" w:hanging="567"/>
        <w:jc w:val="both"/>
        <w:rPr>
          <w:rFonts w:ascii="Arial" w:hAnsi="Arial" w:eastAsia="Times New Roman" w:cs="Arial"/>
          <w:snapToGrid w:val="false"/>
          <w:sz w:val="20"/>
          <w:szCs w:val="24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Nápravy nedostatků žádostí o změnu projektu, zpráv o realizaci projektu (včetně spolu s nimi předložených žádostí o platbu) a případně další související dokumentace vyžádané poskytovatelem je příjemce povinen předkládat v termínech stanovených poskytovatelem.</w:t>
      </w:r>
    </w:p>
    <w:p w:rsidRPr="00737D68" w:rsidR="00737D68" w:rsidP="00737D68" w:rsidRDefault="00737D68" w14:paraId="2C99DE1A" w14:textId="77777777">
      <w:pPr>
        <w:keepNext/>
        <w:numPr>
          <w:ilvl w:val="0"/>
          <w:numId w:val="16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Veřejná podpora a podpora de minimis</w:t>
      </w:r>
    </w:p>
    <w:p w:rsidRPr="00737D68" w:rsidR="00737D68" w:rsidP="00737D68" w:rsidRDefault="00737D68" w14:paraId="25EA5E9E" w14:textId="77777777">
      <w:pPr>
        <w:keepNext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>Varianty</w:t>
      </w:r>
    </w:p>
    <w:p w:rsidRPr="00737D68" w:rsidR="00737D68" w:rsidP="00737D68" w:rsidRDefault="00737D68" w14:paraId="2B3C9EB4" w14:textId="77777777">
      <w:pPr>
        <w:keepNext/>
        <w:spacing w:before="40" w:after="40" w:line="240" w:lineRule="auto"/>
        <w:jc w:val="both"/>
        <w:rPr>
          <w:rFonts w:ascii="Arial" w:hAnsi="Arial" w:eastAsia="Arial" w:cs="Arial"/>
          <w:b/>
          <w:bCs/>
          <w:i/>
        </w:rPr>
      </w:pPr>
      <w:r w:rsidRPr="00737D68">
        <w:rPr>
          <w:rFonts w:ascii="Arial" w:hAnsi="Arial" w:eastAsia="Arial" w:cs="Arial"/>
          <w:b/>
          <w:bCs/>
          <w:i/>
        </w:rPr>
        <w:t>Možnost A</w:t>
      </w:r>
    </w:p>
    <w:p w:rsidRPr="00737D68" w:rsidR="00737D68" w:rsidP="00737D68" w:rsidRDefault="00737D68" w14:paraId="4FA127EC" w14:textId="77777777">
      <w:pPr>
        <w:keepNext/>
        <w:spacing w:before="40" w:after="40" w:line="240" w:lineRule="auto"/>
        <w:ind w:right="181"/>
        <w:jc w:val="both"/>
        <w:rPr>
          <w:rFonts w:ascii="Arial" w:hAnsi="Arial" w:eastAsia="Arial" w:cs="Arial"/>
          <w:i/>
        </w:rPr>
      </w:pPr>
      <w:r w:rsidRPr="00737D68">
        <w:rPr>
          <w:rFonts w:ascii="Arial" w:hAnsi="Arial" w:eastAsia="Arial" w:cs="Arial"/>
          <w:i/>
        </w:rPr>
        <w:t>(platí pro projekty, které nezakládají veřejnou podporu žádnému subjektu)</w:t>
      </w:r>
    </w:p>
    <w:p w:rsidRPr="00737D68" w:rsidR="00737D68" w:rsidP="00737D68" w:rsidRDefault="00737D68" w14:paraId="74855BFA" w14:textId="77777777">
      <w:pPr>
        <w:keepNext/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Dotace poskytnutá na realizaci projektu nezakládá veřejnou podporu. </w:t>
      </w:r>
    </w:p>
    <w:p w:rsidRPr="00737D68" w:rsidR="00737D68" w:rsidP="00737D68" w:rsidRDefault="00737D68" w14:paraId="3B267E75" w14:textId="77777777">
      <w:pPr>
        <w:spacing w:before="40" w:after="40" w:line="240" w:lineRule="auto"/>
        <w:ind w:right="181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---------------------------</w:t>
      </w:r>
    </w:p>
    <w:p w:rsidRPr="00737D68" w:rsidR="00737D68" w:rsidP="00737D68" w:rsidRDefault="00737D68" w14:paraId="4ECE1310" w14:textId="77777777">
      <w:pPr>
        <w:spacing w:before="40" w:after="40" w:line="240" w:lineRule="auto"/>
        <w:jc w:val="both"/>
        <w:rPr>
          <w:rFonts w:ascii="Arial" w:hAnsi="Arial" w:eastAsia="Arial" w:cs="Arial"/>
          <w:b/>
          <w:bCs/>
          <w:i/>
        </w:rPr>
      </w:pPr>
      <w:r w:rsidRPr="00737D68">
        <w:rPr>
          <w:rFonts w:ascii="Arial" w:hAnsi="Arial" w:eastAsia="Arial" w:cs="Arial"/>
          <w:b/>
          <w:bCs/>
          <w:i/>
        </w:rPr>
        <w:t>Možnost B</w:t>
      </w:r>
    </w:p>
    <w:p w:rsidRPr="00737D68" w:rsidR="00737D68" w:rsidP="00737D68" w:rsidRDefault="00737D68" w14:paraId="52BE2E5E" w14:textId="77777777">
      <w:pPr>
        <w:spacing w:before="40" w:after="40" w:line="240" w:lineRule="auto"/>
        <w:ind w:right="181"/>
        <w:jc w:val="both"/>
        <w:rPr>
          <w:rFonts w:ascii="Arial" w:hAnsi="Arial" w:eastAsia="Arial" w:cs="Arial"/>
          <w:i/>
        </w:rPr>
      </w:pPr>
      <w:r w:rsidRPr="00737D68">
        <w:rPr>
          <w:rFonts w:ascii="Arial" w:hAnsi="Arial" w:eastAsia="Arial" w:cs="Arial"/>
          <w:i/>
        </w:rPr>
        <w:t>(platí pro projekty, které zakládají podporu de minimis)</w:t>
      </w:r>
    </w:p>
    <w:p w:rsidRPr="00737D68" w:rsidR="00737D68" w:rsidP="00737D68" w:rsidRDefault="00737D68" w14:paraId="6505B904" w14:textId="77777777">
      <w:pPr>
        <w:numPr>
          <w:ilvl w:val="1"/>
          <w:numId w:val="9"/>
        </w:numPr>
        <w:spacing w:before="120" w:after="220" w:line="240" w:lineRule="auto"/>
        <w:ind w:left="567" w:hanging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 nařízením Komise (EU) č. 1407/2013 ze dne 18. prosince 2013 o použití článků 107 a 108 Smlouvy o fungování Evropské unie na podporu de </w:t>
      </w:r>
      <w:proofErr w:type="spellStart"/>
      <w:r w:rsidRPr="00737D68">
        <w:rPr>
          <w:rFonts w:ascii="Arial" w:hAnsi="Arial" w:eastAsia="Arial" w:cs="Times New Roman"/>
        </w:rPr>
        <w:t>minimis</w:t>
      </w:r>
      <w:proofErr w:type="spellEnd"/>
      <w:r w:rsidRPr="00737D68">
        <w:rPr>
          <w:rFonts w:ascii="Arial" w:hAnsi="Arial" w:eastAsia="Arial" w:cs="Times New Roman"/>
        </w:rPr>
        <w:t xml:space="preserve">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>. L 352, 18. 12. 2013, s. 1—8.</w:t>
      </w:r>
    </w:p>
    <w:p w:rsidRPr="00737D68" w:rsidR="00737D68" w:rsidP="00737D68" w:rsidRDefault="00737D68" w14:paraId="2797CBBC" w14:textId="77777777">
      <w:pPr>
        <w:spacing w:after="22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056FB9C0" w14:textId="77777777">
      <w:pPr>
        <w:spacing w:after="22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 nařízením Komise (EU) č. 1408/2013 ze dne 18. prosince 2013 o použití článků 107 a 108 Smlouvy o fungování Evropské unie na podporu de minimis v odvětví zemědělství,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352, 24. 12. 2013, s. 9—17. </w:t>
      </w:r>
    </w:p>
    <w:p w:rsidRPr="00737D68" w:rsidR="00737D68" w:rsidP="00737D68" w:rsidRDefault="00737D68" w14:paraId="2A35B50C" w14:textId="77777777">
      <w:pPr>
        <w:spacing w:after="22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696F4CF9" w14:textId="77777777">
      <w:pPr>
        <w:spacing w:after="22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 nařízením Komise (EU) č. 717/2014 ze dne 27. června 2014 o použití článků 107 a 108 Smlouvy o fungování Evropské unie na podporu de minimis v odvětví rybolovu a akvakultury,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>. L 190, 28. 6. 2014, s. 45—54.</w:t>
      </w:r>
    </w:p>
    <w:p w:rsidRPr="00737D68" w:rsidR="00737D68" w:rsidP="00737D68" w:rsidRDefault="00737D68" w14:paraId="6DE8CE76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---------------------------</w:t>
      </w:r>
    </w:p>
    <w:p w:rsidRPr="00737D68" w:rsidR="00737D68" w:rsidP="00737D68" w:rsidRDefault="00737D68" w14:paraId="17457530" w14:textId="77777777">
      <w:pPr>
        <w:spacing w:after="220" w:line="240" w:lineRule="auto"/>
        <w:jc w:val="both"/>
        <w:rPr>
          <w:rFonts w:ascii="Arial" w:hAnsi="Arial" w:eastAsia="Arial" w:cs="Times New Roman"/>
          <w:b/>
          <w:bCs/>
          <w:i/>
        </w:rPr>
      </w:pPr>
      <w:r w:rsidRPr="00737D68">
        <w:rPr>
          <w:rFonts w:ascii="Arial" w:hAnsi="Arial" w:eastAsia="Arial" w:cs="Times New Roman"/>
          <w:b/>
          <w:bCs/>
          <w:i/>
        </w:rPr>
        <w:t>Možnost C</w:t>
      </w:r>
    </w:p>
    <w:p w:rsidRPr="00737D68" w:rsidR="00737D68" w:rsidP="00737D68" w:rsidRDefault="00737D68" w14:paraId="5EAD70B4" w14:textId="77777777">
      <w:pPr>
        <w:spacing w:after="220" w:line="240" w:lineRule="auto"/>
        <w:jc w:val="both"/>
        <w:rPr>
          <w:rFonts w:ascii="Arial" w:hAnsi="Arial" w:eastAsia="Arial" w:cs="Times New Roman"/>
          <w:i/>
        </w:rPr>
      </w:pPr>
      <w:r w:rsidRPr="00737D68">
        <w:rPr>
          <w:rFonts w:ascii="Arial" w:hAnsi="Arial" w:eastAsia="Arial" w:cs="Times New Roman"/>
          <w:i/>
        </w:rPr>
        <w:t>(platí pro projekty, které zakládají příjemci veřejnou podporu podle blokové výjimky)</w:t>
      </w:r>
    </w:p>
    <w:p w:rsidRPr="00737D68" w:rsidR="00737D68" w:rsidP="00737D68" w:rsidRDefault="00737D68" w14:paraId="3EC9810F" w14:textId="77777777">
      <w:pPr>
        <w:numPr>
          <w:ilvl w:val="1"/>
          <w:numId w:val="16"/>
        </w:num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Projekt je z hlediska veřejné podpory následujícího charakteru: 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60"/>
        <w:gridCol w:w="2844"/>
        <w:gridCol w:w="2268"/>
      </w:tblGrid>
      <w:tr w:rsidRPr="00737D68" w:rsidR="00737D68" w:rsidTr="00945A28" w14:paraId="434CC93D" w14:textId="77777777">
        <w:tc>
          <w:tcPr>
            <w:tcW w:w="3960" w:type="dxa"/>
            <w:vAlign w:val="center"/>
          </w:tcPr>
          <w:p w:rsidRPr="00737D68" w:rsidR="00737D68" w:rsidP="00737D68" w:rsidRDefault="00737D68" w14:paraId="5368E3DB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</w:p>
        </w:tc>
        <w:tc>
          <w:tcPr>
            <w:tcW w:w="2844" w:type="dxa"/>
            <w:vAlign w:val="center"/>
          </w:tcPr>
          <w:p w:rsidRPr="00737D68" w:rsidR="00737D68" w:rsidP="00737D68" w:rsidRDefault="00737D68" w14:paraId="79FA265E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 Kč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0C9ECDE0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Podíl v %</w:t>
            </w:r>
            <w:r w:rsidRPr="00737D68">
              <w:rPr>
                <w:rFonts w:ascii="Arial" w:hAnsi="Arial" w:eastAsia="Arial" w:cs="Times New Roman"/>
                <w:snapToGrid w:val="false"/>
                <w:vertAlign w:val="superscript"/>
              </w:rPr>
              <w:footnoteReference w:id="10"/>
            </w:r>
          </w:p>
        </w:tc>
      </w:tr>
      <w:tr w:rsidRPr="00737D68" w:rsidR="00737D68" w:rsidTr="00945A28" w14:paraId="7A20C3A1" w14:textId="77777777">
        <w:tc>
          <w:tcPr>
            <w:tcW w:w="3960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73D11235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 projektu zakládající veřejnou podporu</w:t>
            </w:r>
          </w:p>
        </w:tc>
        <w:tc>
          <w:tcPr>
            <w:tcW w:w="2844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36B46E6B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42FCDFC1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100</w:t>
            </w:r>
          </w:p>
        </w:tc>
      </w:tr>
      <w:tr w:rsidRPr="00737D68" w:rsidR="00737D68" w:rsidTr="00945A28" w14:paraId="161D3899" w14:textId="77777777">
        <w:tc>
          <w:tcPr>
            <w:tcW w:w="3960" w:type="dxa"/>
            <w:vAlign w:val="center"/>
          </w:tcPr>
          <w:p w:rsidRPr="00737D68" w:rsidR="00737D68" w:rsidP="00737D68" w:rsidRDefault="00737D68" w14:paraId="55FDF37E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Vlastní financování</w:t>
            </w:r>
          </w:p>
        </w:tc>
        <w:tc>
          <w:tcPr>
            <w:tcW w:w="2844" w:type="dxa"/>
            <w:vAlign w:val="center"/>
          </w:tcPr>
          <w:p w:rsidRPr="00737D68" w:rsidR="00737D68" w:rsidP="00737D68" w:rsidRDefault="00737D68" w14:paraId="0A731A4B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7CC469D6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  <w:tr w:rsidRPr="00737D68" w:rsidR="00737D68" w:rsidTr="00945A28" w14:paraId="0BA85AAB" w14:textId="77777777">
        <w:tc>
          <w:tcPr>
            <w:tcW w:w="3960" w:type="dxa"/>
            <w:vAlign w:val="center"/>
          </w:tcPr>
          <w:p w:rsidRPr="00737D68" w:rsidR="00737D68" w:rsidP="00737D68" w:rsidRDefault="00737D68" w14:paraId="7A10F0D0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veřejné podpory</w:t>
            </w:r>
          </w:p>
        </w:tc>
        <w:tc>
          <w:tcPr>
            <w:tcW w:w="2844" w:type="dxa"/>
            <w:vAlign w:val="center"/>
          </w:tcPr>
          <w:p w:rsidRPr="00737D68" w:rsidR="00737D68" w:rsidP="00737D68" w:rsidRDefault="00737D68" w14:paraId="76F35458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6FF7ACAD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54AB024D" w14:textId="77777777">
      <w:pPr>
        <w:spacing w:before="120"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v režimu tzv. blokové výjimky vymezené v článku 31 (Podpora na vzdělávání) nařízení Komise (EU) č. 651/2014 ze dne 17. června 2014, kterým se v souladu s články 107 a 108 Smlouvy prohlašují určité kategorie podpory za slučitelné s vnitřním trhem,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187, 26. 6. 2014, s. 1—78. (Opatření podpory, v rámci něhož je podpora poskytována, se v návaznosti na výše uvedené nařízení rozumí OPZ, jehož plné znění je k dispozici na webovém portálu </w:t>
      </w:r>
      <w:hyperlink w:history="true" r:id="rId14">
        <w:r w:rsidRPr="00737D68">
          <w:rPr>
            <w:rFonts w:ascii="Arial" w:hAnsi="Arial" w:eastAsia="Arial" w:cs="Times New Roman"/>
            <w:color w:val="084A8B"/>
            <w:u w:val="single"/>
          </w:rPr>
          <w:t>www.esfcr.cz</w:t>
        </w:r>
      </w:hyperlink>
      <w:r w:rsidRPr="00737D68">
        <w:rPr>
          <w:rFonts w:ascii="Arial" w:hAnsi="Arial" w:eastAsia="Arial" w:cs="Times New Roman"/>
        </w:rPr>
        <w:t>.)</w:t>
      </w:r>
    </w:p>
    <w:p w:rsidRPr="00737D68" w:rsidR="00737D68" w:rsidP="00737D68" w:rsidRDefault="00737D68" w14:paraId="3F8415F2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---------------------------</w:t>
      </w:r>
    </w:p>
    <w:p w:rsidRPr="00737D68" w:rsidR="00737D68" w:rsidP="00737D68" w:rsidRDefault="00737D68" w14:paraId="494AB3D0" w14:textId="77777777">
      <w:pPr>
        <w:keepNext/>
        <w:spacing w:after="220" w:line="240" w:lineRule="auto"/>
        <w:jc w:val="both"/>
        <w:rPr>
          <w:rFonts w:ascii="Arial" w:hAnsi="Arial" w:eastAsia="Arial" w:cs="Times New Roman"/>
          <w:b/>
          <w:bCs/>
          <w:i/>
        </w:rPr>
      </w:pPr>
      <w:r w:rsidRPr="00737D68">
        <w:rPr>
          <w:rFonts w:ascii="Arial" w:hAnsi="Arial" w:eastAsia="Arial" w:cs="Times New Roman"/>
          <w:b/>
          <w:bCs/>
          <w:i/>
        </w:rPr>
        <w:t>Možnost D</w:t>
      </w:r>
    </w:p>
    <w:p w:rsidRPr="00737D68" w:rsidR="00737D68" w:rsidP="00737D68" w:rsidRDefault="00737D68" w14:paraId="51E116AA" w14:textId="77777777">
      <w:pPr>
        <w:keepNext/>
        <w:spacing w:after="220" w:line="240" w:lineRule="auto"/>
        <w:jc w:val="both"/>
        <w:rPr>
          <w:rFonts w:ascii="Arial" w:hAnsi="Arial" w:eastAsia="Arial" w:cs="Times New Roman"/>
          <w:i/>
        </w:rPr>
      </w:pPr>
      <w:r w:rsidRPr="00737D68">
        <w:rPr>
          <w:rFonts w:ascii="Arial" w:hAnsi="Arial" w:eastAsia="Arial" w:cs="Times New Roman"/>
          <w:i/>
        </w:rPr>
        <w:t>(platí pro projekty, které zakládají příjemci a partnerovi(</w:t>
      </w:r>
      <w:proofErr w:type="spellStart"/>
      <w:r w:rsidRPr="00737D68">
        <w:rPr>
          <w:rFonts w:ascii="Arial" w:hAnsi="Arial" w:eastAsia="Arial" w:cs="Times New Roman"/>
          <w:i/>
        </w:rPr>
        <w:t>ům</w:t>
      </w:r>
      <w:proofErr w:type="spellEnd"/>
      <w:r w:rsidRPr="00737D68">
        <w:rPr>
          <w:rFonts w:ascii="Arial" w:hAnsi="Arial" w:eastAsia="Arial" w:cs="Times New Roman"/>
          <w:i/>
        </w:rPr>
        <w:t>) s finančním příspěvkem veřejnou podporu, bez dalších zapojených subjektů)</w:t>
      </w:r>
    </w:p>
    <w:p w:rsidRPr="00737D68" w:rsidR="00737D68" w:rsidP="00737D68" w:rsidRDefault="00737D68" w14:paraId="432F6B5F" w14:textId="77777777">
      <w:pPr>
        <w:numPr>
          <w:ilvl w:val="1"/>
          <w:numId w:val="10"/>
        </w:num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Projekt je z hlediska veřejné podpory následujícího charakteru: 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127"/>
        <w:gridCol w:w="3118"/>
        <w:gridCol w:w="3827"/>
      </w:tblGrid>
      <w:tr w:rsidRPr="00737D68" w:rsidR="00737D68" w:rsidTr="00945A28" w14:paraId="438BE28B" w14:textId="77777777"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0D36FFC5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11FEDD65" w14:textId="77777777">
            <w:pPr>
              <w:spacing w:before="60" w:after="60" w:line="240" w:lineRule="auto"/>
              <w:rPr>
                <w:rFonts w:ascii="Arial" w:hAnsi="Arial" w:eastAsia="Arial" w:cs="Times New Roman"/>
                <w:b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Část projektu zakládající veřejnou podporu příjemci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79802156" w14:textId="77777777">
            <w:pPr>
              <w:spacing w:before="60" w:after="60" w:line="240" w:lineRule="auto"/>
              <w:rPr>
                <w:rFonts w:ascii="Arial" w:hAnsi="Arial" w:eastAsia="Arial" w:cs="Times New Roman"/>
                <w:b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Část projektu zakládající veřejnou podporu partnerovi/</w:t>
            </w:r>
            <w:proofErr w:type="spellStart"/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ům</w:t>
            </w:r>
            <w:proofErr w:type="spellEnd"/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 xml:space="preserve"> s </w:t>
            </w:r>
            <w:proofErr w:type="spellStart"/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fin</w:t>
            </w:r>
            <w:proofErr w:type="spellEnd"/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. příspěvkem</w:t>
            </w:r>
          </w:p>
        </w:tc>
      </w:tr>
      <w:tr w:rsidRPr="00737D68" w:rsidR="00737D68" w:rsidTr="00945A28" w14:paraId="40F8484E" w14:textId="77777777"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687EC38A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:rsidRPr="00737D68" w:rsidR="00737D68" w:rsidP="00737D68" w:rsidRDefault="00737D68" w14:paraId="62206530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 Kč</w:t>
            </w:r>
          </w:p>
        </w:tc>
        <w:tc>
          <w:tcPr>
            <w:tcW w:w="3827" w:type="dxa"/>
            <w:vAlign w:val="center"/>
          </w:tcPr>
          <w:p w:rsidRPr="00737D68" w:rsidR="00737D68" w:rsidP="00737D68" w:rsidRDefault="00737D68" w14:paraId="0FD6DD66" w14:textId="77777777">
            <w:pPr>
              <w:spacing w:before="60" w:after="60" w:line="240" w:lineRule="auto"/>
              <w:jc w:val="both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 Kč</w:t>
            </w:r>
          </w:p>
        </w:tc>
      </w:tr>
      <w:tr w:rsidRPr="00737D68" w:rsidR="00737D68" w:rsidTr="00945A28" w14:paraId="393DEB62" w14:textId="77777777">
        <w:tc>
          <w:tcPr>
            <w:tcW w:w="2127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0FFA9F4C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 xml:space="preserve">Částka </w:t>
            </w:r>
            <w:proofErr w:type="spellStart"/>
            <w:r w:rsidRPr="00737D68">
              <w:rPr>
                <w:rFonts w:ascii="Arial" w:hAnsi="Arial" w:eastAsia="Arial" w:cs="Times New Roman"/>
                <w:sz w:val="20"/>
                <w:szCs w:val="20"/>
              </w:rPr>
              <w:t>způs</w:t>
            </w:r>
            <w:proofErr w:type="spellEnd"/>
            <w:r w:rsidRPr="00737D68">
              <w:rPr>
                <w:rFonts w:ascii="Arial" w:hAnsi="Arial" w:eastAsia="Arial" w:cs="Times New Roman"/>
                <w:sz w:val="20"/>
                <w:szCs w:val="20"/>
              </w:rPr>
              <w:t>. výdajů očištěných o příjmy</w:t>
            </w:r>
          </w:p>
        </w:tc>
        <w:tc>
          <w:tcPr>
            <w:tcW w:w="3118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1CBDDA9D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3827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3A786EC2" w14:textId="77777777">
            <w:pPr>
              <w:spacing w:before="60" w:after="60" w:line="240" w:lineRule="auto"/>
              <w:jc w:val="both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177BDF74" w14:textId="77777777">
      <w:pPr>
        <w:spacing w:before="120"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Přičemž podpora de minimis / veřejná podpora je poskytnuta příjemci dotace v následující výši:</w:t>
      </w:r>
      <w:r w:rsidRPr="00737D68">
        <w:rPr>
          <w:rFonts w:ascii="Arial" w:hAnsi="Arial" w:eastAsia="Arial" w:cs="Times New Roman"/>
          <w:b/>
        </w:rPr>
        <w:t xml:space="preserve"> 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820"/>
        <w:gridCol w:w="1984"/>
        <w:gridCol w:w="2268"/>
      </w:tblGrid>
      <w:tr w:rsidRPr="00737D68" w:rsidR="00737D68" w:rsidTr="00945A28" w14:paraId="6A3D95AC" w14:textId="77777777">
        <w:tc>
          <w:tcPr>
            <w:tcW w:w="4820" w:type="dxa"/>
            <w:vAlign w:val="center"/>
          </w:tcPr>
          <w:p w:rsidRPr="00737D68" w:rsidR="00737D68" w:rsidP="00737D68" w:rsidRDefault="00737D68" w14:paraId="0638183F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Podpora de minimis / veřejná podpora určená pro příjemce (příjemce dotace)</w:t>
            </w:r>
          </w:p>
        </w:tc>
        <w:tc>
          <w:tcPr>
            <w:tcW w:w="1984" w:type="dxa"/>
            <w:vAlign w:val="center"/>
          </w:tcPr>
          <w:p w:rsidRPr="00737D68" w:rsidR="00737D68" w:rsidP="00737D68" w:rsidRDefault="00737D68" w14:paraId="3106D7B8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 Kč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6E8E7579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Podíl v %</w:t>
            </w:r>
            <w:r w:rsidRPr="00737D68">
              <w:rPr>
                <w:rFonts w:ascii="Arial" w:hAnsi="Arial" w:eastAsia="Arial" w:cs="Times New Roman"/>
                <w:snapToGrid w:val="false"/>
                <w:vertAlign w:val="superscript"/>
              </w:rPr>
              <w:footnoteReference w:id="11"/>
            </w:r>
          </w:p>
        </w:tc>
      </w:tr>
      <w:tr w:rsidRPr="00737D68" w:rsidR="00737D68" w:rsidTr="00945A28" w14:paraId="5520E3F4" w14:textId="77777777">
        <w:tc>
          <w:tcPr>
            <w:tcW w:w="4820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57A3C4EB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 projektu zakládající veřejnou podporu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40C6589E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144278CC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100</w:t>
            </w:r>
          </w:p>
        </w:tc>
      </w:tr>
      <w:tr w:rsidRPr="00737D68" w:rsidR="00737D68" w:rsidTr="00945A28" w14:paraId="1A781287" w14:textId="77777777">
        <w:tc>
          <w:tcPr>
            <w:tcW w:w="4820" w:type="dxa"/>
            <w:vAlign w:val="center"/>
          </w:tcPr>
          <w:p w:rsidRPr="00737D68" w:rsidR="00737D68" w:rsidP="00737D68" w:rsidRDefault="00737D68" w14:paraId="69D5EA2B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Vlastní financování</w:t>
            </w:r>
          </w:p>
        </w:tc>
        <w:tc>
          <w:tcPr>
            <w:tcW w:w="1984" w:type="dxa"/>
            <w:vAlign w:val="center"/>
          </w:tcPr>
          <w:p w:rsidRPr="00737D68" w:rsidR="00737D68" w:rsidP="00737D68" w:rsidRDefault="00737D68" w14:paraId="4E856E5A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6FE760C3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  <w:tr w:rsidRPr="00737D68" w:rsidR="00737D68" w:rsidTr="00945A28" w14:paraId="7CAAFC93" w14:textId="77777777">
        <w:tc>
          <w:tcPr>
            <w:tcW w:w="4820" w:type="dxa"/>
            <w:vAlign w:val="center"/>
          </w:tcPr>
          <w:p w:rsidRPr="00737D68" w:rsidR="00737D68" w:rsidP="00737D68" w:rsidRDefault="00737D68" w14:paraId="0B6B77EC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veřejné podpory</w:t>
            </w:r>
          </w:p>
        </w:tc>
        <w:tc>
          <w:tcPr>
            <w:tcW w:w="1984" w:type="dxa"/>
            <w:vAlign w:val="center"/>
          </w:tcPr>
          <w:p w:rsidRPr="00737D68" w:rsidR="00737D68" w:rsidP="00737D68" w:rsidRDefault="00737D68" w14:paraId="34E45906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268" w:type="dxa"/>
            <w:vAlign w:val="center"/>
          </w:tcPr>
          <w:p w:rsidRPr="00737D68" w:rsidR="00737D68" w:rsidP="00737D68" w:rsidRDefault="00737D68" w14:paraId="37380F2D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46A87B54" w14:textId="77777777">
      <w:pPr>
        <w:spacing w:before="120"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 nařízením Komise (EU) č. 1407/2013 ze dne 18. prosince 2013 o použití článků 107 a 108 Smlouvy o fungování Evropské unie na podporu de </w:t>
      </w:r>
      <w:proofErr w:type="spellStart"/>
      <w:r w:rsidRPr="00737D68">
        <w:rPr>
          <w:rFonts w:ascii="Arial" w:hAnsi="Arial" w:eastAsia="Arial" w:cs="Times New Roman"/>
        </w:rPr>
        <w:t>minimis</w:t>
      </w:r>
      <w:proofErr w:type="spellEnd"/>
      <w:r w:rsidRPr="00737D68">
        <w:rPr>
          <w:rFonts w:ascii="Arial" w:hAnsi="Arial" w:eastAsia="Arial" w:cs="Times New Roman"/>
        </w:rPr>
        <w:t xml:space="preserve">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352, 18. 12. 2013, s. 1—8. </w:t>
      </w:r>
    </w:p>
    <w:p w:rsidRPr="00737D68" w:rsidR="00737D68" w:rsidP="00737D68" w:rsidRDefault="00737D68" w14:paraId="48901CF5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5BB3BBDE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 nařízením Komise (EU) č. 1408/2013 ze dne 18. prosince 2013 o použití článků 107 a 108 Smlouvy o fungování Evropské unie na podporu de minimis v odvětví zemědělství,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352, 24. 12. 2013, s. 9—17. </w:t>
      </w:r>
    </w:p>
    <w:p w:rsidRPr="00737D68" w:rsidR="00737D68" w:rsidP="00737D68" w:rsidRDefault="00737D68" w14:paraId="193B1DD3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0BF3E9E4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 nařízením Komise (EU) č. 717/2014 ze dne 27. června 2014 o použití článků 107 a 108 Smlouvy o fungování Evropské unie na podporu de minimis v odvětví rybolovu a akvakultury,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>. L 190, 28. 6. 2014, s. 45—54.</w:t>
      </w:r>
    </w:p>
    <w:p w:rsidRPr="00737D68" w:rsidR="00737D68" w:rsidP="00737D68" w:rsidRDefault="00737D68" w14:paraId="2760992F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3FE1733F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v režimu tzv. blokové výjimky vymezené v článku 31 (Podpora na vzdělávání) nařízení Komise (EU) č. 651/2014 ze dne 17. června 2014, kterým se v souladu s články 107 a 108 Smlouvy prohlašují určité kategorie podpory za slučitelné s vnitřním trhem,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187, 26. 6. 2014, s. 1—78. (Opatření podpory, v rámci něhož je podpora poskytována, se v návaznosti na výše uvedené nařízení rozumí OPZ, jehož plné znění je k dispozici na webovém portálu </w:t>
      </w:r>
      <w:hyperlink w:history="true" r:id="rId15">
        <w:r w:rsidRPr="00737D68">
          <w:rPr>
            <w:rFonts w:ascii="Arial" w:hAnsi="Arial" w:eastAsia="Arial" w:cs="Times New Roman"/>
            <w:color w:val="084A8B"/>
            <w:u w:val="single"/>
          </w:rPr>
          <w:t>www.esfcr.cz</w:t>
        </w:r>
      </w:hyperlink>
      <w:r w:rsidRPr="00737D68">
        <w:rPr>
          <w:rFonts w:ascii="Arial" w:hAnsi="Arial" w:eastAsia="Arial" w:cs="Times New Roman"/>
        </w:rPr>
        <w:t>.)</w:t>
      </w:r>
    </w:p>
    <w:p w:rsidRPr="00737D68" w:rsidR="00737D68" w:rsidP="00737D68" w:rsidRDefault="00737D68" w14:paraId="470F0331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A dále je podpora de minimis / veřejná podpora poskytnuta následujícím partnerům </w:t>
      </w:r>
      <w:r w:rsidRPr="00737D68">
        <w:rPr>
          <w:rFonts w:ascii="Arial" w:hAnsi="Arial" w:eastAsia="Arial" w:cs="Times New Roman"/>
        </w:rPr>
        <w:br/>
        <w:t>s finančním příspěvkem ve výši:</w:t>
      </w:r>
      <w:r w:rsidRPr="00737D68">
        <w:rPr>
          <w:rFonts w:ascii="Arial" w:hAnsi="Arial" w:eastAsia="Arial" w:cs="Times New Roman"/>
          <w:b/>
        </w:rPr>
        <w:t xml:space="preserve"> 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60"/>
        <w:gridCol w:w="2561"/>
        <w:gridCol w:w="2551"/>
      </w:tblGrid>
      <w:tr w:rsidRPr="00737D68" w:rsidR="00737D68" w:rsidTr="00945A28" w14:paraId="322067F7" w14:textId="77777777">
        <w:tc>
          <w:tcPr>
            <w:tcW w:w="3960" w:type="dxa"/>
            <w:vAlign w:val="center"/>
          </w:tcPr>
          <w:p w:rsidRPr="00737D68" w:rsidR="00737D68" w:rsidP="00737D68" w:rsidRDefault="00737D68" w14:paraId="25FA3755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Podpora de minimis / veřejná podpora určená pro …. (doplnit název Partnera s finančním příspěvkem I)</w:t>
            </w:r>
          </w:p>
        </w:tc>
        <w:tc>
          <w:tcPr>
            <w:tcW w:w="2561" w:type="dxa"/>
            <w:vAlign w:val="center"/>
          </w:tcPr>
          <w:p w:rsidRPr="00737D68" w:rsidR="00737D68" w:rsidP="00737D68" w:rsidRDefault="00737D68" w14:paraId="0B298B21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 Kč</w:t>
            </w:r>
          </w:p>
        </w:tc>
        <w:tc>
          <w:tcPr>
            <w:tcW w:w="2551" w:type="dxa"/>
            <w:vAlign w:val="center"/>
          </w:tcPr>
          <w:p w:rsidRPr="00737D68" w:rsidR="00737D68" w:rsidP="00737D68" w:rsidRDefault="00737D68" w14:paraId="53CB1CE5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Podíl v %</w:t>
            </w:r>
            <w:r w:rsidRPr="00737D68">
              <w:rPr>
                <w:rFonts w:ascii="Arial" w:hAnsi="Arial" w:eastAsia="Arial" w:cs="Times New Roman"/>
                <w:snapToGrid w:val="false"/>
                <w:vertAlign w:val="superscript"/>
              </w:rPr>
              <w:footnoteReference w:id="12"/>
            </w:r>
          </w:p>
        </w:tc>
      </w:tr>
      <w:tr w:rsidRPr="00737D68" w:rsidR="00737D68" w:rsidTr="00945A28" w14:paraId="0EBDB5A1" w14:textId="77777777">
        <w:tc>
          <w:tcPr>
            <w:tcW w:w="3960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2041425A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 projektu zakládající veřejnou podporu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029B4573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551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19C3FC96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100</w:t>
            </w:r>
          </w:p>
        </w:tc>
      </w:tr>
      <w:tr w:rsidRPr="00737D68" w:rsidR="00737D68" w:rsidTr="00945A28" w14:paraId="6E1F4D03" w14:textId="77777777">
        <w:tc>
          <w:tcPr>
            <w:tcW w:w="3960" w:type="dxa"/>
            <w:vAlign w:val="center"/>
          </w:tcPr>
          <w:p w:rsidRPr="00737D68" w:rsidR="00737D68" w:rsidP="00737D68" w:rsidRDefault="00737D68" w14:paraId="1EED8F46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Vlastní financování</w:t>
            </w:r>
          </w:p>
        </w:tc>
        <w:tc>
          <w:tcPr>
            <w:tcW w:w="2561" w:type="dxa"/>
            <w:vAlign w:val="center"/>
          </w:tcPr>
          <w:p w:rsidRPr="00737D68" w:rsidR="00737D68" w:rsidP="00737D68" w:rsidRDefault="00737D68" w14:paraId="1A9E233C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551" w:type="dxa"/>
            <w:vAlign w:val="center"/>
          </w:tcPr>
          <w:p w:rsidRPr="00737D68" w:rsidR="00737D68" w:rsidP="00737D68" w:rsidRDefault="00737D68" w14:paraId="3FBA6E1E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  <w:tr w:rsidRPr="00737D68" w:rsidR="00737D68" w:rsidTr="00945A28" w14:paraId="6484B28D" w14:textId="77777777">
        <w:tc>
          <w:tcPr>
            <w:tcW w:w="3960" w:type="dxa"/>
            <w:vAlign w:val="center"/>
          </w:tcPr>
          <w:p w:rsidRPr="00737D68" w:rsidR="00737D68" w:rsidP="00737D68" w:rsidRDefault="00737D68" w14:paraId="41DA5D4F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veřejné podpory</w:t>
            </w:r>
          </w:p>
        </w:tc>
        <w:tc>
          <w:tcPr>
            <w:tcW w:w="2561" w:type="dxa"/>
            <w:vAlign w:val="center"/>
          </w:tcPr>
          <w:p w:rsidRPr="00737D68" w:rsidR="00737D68" w:rsidP="00737D68" w:rsidRDefault="00737D68" w14:paraId="713A64DB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551" w:type="dxa"/>
            <w:vAlign w:val="center"/>
          </w:tcPr>
          <w:p w:rsidRPr="00737D68" w:rsidR="00737D68" w:rsidP="00737D68" w:rsidRDefault="00737D68" w14:paraId="683C187F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51C2B313" w14:textId="77777777">
      <w:pPr>
        <w:spacing w:after="220" w:line="240" w:lineRule="auto"/>
        <w:jc w:val="both"/>
        <w:rPr>
          <w:rFonts w:ascii="Arial" w:hAnsi="Arial" w:eastAsia="Arial" w:cs="Times New Roman"/>
          <w:i/>
        </w:rPr>
      </w:pPr>
      <w:r w:rsidRPr="00737D68">
        <w:rPr>
          <w:rFonts w:ascii="Arial" w:hAnsi="Arial" w:eastAsia="Arial" w:cs="Times New Roman"/>
          <w:i/>
        </w:rPr>
        <w:t>Zde musí být doplněna specifikace režimu de minimis / veřejné podpory včetně odkazu na nařízení (viz formulace výše u příjemce dotace).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60"/>
        <w:gridCol w:w="2561"/>
        <w:gridCol w:w="2551"/>
      </w:tblGrid>
      <w:tr w:rsidRPr="00737D68" w:rsidR="00737D68" w:rsidTr="00945A28" w14:paraId="3223D2C4" w14:textId="77777777">
        <w:tc>
          <w:tcPr>
            <w:tcW w:w="3960" w:type="dxa"/>
            <w:vAlign w:val="center"/>
          </w:tcPr>
          <w:p w:rsidRPr="00737D68" w:rsidR="00737D68" w:rsidP="00737D68" w:rsidRDefault="00737D68" w14:paraId="355CB04D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Podpora de minimis / veřejná podpora určená pro …. (doplnit název Partnera s finančním příspěvkem II)</w:t>
            </w:r>
          </w:p>
        </w:tc>
        <w:tc>
          <w:tcPr>
            <w:tcW w:w="2561" w:type="dxa"/>
            <w:vAlign w:val="center"/>
          </w:tcPr>
          <w:p w:rsidRPr="00737D68" w:rsidR="00737D68" w:rsidP="00737D68" w:rsidRDefault="00737D68" w14:paraId="3FE44FFE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 Kč</w:t>
            </w:r>
          </w:p>
        </w:tc>
        <w:tc>
          <w:tcPr>
            <w:tcW w:w="2551" w:type="dxa"/>
            <w:vAlign w:val="center"/>
          </w:tcPr>
          <w:p w:rsidRPr="00737D68" w:rsidR="00737D68" w:rsidP="00737D68" w:rsidRDefault="00737D68" w14:paraId="34DD8AD5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Podíl v %</w:t>
            </w:r>
            <w:r w:rsidRPr="00737D68">
              <w:rPr>
                <w:rFonts w:ascii="Arial" w:hAnsi="Arial" w:eastAsia="Arial" w:cs="Times New Roman"/>
                <w:snapToGrid w:val="false"/>
                <w:vertAlign w:val="superscript"/>
              </w:rPr>
              <w:footnoteReference w:id="13"/>
            </w:r>
          </w:p>
        </w:tc>
      </w:tr>
      <w:tr w:rsidRPr="00737D68" w:rsidR="00737D68" w:rsidTr="00945A28" w14:paraId="3325EFAF" w14:textId="77777777">
        <w:tc>
          <w:tcPr>
            <w:tcW w:w="3960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23596453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 projektu zakládající veřejnou podporu</w:t>
            </w:r>
          </w:p>
        </w:tc>
        <w:tc>
          <w:tcPr>
            <w:tcW w:w="2561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376A83B1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551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0C4AF858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100</w:t>
            </w:r>
          </w:p>
        </w:tc>
      </w:tr>
      <w:tr w:rsidRPr="00737D68" w:rsidR="00737D68" w:rsidTr="00945A28" w14:paraId="711D5FD5" w14:textId="77777777">
        <w:tc>
          <w:tcPr>
            <w:tcW w:w="3960" w:type="dxa"/>
            <w:vAlign w:val="center"/>
          </w:tcPr>
          <w:p w:rsidRPr="00737D68" w:rsidR="00737D68" w:rsidP="00737D68" w:rsidRDefault="00737D68" w14:paraId="5168CA64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Vlastní financování</w:t>
            </w:r>
          </w:p>
        </w:tc>
        <w:tc>
          <w:tcPr>
            <w:tcW w:w="2561" w:type="dxa"/>
            <w:vAlign w:val="center"/>
          </w:tcPr>
          <w:p w:rsidRPr="00737D68" w:rsidR="00737D68" w:rsidP="00737D68" w:rsidRDefault="00737D68" w14:paraId="3C29328C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551" w:type="dxa"/>
            <w:vAlign w:val="center"/>
          </w:tcPr>
          <w:p w:rsidRPr="00737D68" w:rsidR="00737D68" w:rsidP="00737D68" w:rsidRDefault="00737D68" w14:paraId="138504FF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  <w:tr w:rsidRPr="00737D68" w:rsidR="00737D68" w:rsidTr="00945A28" w14:paraId="5B0592C0" w14:textId="77777777">
        <w:tc>
          <w:tcPr>
            <w:tcW w:w="3960" w:type="dxa"/>
            <w:vAlign w:val="center"/>
          </w:tcPr>
          <w:p w:rsidRPr="00737D68" w:rsidR="00737D68" w:rsidP="00737D68" w:rsidRDefault="00737D68" w14:paraId="0EF26D3C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veřejné podpory</w:t>
            </w:r>
          </w:p>
        </w:tc>
        <w:tc>
          <w:tcPr>
            <w:tcW w:w="2561" w:type="dxa"/>
            <w:vAlign w:val="center"/>
          </w:tcPr>
          <w:p w:rsidRPr="00737D68" w:rsidR="00737D68" w:rsidP="00737D68" w:rsidRDefault="00737D68" w14:paraId="05555E35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2551" w:type="dxa"/>
            <w:vAlign w:val="center"/>
          </w:tcPr>
          <w:p w:rsidRPr="00737D68" w:rsidR="00737D68" w:rsidP="00737D68" w:rsidRDefault="00737D68" w14:paraId="370BCEB4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7FDBB4E6" w14:textId="77777777">
      <w:pPr>
        <w:spacing w:after="220" w:line="240" w:lineRule="auto"/>
        <w:jc w:val="both"/>
        <w:rPr>
          <w:rFonts w:ascii="Arial" w:hAnsi="Arial" w:eastAsia="Arial" w:cs="Times New Roman"/>
          <w:i/>
        </w:rPr>
      </w:pPr>
      <w:r w:rsidRPr="00737D68">
        <w:rPr>
          <w:rFonts w:ascii="Arial" w:hAnsi="Arial" w:eastAsia="Arial" w:cs="Times New Roman"/>
          <w:i/>
        </w:rPr>
        <w:t>Zde musí být doplněna specifikace režimu de minimis / veřejné podpory včetně odkazu na nařízení (viz formulace výše u příjemce dotace).</w:t>
      </w:r>
    </w:p>
    <w:p w:rsidRPr="00737D68" w:rsidR="00737D68" w:rsidP="00737D68" w:rsidRDefault="00737D68" w14:paraId="2AB7E400" w14:textId="77777777">
      <w:pPr>
        <w:spacing w:after="220" w:line="240" w:lineRule="auto"/>
        <w:jc w:val="both"/>
        <w:rPr>
          <w:rFonts w:ascii="Arial" w:hAnsi="Arial" w:eastAsia="Arial" w:cs="Times New Roman"/>
          <w:i/>
        </w:rPr>
      </w:pPr>
      <w:r w:rsidRPr="00737D68">
        <w:rPr>
          <w:rFonts w:ascii="Arial" w:hAnsi="Arial" w:eastAsia="Arial" w:cs="Times New Roman"/>
          <w:i/>
        </w:rPr>
        <w:t>Dále bude případně nakopírována další tabulka tak, aby byla pro každého partnera s finančním příspěvkem v Rozhodnutí uvedena samostatná pasáž. V případě podpory malého rozsahu (varianta de minimis) je nezbytné informaci o přidělené podpoře zaevidovat do rejstříku podpor malého rozsahu ve lhůtě 5 dnů od vydání Rozhodnutí.</w:t>
      </w:r>
    </w:p>
    <w:p w:rsidRPr="00737D68" w:rsidR="00737D68" w:rsidP="00737D68" w:rsidRDefault="00737D68" w14:paraId="6BB2A4FF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---------------------------</w:t>
      </w:r>
    </w:p>
    <w:p w:rsidRPr="00737D68" w:rsidR="00737D68" w:rsidP="00737D68" w:rsidRDefault="00737D68" w14:paraId="3F70B20A" w14:textId="77777777">
      <w:pPr>
        <w:spacing w:after="220" w:line="240" w:lineRule="auto"/>
        <w:jc w:val="both"/>
        <w:rPr>
          <w:rFonts w:ascii="Arial" w:hAnsi="Arial" w:eastAsia="Arial" w:cs="Times New Roman"/>
          <w:b/>
          <w:bCs/>
          <w:i/>
        </w:rPr>
      </w:pPr>
      <w:r w:rsidRPr="00737D68">
        <w:rPr>
          <w:rFonts w:ascii="Arial" w:hAnsi="Arial" w:eastAsia="Arial" w:cs="Times New Roman"/>
          <w:b/>
          <w:bCs/>
          <w:i/>
        </w:rPr>
        <w:t>Možnost E</w:t>
      </w:r>
    </w:p>
    <w:p w:rsidRPr="00737D68" w:rsidR="00737D68" w:rsidP="00737D68" w:rsidRDefault="00737D68" w14:paraId="616AF695" w14:textId="77777777">
      <w:pPr>
        <w:spacing w:after="220" w:line="240" w:lineRule="auto"/>
        <w:jc w:val="both"/>
        <w:rPr>
          <w:rFonts w:ascii="Arial" w:hAnsi="Arial" w:eastAsia="Arial" w:cs="Times New Roman"/>
          <w:i/>
        </w:rPr>
      </w:pPr>
      <w:r w:rsidRPr="00737D68">
        <w:rPr>
          <w:rFonts w:ascii="Arial" w:hAnsi="Arial" w:eastAsia="Arial" w:cs="Times New Roman"/>
          <w:i/>
        </w:rPr>
        <w:t>(platí pro projekty, které zakládají příjemci veřejnou podporu a dále je část prostředků vyhrazena na zapojení dalších subjektů)</w:t>
      </w:r>
    </w:p>
    <w:p w:rsidRPr="00737D68" w:rsidR="00737D68" w:rsidP="00737D68" w:rsidRDefault="00737D68" w14:paraId="5F82A0DF" w14:textId="77777777">
      <w:pPr>
        <w:numPr>
          <w:ilvl w:val="1"/>
          <w:numId w:val="11"/>
        </w:num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Projekt je z hlediska veřejné podpory následujícího charakteru: </w:t>
      </w:r>
    </w:p>
    <w:tbl>
      <w:tblPr>
        <w:tblW w:w="907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52"/>
        <w:gridCol w:w="3260"/>
        <w:gridCol w:w="3260"/>
      </w:tblGrid>
      <w:tr w:rsidRPr="00737D68" w:rsidR="00737D68" w:rsidTr="00945A28" w14:paraId="1484141F" w14:textId="77777777"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316276AF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296FF217" w14:textId="77777777">
            <w:pPr>
              <w:spacing w:before="60" w:after="60" w:line="240" w:lineRule="auto"/>
              <w:rPr>
                <w:rFonts w:ascii="Arial" w:hAnsi="Arial" w:eastAsia="Arial" w:cs="Times New Roman"/>
                <w:b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Část projektu zakládající veřejnou podporu příjemci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7D68" w:rsidR="00737D68" w:rsidP="00737D68" w:rsidRDefault="00737D68" w14:paraId="46A72004" w14:textId="77777777">
            <w:pPr>
              <w:spacing w:before="60" w:after="60" w:line="240" w:lineRule="auto"/>
              <w:rPr>
                <w:rFonts w:ascii="Arial" w:hAnsi="Arial" w:eastAsia="Arial" w:cs="Times New Roman"/>
                <w:b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Část projektu na zapojení dalších subjektů</w:t>
            </w:r>
            <w:r w:rsidRPr="00737D68">
              <w:rPr>
                <w:rFonts w:ascii="Arial" w:hAnsi="Arial" w:eastAsia="Arial" w:cs="Times New Roman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Pr="00737D68" w:rsidR="00737D68" w:rsidTr="00945A28" w14:paraId="63B47CFC" w14:textId="77777777">
        <w:tc>
          <w:tcPr>
            <w:tcW w:w="2552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737D68" w:rsidR="00737D68" w:rsidP="00737D68" w:rsidRDefault="00737D68" w14:paraId="2A04947F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 w:rsidRPr="00737D68" w:rsidR="00737D68" w:rsidP="00737D68" w:rsidRDefault="00737D68" w14:paraId="0CC19E90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 Kč</w:t>
            </w:r>
          </w:p>
        </w:tc>
        <w:tc>
          <w:tcPr>
            <w:tcW w:w="3260" w:type="dxa"/>
          </w:tcPr>
          <w:p w:rsidRPr="00737D68" w:rsidR="00737D68" w:rsidP="00737D68" w:rsidRDefault="00737D68" w14:paraId="7AECA64B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v Kč</w:t>
            </w:r>
          </w:p>
        </w:tc>
      </w:tr>
      <w:tr w:rsidRPr="00737D68" w:rsidR="00737D68" w:rsidTr="00945A28" w14:paraId="220BAEC7" w14:textId="77777777">
        <w:tc>
          <w:tcPr>
            <w:tcW w:w="2552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1E2BC590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 xml:space="preserve">Částka </w:t>
            </w:r>
            <w:proofErr w:type="spellStart"/>
            <w:r w:rsidRPr="00737D68">
              <w:rPr>
                <w:rFonts w:ascii="Arial" w:hAnsi="Arial" w:eastAsia="Arial" w:cs="Times New Roman"/>
                <w:sz w:val="20"/>
                <w:szCs w:val="20"/>
              </w:rPr>
              <w:t>způs</w:t>
            </w:r>
            <w:proofErr w:type="spellEnd"/>
            <w:r w:rsidRPr="00737D68">
              <w:rPr>
                <w:rFonts w:ascii="Arial" w:hAnsi="Arial" w:eastAsia="Arial" w:cs="Times New Roman"/>
                <w:sz w:val="20"/>
                <w:szCs w:val="20"/>
              </w:rPr>
              <w:t>. výdajů očištěných o příjmy</w:t>
            </w:r>
          </w:p>
        </w:tc>
        <w:tc>
          <w:tcPr>
            <w:tcW w:w="3260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1046DC03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3260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0973297F" w14:textId="77777777">
            <w:pPr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353CC044" w14:textId="77777777">
      <w:pPr>
        <w:spacing w:before="120"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Přičemž podpora de minimis / veřejná podpora je poskytnuta příjemci dotace v následující výši:</w:t>
      </w:r>
      <w:r w:rsidRPr="00737D68">
        <w:rPr>
          <w:rFonts w:ascii="Arial" w:hAnsi="Arial" w:eastAsia="Arial" w:cs="Times New Roman"/>
          <w:b/>
        </w:rPr>
        <w:t xml:space="preserve"> </w:t>
      </w:r>
    </w:p>
    <w:tbl>
      <w:tblPr>
        <w:tblW w:w="4925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018"/>
        <w:gridCol w:w="2093"/>
        <w:gridCol w:w="1813"/>
      </w:tblGrid>
      <w:tr w:rsidRPr="00737D68" w:rsidR="00737D68" w:rsidTr="00945A28" w14:paraId="674B378A" w14:textId="77777777">
        <w:tc>
          <w:tcPr>
            <w:tcW w:w="5103" w:type="dxa"/>
            <w:vAlign w:val="center"/>
          </w:tcPr>
          <w:p w:rsidRPr="00737D68" w:rsidR="00737D68" w:rsidP="00737D68" w:rsidRDefault="00737D68" w14:paraId="76A8BE7A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b/>
                <w:sz w:val="20"/>
                <w:szCs w:val="20"/>
              </w:rPr>
              <w:t>Podpora de minimis / veřejná podpora určená pro příjemce (příjemce dotace)</w:t>
            </w:r>
          </w:p>
        </w:tc>
        <w:tc>
          <w:tcPr>
            <w:tcW w:w="2127" w:type="dxa"/>
            <w:vAlign w:val="center"/>
          </w:tcPr>
          <w:p w:rsidRPr="00737D68" w:rsidR="00737D68" w:rsidP="00737D68" w:rsidRDefault="00737D68" w14:paraId="42A03CFD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Částka v Kč</w:t>
            </w: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18509AB1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Podíl v %</w:t>
            </w:r>
            <w:r w:rsidRPr="00737D68">
              <w:rPr>
                <w:rFonts w:ascii="Arial" w:hAnsi="Arial" w:eastAsia="Arial" w:cs="Times New Roman"/>
                <w:snapToGrid w:val="false"/>
                <w:vertAlign w:val="superscript"/>
              </w:rPr>
              <w:footnoteReference w:id="15"/>
            </w:r>
          </w:p>
        </w:tc>
      </w:tr>
      <w:tr w:rsidRPr="00737D68" w:rsidR="00737D68" w:rsidTr="00945A28" w14:paraId="48543218" w14:textId="77777777">
        <w:tc>
          <w:tcPr>
            <w:tcW w:w="5103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4B9E8EA9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napToGrid w:val="false"/>
                <w:sz w:val="20"/>
                <w:szCs w:val="20"/>
              </w:rPr>
              <w:t>Část projektu zakládající veřejnou podporu</w:t>
            </w:r>
          </w:p>
        </w:tc>
        <w:tc>
          <w:tcPr>
            <w:tcW w:w="2127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1CD3C7F5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 w:rsidRPr="00737D68" w:rsidR="00737D68" w:rsidP="00737D68" w:rsidRDefault="00737D68" w14:paraId="03AABE53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100</w:t>
            </w:r>
          </w:p>
        </w:tc>
      </w:tr>
      <w:tr w:rsidRPr="00737D68" w:rsidR="00737D68" w:rsidTr="00945A28" w14:paraId="136922D7" w14:textId="77777777">
        <w:tc>
          <w:tcPr>
            <w:tcW w:w="5103" w:type="dxa"/>
            <w:vAlign w:val="center"/>
          </w:tcPr>
          <w:p w:rsidRPr="00737D68" w:rsidR="00737D68" w:rsidP="00737D68" w:rsidRDefault="00737D68" w14:paraId="6112A88B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napToGrid w:val="false"/>
                <w:sz w:val="20"/>
                <w:szCs w:val="20"/>
              </w:rPr>
              <w:t>Vlastní financování</w:t>
            </w:r>
          </w:p>
        </w:tc>
        <w:tc>
          <w:tcPr>
            <w:tcW w:w="2127" w:type="dxa"/>
            <w:vAlign w:val="center"/>
          </w:tcPr>
          <w:p w:rsidRPr="00737D68" w:rsidR="00737D68" w:rsidP="00737D68" w:rsidRDefault="00737D68" w14:paraId="23D8D6EE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50BA3AA8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  <w:tr w:rsidRPr="00737D68" w:rsidR="00737D68" w:rsidTr="00945A28" w14:paraId="271339D6" w14:textId="77777777">
        <w:tc>
          <w:tcPr>
            <w:tcW w:w="5103" w:type="dxa"/>
            <w:vAlign w:val="center"/>
          </w:tcPr>
          <w:p w:rsidRPr="00737D68" w:rsidR="00737D68" w:rsidP="00737D68" w:rsidRDefault="00737D68" w14:paraId="436A437C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napToGrid w:val="false"/>
                <w:sz w:val="20"/>
                <w:szCs w:val="20"/>
              </w:rPr>
              <w:t>Částka veřejné podpory</w:t>
            </w:r>
          </w:p>
        </w:tc>
        <w:tc>
          <w:tcPr>
            <w:tcW w:w="2127" w:type="dxa"/>
            <w:vAlign w:val="center"/>
          </w:tcPr>
          <w:p w:rsidRPr="00737D68" w:rsidR="00737D68" w:rsidP="00737D68" w:rsidRDefault="00737D68" w14:paraId="5EABBA6C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  <w:tc>
          <w:tcPr>
            <w:tcW w:w="1842" w:type="dxa"/>
            <w:vAlign w:val="center"/>
          </w:tcPr>
          <w:p w:rsidRPr="00737D68" w:rsidR="00737D68" w:rsidP="00737D68" w:rsidRDefault="00737D68" w14:paraId="7D1B9AEC" w14:textId="77777777">
            <w:pPr>
              <w:keepNext/>
              <w:spacing w:before="60" w:after="60" w:line="240" w:lineRule="auto"/>
              <w:rPr>
                <w:rFonts w:ascii="Arial" w:hAnsi="Arial" w:eastAsia="Arial" w:cs="Times New Roman"/>
                <w:sz w:val="20"/>
                <w:szCs w:val="20"/>
              </w:rPr>
            </w:pPr>
            <w:r w:rsidRPr="00737D68">
              <w:rPr>
                <w:rFonts w:ascii="Arial" w:hAnsi="Arial" w:eastAsia="Arial" w:cs="Times New Roman"/>
                <w:sz w:val="20"/>
                <w:szCs w:val="20"/>
              </w:rPr>
              <w:t>[…]</w:t>
            </w:r>
          </w:p>
        </w:tc>
      </w:tr>
    </w:tbl>
    <w:p w:rsidRPr="00737D68" w:rsidR="00737D68" w:rsidP="00737D68" w:rsidRDefault="00737D68" w14:paraId="279E8203" w14:textId="77777777">
      <w:pPr>
        <w:spacing w:before="120"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 nařízením Komise (EU) č. 1407/2013 ze dne 18. prosince 2013 o použití článků 107 a 108 Smlouvy o fungování Evropské unie na podporu de </w:t>
      </w:r>
      <w:proofErr w:type="spellStart"/>
      <w:r w:rsidRPr="00737D68">
        <w:rPr>
          <w:rFonts w:ascii="Arial" w:hAnsi="Arial" w:eastAsia="Arial" w:cs="Times New Roman"/>
        </w:rPr>
        <w:t>minimis</w:t>
      </w:r>
      <w:proofErr w:type="spellEnd"/>
      <w:r w:rsidRPr="00737D68">
        <w:rPr>
          <w:rFonts w:ascii="Arial" w:hAnsi="Arial" w:eastAsia="Arial" w:cs="Times New Roman"/>
        </w:rPr>
        <w:t xml:space="preserve">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352, 18. 12. 2013, s. 1—8. </w:t>
      </w:r>
    </w:p>
    <w:p w:rsidRPr="00737D68" w:rsidR="00737D68" w:rsidP="00737D68" w:rsidRDefault="00737D68" w14:paraId="06EE7A92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05E0DF7A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 nařízením Komise (EU) č. 1408/2013 ze dne 18. prosince 2013 o použití článků 107 a 108 Smlouvy o fungování Evropské unie na podporu de minimis v odvětví zemědělství,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352, 24. 12. 2013, s. 9—17. </w:t>
      </w:r>
    </w:p>
    <w:p w:rsidRPr="00737D68" w:rsidR="00737D68" w:rsidP="00737D68" w:rsidRDefault="00737D68" w14:paraId="1EE9F3C9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103A1CCC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de minimis v souladu s nařízením Komise (EU) č. 717/2014 ze dne 27. června 2014 o použití článků 107 a 108 Smlouvy o fungování Evropské unie na podporu de minimis v odvětví rybolovu a akvakultury,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>. L 190, 28. 6. 2014, s. 45—54.</w:t>
      </w:r>
    </w:p>
    <w:p w:rsidRPr="00737D68" w:rsidR="00737D68" w:rsidP="00737D68" w:rsidRDefault="00737D68" w14:paraId="206F691F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nebo</w:t>
      </w:r>
    </w:p>
    <w:p w:rsidRPr="00737D68" w:rsidR="00737D68" w:rsidP="00737D68" w:rsidRDefault="00737D68" w14:paraId="6D2087C7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Z poskytnuté dotace představuje částka […] Kč podporu v režimu tzv. blokové výjimky vymezené v článku 31 (Podpora na vzdělávání) nařízení Komise (EU) č. 651/2014 ze dne 17. června 2014, kterým se v souladu s články 107 a 108 Smlouvy prohlašují určité kategorie podpory za slučitelné s vnitřním trhem, </w:t>
      </w:r>
      <w:proofErr w:type="spellStart"/>
      <w:r w:rsidRPr="00737D68">
        <w:rPr>
          <w:rFonts w:ascii="Arial" w:hAnsi="Arial" w:eastAsia="Arial" w:cs="Times New Roman"/>
        </w:rPr>
        <w:t>Úř</w:t>
      </w:r>
      <w:proofErr w:type="spellEnd"/>
      <w:r w:rsidRPr="00737D68">
        <w:rPr>
          <w:rFonts w:ascii="Arial" w:hAnsi="Arial" w:eastAsia="Arial" w:cs="Times New Roman"/>
        </w:rPr>
        <w:t xml:space="preserve">. </w:t>
      </w:r>
      <w:proofErr w:type="spellStart"/>
      <w:r w:rsidRPr="00737D68">
        <w:rPr>
          <w:rFonts w:ascii="Arial" w:hAnsi="Arial" w:eastAsia="Arial" w:cs="Times New Roman"/>
        </w:rPr>
        <w:t>věst</w:t>
      </w:r>
      <w:proofErr w:type="spellEnd"/>
      <w:r w:rsidRPr="00737D68">
        <w:rPr>
          <w:rFonts w:ascii="Arial" w:hAnsi="Arial" w:eastAsia="Arial" w:cs="Times New Roman"/>
        </w:rPr>
        <w:t xml:space="preserve">. L 187, 26. 6. 2014, s. 1—78. (Opatření podpory, v rámci něhož je podpora poskytována, se v návaznosti na výše uvedené nařízení rozumí OPZ, jehož plné znění je k dispozici na webovém portálu </w:t>
      </w:r>
      <w:hyperlink w:history="true" r:id="rId16">
        <w:r w:rsidRPr="00737D68">
          <w:rPr>
            <w:rFonts w:ascii="Arial" w:hAnsi="Arial" w:eastAsia="Arial" w:cs="Times New Roman"/>
            <w:color w:val="084A8B"/>
            <w:u w:val="single"/>
          </w:rPr>
          <w:t>www.esfcr.cz</w:t>
        </w:r>
      </w:hyperlink>
      <w:r w:rsidRPr="00737D68">
        <w:rPr>
          <w:rFonts w:ascii="Arial" w:hAnsi="Arial" w:eastAsia="Arial" w:cs="Times New Roman"/>
        </w:rPr>
        <w:t>.)</w:t>
      </w:r>
    </w:p>
    <w:p w:rsidRPr="00737D68" w:rsidR="00737D68" w:rsidP="00737D68" w:rsidRDefault="00737D68" w14:paraId="1405BC01" w14:textId="77777777">
      <w:pPr>
        <w:numPr>
          <w:ilvl w:val="1"/>
          <w:numId w:val="8"/>
        </w:numPr>
        <w:shd w:val="clear" w:color="auto" w:fill="D9D9D9"/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Poskytovatelem veřejné podpory či podpory de minimis v rámci projektu je poskytovatel.</w:t>
      </w:r>
      <w:r w:rsidRPr="00737D68">
        <w:rPr>
          <w:rFonts w:ascii="Arial" w:hAnsi="Arial" w:eastAsia="Times New Roman" w:cs="Arial"/>
          <w:vertAlign w:val="superscript"/>
          <w:lang w:eastAsia="cs-CZ"/>
        </w:rPr>
        <w:footnoteReference w:id="16"/>
      </w:r>
    </w:p>
    <w:p w:rsidRPr="00737D68" w:rsidR="00737D68" w:rsidP="00737D68" w:rsidRDefault="00737D68" w14:paraId="3B0A3C9E" w14:textId="77777777">
      <w:pPr>
        <w:numPr>
          <w:ilvl w:val="1"/>
          <w:numId w:val="8"/>
        </w:numPr>
        <w:shd w:val="clear" w:color="auto" w:fill="D9D9D9"/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v souvislosti s poskytováním veřejné podpory či podpory de minimis jiným subjektům (kromě příjemce) zajistit pro poskytovatele před poskytnutím veřejné podpory či podpory de </w:t>
      </w:r>
      <w:proofErr w:type="spellStart"/>
      <w:r w:rsidRPr="00737D68">
        <w:rPr>
          <w:rFonts w:ascii="Arial" w:hAnsi="Arial" w:eastAsia="Times New Roman" w:cs="Arial"/>
          <w:lang w:eastAsia="cs-CZ"/>
        </w:rPr>
        <w:t>minimis</w:t>
      </w:r>
      <w:proofErr w:type="spellEnd"/>
      <w:r w:rsidRPr="00737D68">
        <w:rPr>
          <w:rFonts w:ascii="Arial" w:hAnsi="Arial" w:eastAsia="Times New Roman" w:cs="Arial"/>
          <w:lang w:eastAsia="cs-CZ"/>
        </w:rPr>
        <w:t xml:space="preserve"> partnerovi(</w:t>
      </w:r>
      <w:proofErr w:type="spellStart"/>
      <w:r w:rsidRPr="00737D68">
        <w:rPr>
          <w:rFonts w:ascii="Arial" w:hAnsi="Arial" w:eastAsia="Times New Roman" w:cs="Arial"/>
          <w:lang w:eastAsia="cs-CZ"/>
        </w:rPr>
        <w:t>ům</w:t>
      </w:r>
      <w:proofErr w:type="spellEnd"/>
      <w:r w:rsidRPr="00737D68">
        <w:rPr>
          <w:rFonts w:ascii="Arial" w:hAnsi="Arial" w:eastAsia="Times New Roman" w:cs="Arial"/>
          <w:lang w:eastAsia="cs-CZ"/>
        </w:rPr>
        <w:t xml:space="preserve">) podklady k poskytnutí této podpory a také podklady k ověření, zda daný subjekt splňuje podmínky pro zvolený režim podpory dle platných právních předpisů, a to s využitím formulářů, které poskytovatel zveřejní na webovém portálu </w:t>
      </w:r>
      <w:hyperlink w:history="true" r:id="rId17">
        <w:r w:rsidRPr="00737D68">
          <w:rPr>
            <w:rFonts w:ascii="Arial" w:hAnsi="Arial" w:eastAsia="Times New Roman" w:cs="Arial"/>
            <w:color w:val="505050"/>
            <w:u w:val="single"/>
            <w:lang w:eastAsia="cs-CZ"/>
          </w:rPr>
          <w:t>www.esfcr.cz</w:t>
        </w:r>
      </w:hyperlink>
      <w:r w:rsidRPr="00737D68">
        <w:rPr>
          <w:rFonts w:ascii="Arial" w:hAnsi="Arial" w:eastAsia="Times New Roman" w:cs="Arial"/>
          <w:lang w:eastAsia="cs-CZ"/>
        </w:rPr>
        <w:t xml:space="preserve"> (používají se vždy aktuální formuláře).</w:t>
      </w:r>
    </w:p>
    <w:p w:rsidRPr="00737D68" w:rsidR="00737D68" w:rsidP="00737D68" w:rsidRDefault="00737D68" w14:paraId="12C45377" w14:textId="77777777">
      <w:pPr>
        <w:numPr>
          <w:ilvl w:val="1"/>
          <w:numId w:val="8"/>
        </w:numPr>
        <w:shd w:val="clear" w:color="auto" w:fill="D9D9D9"/>
        <w:spacing w:after="22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Pokud to aplikovaný režim veřejné podpory a rozhodnutí poskytovatele vyžaduje, příjemce je povinen od subjektů, kterým je veřejná podpora poskytnuta, zajistit spolufinancování z jejich zdrojů. Spolufinancování projektu ze zdrojů dalšího subjektu je příjmem projektu, který je příjemce povinen oznámit v rámci zprávy o realizaci projektu.</w:t>
      </w:r>
    </w:p>
    <w:p w:rsidRPr="00737D68" w:rsidR="00737D68" w:rsidP="00737D68" w:rsidRDefault="00737D68" w14:paraId="10C2BC72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737D68" w:rsidR="00737D68" w:rsidP="00737D68" w:rsidRDefault="00737D68" w14:paraId="19C42E71" w14:textId="77777777">
      <w:pPr>
        <w:keepNext/>
        <w:shd w:val="clear" w:color="auto" w:fill="F2F2F2"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 xml:space="preserve">Část IV - Platební podmínky </w:t>
      </w:r>
    </w:p>
    <w:p w:rsidRPr="00737D68" w:rsidR="00737D68" w:rsidP="00737D68" w:rsidRDefault="00737D68" w14:paraId="16367467" w14:textId="77777777">
      <w:pPr>
        <w:numPr>
          <w:ilvl w:val="0"/>
          <w:numId w:val="17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Žádost o platbu </w:t>
      </w:r>
    </w:p>
    <w:p w:rsidRPr="00737D68" w:rsidR="00737D68" w:rsidP="00737D68" w:rsidRDefault="00737D68" w14:paraId="421C549B" w14:textId="77777777">
      <w:pPr>
        <w:numPr>
          <w:ilvl w:val="1"/>
          <w:numId w:val="17"/>
        </w:numPr>
        <w:spacing w:after="22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pro účely poskytnutí prostředků dotace předkládat poskytovateli spolu s každou zprávou o realizaci projektu řádně vyplněnou žádost o platbu podloženou příslušnými doklady dle Pravidel OPZ. </w:t>
      </w:r>
    </w:p>
    <w:p w:rsidRPr="00737D68" w:rsidR="00737D68" w:rsidP="00737D68" w:rsidRDefault="00737D68" w14:paraId="53E69932" w14:textId="77777777">
      <w:pPr>
        <w:numPr>
          <w:ilvl w:val="1"/>
          <w:numId w:val="17"/>
        </w:numPr>
        <w:spacing w:after="22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Příjemce je povinen předkládat žádosti o platbu ve formátu, který poskytovatel pro projekt nastaví v informačním systému MS2014+. </w:t>
      </w:r>
    </w:p>
    <w:p w:rsidRPr="00737D68" w:rsidR="00737D68" w:rsidP="00737D68" w:rsidRDefault="00737D68" w14:paraId="508FF9AA" w14:textId="77777777">
      <w:pPr>
        <w:numPr>
          <w:ilvl w:val="0"/>
          <w:numId w:val="17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Převod prostředků dotace </w:t>
      </w:r>
    </w:p>
    <w:p w:rsidRPr="00737D68" w:rsidR="00737D68" w:rsidP="00737D68" w:rsidRDefault="00737D68" w14:paraId="3E69DB2E" w14:textId="77777777">
      <w:pPr>
        <w:spacing w:after="22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Poskytovatel bude dotaci specifikovanou v části I tohoto Rozhodnutí příjemci poskytovat ve splátkách v závislosti na postupu realizace projektu. Dotace bude poskytována bezhotovostními bankovními převody na bankovní účet uvedený v části Specifikace příjemce dotace. Dnem poskytnutí se rozumí den odepsání částky z účtu poskytovatele. (Specifikace pro veřejné rozpočty: účelový znak OPZ: 13013.)</w:t>
      </w:r>
    </w:p>
    <w:p w:rsidRPr="00737D68" w:rsidR="00737D68" w:rsidP="00737D68" w:rsidRDefault="00737D68" w14:paraId="7E0A472D" w14:textId="77777777">
      <w:pPr>
        <w:numPr>
          <w:ilvl w:val="0"/>
          <w:numId w:val="17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Proplácení částí dotace</w:t>
      </w:r>
    </w:p>
    <w:p w:rsidRPr="00737D68" w:rsidR="00737D68" w:rsidP="00737D68" w:rsidRDefault="00737D68" w14:paraId="6B5996E3" w14:textId="77777777">
      <w:pPr>
        <w:keepNext/>
        <w:overflowPunct w:val="false"/>
        <w:autoSpaceDE w:val="false"/>
        <w:autoSpaceDN w:val="false"/>
        <w:adjustRightInd w:val="false"/>
        <w:spacing w:after="120" w:line="240" w:lineRule="auto"/>
        <w:contextualSpacing/>
        <w:jc w:val="both"/>
        <w:textAlignment w:val="baseline"/>
        <w:rPr>
          <w:rFonts w:ascii="Arial" w:hAnsi="Arial" w:eastAsia="Times New Roman" w:cs="Arial"/>
          <w:u w:val="single"/>
          <w:lang w:eastAsia="cs-CZ"/>
        </w:rPr>
      </w:pPr>
      <w:r w:rsidRPr="00737D68">
        <w:rPr>
          <w:rFonts w:ascii="Arial" w:hAnsi="Arial" w:eastAsia="Times New Roman" w:cs="Arial"/>
          <w:u w:val="single"/>
          <w:lang w:eastAsia="cs-CZ"/>
        </w:rPr>
        <w:t>Varianta pro ex-ante financování</w:t>
      </w:r>
    </w:p>
    <w:p w:rsidRPr="00737D68" w:rsidR="00737D68" w:rsidP="00737D68" w:rsidRDefault="00737D68" w14:paraId="66FE60F3" w14:textId="77777777">
      <w:pPr>
        <w:numPr>
          <w:ilvl w:val="1"/>
          <w:numId w:val="17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První část dotace bude příjemci proplacena ve výši […],- Kč, všechny prostředky jsou poskytovány na neinvestiční výdaje projektu dle zákona č. 563/1991 Sb., o účetnictví.</w:t>
      </w:r>
    </w:p>
    <w:p w:rsidRPr="00737D68" w:rsidR="00737D68" w:rsidP="00737D68" w:rsidRDefault="00737D68" w14:paraId="47DA2610" w14:textId="77777777">
      <w:pPr>
        <w:numPr>
          <w:ilvl w:val="1"/>
          <w:numId w:val="17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Další části dotace budou propláceny až do maximální výše dotace </w:t>
      </w:r>
      <w:r w:rsidRPr="00737D68">
        <w:rPr>
          <w:rFonts w:ascii="Arial" w:hAnsi="Arial" w:eastAsia="Times New Roman" w:cs="Arial"/>
          <w:szCs w:val="24"/>
          <w:lang w:eastAsia="cs-CZ"/>
        </w:rPr>
        <w:t xml:space="preserve">snížené o část dotace neproplacenou podle § 14e rozpočtových pravidel, vrácenou podle § 14f odst. 3 rozpočtových pravidel a o provedený odvod za porušení rozpočtové kázně podle § 44a rozpočtových pravidel, a to </w:t>
      </w:r>
      <w:r w:rsidRPr="00737D68">
        <w:rPr>
          <w:rFonts w:ascii="Arial" w:hAnsi="Arial" w:eastAsia="Times New Roman" w:cs="Arial"/>
          <w:lang w:eastAsia="cs-CZ"/>
        </w:rPr>
        <w:t xml:space="preserve">na základě schválených žádostí o platbu. Výše splátek se stanovuje dle pravidel vymezených ve </w:t>
      </w:r>
      <w:r w:rsidRPr="00737D68">
        <w:rPr>
          <w:rFonts w:ascii="Arial" w:hAnsi="Arial" w:eastAsia="Times New Roman" w:cs="Arial"/>
          <w:i/>
          <w:lang w:eastAsia="cs-CZ"/>
        </w:rPr>
        <w:t>Specifických pravidlech</w:t>
      </w:r>
      <w:r w:rsidRPr="00737D68">
        <w:rPr>
          <w:rFonts w:ascii="Arial" w:hAnsi="Arial" w:eastAsia="Times New Roman" w:cs="Arial"/>
          <w:lang w:eastAsia="cs-CZ"/>
        </w:rPr>
        <w:t xml:space="preserve">. Další části dotace jsou určeny pouze na neinvestiční výdaje projektu. </w:t>
      </w:r>
    </w:p>
    <w:p w:rsidRPr="00737D68" w:rsidR="00737D68" w:rsidP="00737D68" w:rsidRDefault="00737D68" w14:paraId="16F32136" w14:textId="77777777">
      <w:pPr>
        <w:spacing w:after="60" w:line="240" w:lineRule="auto"/>
        <w:ind w:left="567"/>
        <w:jc w:val="both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084DCF97" w14:textId="77777777">
      <w:p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u w:val="single"/>
          <w:lang w:eastAsia="cs-CZ"/>
        </w:rPr>
        <w:t>Varianta pro ex-post financování</w:t>
      </w:r>
    </w:p>
    <w:p w:rsidRPr="00737D68" w:rsidR="00737D68" w:rsidP="00737D68" w:rsidRDefault="00737D68" w14:paraId="2C218576" w14:textId="77777777">
      <w:pPr>
        <w:numPr>
          <w:ilvl w:val="1"/>
          <w:numId w:val="17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Splátky dotace jsou příjemci poskytovány na základě schválených žádostí o platbu. Výše jednotlivých splátek dosahuje částky způsobilých výdajů projektu, které jsou zařazeny do jednotlivých žádostí o platbu, přičemž přesnou výši každé platby stanoví na základě kontroly projektu poskytovatel. V případě, že příjemce projekt spolufinancuje z vlastních zdrojů, je platba poskytovatelem poskytnuta jen ve výši odpovídající podílu poskytovatele na financování projektu. </w:t>
      </w:r>
    </w:p>
    <w:p w:rsidRPr="00737D68" w:rsidR="00737D68" w:rsidP="00737D68" w:rsidRDefault="00737D68" w14:paraId="1D09BCC9" w14:textId="77777777">
      <w:pPr>
        <w:numPr>
          <w:ilvl w:val="1"/>
          <w:numId w:val="17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Poskytovatelem proplácené způsobilé výdaje v součtu s:</w:t>
      </w:r>
    </w:p>
    <w:p w:rsidRPr="00737D68" w:rsidR="00737D68" w:rsidP="00737D68" w:rsidRDefault="00737D68" w14:paraId="199C3859" w14:textId="77777777">
      <w:pPr>
        <w:numPr>
          <w:ilvl w:val="0"/>
          <w:numId w:val="23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částí dotace neproplacenou podle § 14e rozpočtových pravidel, pokud je důvodem neproplacení výdaj schválený v některé z předchozích žádostí o platbu, </w:t>
      </w:r>
    </w:p>
    <w:p w:rsidRPr="00737D68" w:rsidR="00737D68" w:rsidP="00737D68" w:rsidRDefault="00737D68" w14:paraId="192A7332" w14:textId="77777777">
      <w:pPr>
        <w:numPr>
          <w:ilvl w:val="0"/>
          <w:numId w:val="23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částí dotace vrácenou podle § 14f odst. 3 rozpočtových pravidel a </w:t>
      </w:r>
    </w:p>
    <w:p w:rsidRPr="00737D68" w:rsidR="00737D68" w:rsidP="00737D68" w:rsidRDefault="00737D68" w14:paraId="0C91F5DF" w14:textId="77777777">
      <w:pPr>
        <w:numPr>
          <w:ilvl w:val="0"/>
          <w:numId w:val="23"/>
        </w:numPr>
        <w:spacing w:after="60" w:line="240" w:lineRule="auto"/>
        <w:contextualSpacing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odvodem za porušení rozpočtové kázně podle § 44a rozpočtových pravidel</w:t>
      </w:r>
    </w:p>
    <w:p w:rsidRPr="00737D68" w:rsidR="00737D68" w:rsidP="00737D68" w:rsidRDefault="00737D68" w14:paraId="56922209" w14:textId="77777777">
      <w:pPr>
        <w:spacing w:after="24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nepřekročí maximální částku dotace.</w:t>
      </w:r>
    </w:p>
    <w:p w:rsidRPr="00737D68" w:rsidR="00737D68" w:rsidP="00737D68" w:rsidRDefault="00737D68" w14:paraId="3F308BAF" w14:textId="77777777">
      <w:pPr>
        <w:numPr>
          <w:ilvl w:val="0"/>
          <w:numId w:val="17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Přeplatek dotace (pro ex ante režim)</w:t>
      </w:r>
    </w:p>
    <w:p w:rsidRPr="00737D68" w:rsidR="00737D68" w:rsidP="00737D68" w:rsidRDefault="00737D68" w14:paraId="446B9F4D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V případě, že celková dotace poukázaná ve prospěch účtu uvedeného v úvodu tohoto Rozhodnutí převyšuje částku, která by dle celkových způsobilých výdajů projektu stanovených na základě závěrečné žádosti o platbu měla být z dotace poskytnuta, musí být rozdíl vrácen poskytovateli. Příjemce je povinen navrátit tyto prostředky v termínu a způsobem stanovenými ve výzvě k vrácení přeplatku zaslané mu poskytovatelem.</w:t>
      </w:r>
    </w:p>
    <w:p w:rsidRPr="00737D68" w:rsidR="00737D68" w:rsidP="00737D68" w:rsidRDefault="00737D68" w14:paraId="6FCB27EF" w14:textId="77777777">
      <w:pPr>
        <w:spacing w:after="220" w:line="240" w:lineRule="auto"/>
        <w:jc w:val="both"/>
        <w:rPr>
          <w:rFonts w:ascii="Arial" w:hAnsi="Arial" w:eastAsia="Arial" w:cs="Arial"/>
        </w:rPr>
      </w:pPr>
    </w:p>
    <w:p w:rsidRPr="00737D68" w:rsidR="00737D68" w:rsidP="00737D68" w:rsidRDefault="00737D68" w14:paraId="5FC7E94B" w14:textId="77777777">
      <w:pPr>
        <w:keepNext/>
        <w:shd w:val="clear" w:color="auto" w:fill="F2F2F2"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 xml:space="preserve">Část V - Sankce </w:t>
      </w:r>
    </w:p>
    <w:p w:rsidRPr="00737D68" w:rsidR="00737D68" w:rsidP="00737D68" w:rsidRDefault="00737D68" w14:paraId="134DCAA0" w14:textId="77777777">
      <w:pPr>
        <w:numPr>
          <w:ilvl w:val="0"/>
          <w:numId w:val="18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Pozastavení proplácení prostředků dotace</w:t>
      </w:r>
    </w:p>
    <w:p w:rsidRPr="00737D68" w:rsidR="00737D68" w:rsidP="00737D68" w:rsidRDefault="00737D68" w14:paraId="2A631094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Pokud poskytovatel nebo jiná osoba oprávněná ke kontrole dodržování podmínek dle tohoto Rozhodnutí zjistí, že příjemce nesplnil nebo neplní některou z podmínek uvedených v tomto Rozhodnutí, je poskytovatel oprávněn pozastavit proplácení prostředků dotace a zahájit potřebné kroky vedoucí k identifikaci, zda nevzniklo podezření na porušení rozpočtové kázně podle rozpočtových pravidel.</w:t>
      </w:r>
    </w:p>
    <w:p w:rsidRPr="00737D68" w:rsidR="00737D68" w:rsidP="00737D68" w:rsidRDefault="00737D68" w14:paraId="357FB6F0" w14:textId="77777777">
      <w:pPr>
        <w:numPr>
          <w:ilvl w:val="0"/>
          <w:numId w:val="18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Neproplácení dotace na základě § 14e rozpočtových pravidel </w:t>
      </w:r>
    </w:p>
    <w:p w:rsidRPr="00737D68" w:rsidR="00737D68" w:rsidP="00737D68" w:rsidRDefault="00737D68" w14:paraId="7F99DF5D" w14:textId="77777777">
      <w:pPr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ind w:left="-3"/>
        <w:contextualSpacing/>
        <w:jc w:val="both"/>
        <w:textAlignment w:val="baseline"/>
        <w:rPr>
          <w:rFonts w:ascii="Arial" w:hAnsi="Arial" w:eastAsia="Times New Roman" w:cs="Arial"/>
          <w:szCs w:val="24"/>
          <w:lang w:eastAsia="cs-CZ"/>
        </w:rPr>
      </w:pPr>
      <w:r w:rsidRPr="00737D68">
        <w:rPr>
          <w:rFonts w:ascii="Arial" w:hAnsi="Arial" w:eastAsia="Times New Roman" w:cs="Arial"/>
          <w:szCs w:val="24"/>
          <w:lang w:eastAsia="cs-CZ"/>
        </w:rPr>
        <w:t>Poskytovatel nemusí vyplatit část dotace, domnívá-li se, že došlo k porušení pravidel stanovených tímto Rozhodnutím.</w:t>
      </w:r>
      <w:r w:rsidRPr="00737D68">
        <w:rPr>
          <w:rFonts w:ascii="Arial" w:hAnsi="Arial" w:eastAsia="Times New Roman" w:cs="Arial"/>
          <w:lang w:eastAsia="cs-CZ"/>
        </w:rPr>
        <w:t xml:space="preserve"> Pokud poskytovatel odhalí porušení podmínek, je oprávněn neproplatit dotaci dle § 14e rozpočtových pravidel, a to maximálně do výše, která je stanovena v rozhodnutí o poskytnutí dotace, resp. ve výši stanovené za porušení dané povinnosti v tabulce sankcí pro oblast zadávání obsažené v Obecné části pravidel pro žadatele a příjemce v rámci OPZ jako nejvyšší možná výše odvodu za předmětné porušení podmínek. Při stanovení výše sankce přihlédne k závažnosti porušení a jeho vlivu na dodržení cíle dotace.</w:t>
      </w:r>
    </w:p>
    <w:p w:rsidRPr="00737D68" w:rsidR="00737D68" w:rsidP="00737D68" w:rsidRDefault="00737D68" w14:paraId="4D1AEC3E" w14:textId="77777777">
      <w:pPr>
        <w:widowControl w:val="false"/>
        <w:overflowPunct w:val="false"/>
        <w:autoSpaceDE w:val="false"/>
        <w:autoSpaceDN w:val="false"/>
        <w:adjustRightInd w:val="false"/>
        <w:spacing w:after="240" w:line="240" w:lineRule="auto"/>
        <w:ind w:left="-3"/>
        <w:contextualSpacing/>
        <w:jc w:val="both"/>
        <w:textAlignment w:val="baseline"/>
        <w:rPr>
          <w:rFonts w:ascii="Arial" w:hAnsi="Arial" w:eastAsia="Times New Roman" w:cs="Arial"/>
          <w:sz w:val="24"/>
          <w:szCs w:val="24"/>
          <w:lang w:eastAsia="cs-CZ"/>
        </w:rPr>
      </w:pPr>
    </w:p>
    <w:p w:rsidRPr="00737D68" w:rsidR="00737D68" w:rsidP="00737D68" w:rsidRDefault="00737D68" w14:paraId="1CE5F14C" w14:textId="77777777">
      <w:pPr>
        <w:numPr>
          <w:ilvl w:val="0"/>
          <w:numId w:val="18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Diferenciace odvodu za porušení rozpočtové kázně dle závažnosti porušení podmínek</w:t>
      </w:r>
      <w:r w:rsidRPr="00737D68">
        <w:rPr>
          <w:rFonts w:ascii="Arial" w:hAnsi="Arial" w:eastAsia="Times New Roman" w:cs="Arial"/>
          <w:b/>
          <w:bCs/>
          <w:vertAlign w:val="superscript"/>
          <w:lang w:eastAsia="cs-CZ"/>
        </w:rPr>
        <w:footnoteReference w:id="17"/>
      </w:r>
    </w:p>
    <w:p w:rsidRPr="00737D68" w:rsidR="00737D68" w:rsidP="00737D68" w:rsidRDefault="00737D68" w14:paraId="3C66C43B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 porušení podmínek dotace týkajících se účelu dotace podle části II bodu 2.1 bude vyměřen odvod za porušení rozpočtové kázně ve výši celkové dosud vyplacené částky dotace podle § 44a odst. 4 písm. b) rozpočtových pravidel.</w:t>
      </w:r>
    </w:p>
    <w:p w:rsidRPr="00737D68" w:rsidR="00737D68" w:rsidP="00737D68" w:rsidRDefault="00737D68" w14:paraId="4D82DA2F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 případě porušení podmínek dotace neuvedených v části V bodech 3.1, 3.3 až 3.8, anebo 4, u kterých lze vyčíslit výši porušení rozpočtové kázně (tj. porušení má jednoznačnou vazbu na způsobilé výdaje, kterými jsou paušální výdaje na základě jednotkových nákladů), bude vyměřen odvod podle § 44a odst. 4 písm. b) rozpočtových pravidel ve výši nezpůsobilých výdajů uhrazených z dotace. Výše porušení rozpočtové kázně odpovídá částce nezpůsobilých výdajů. </w:t>
      </w:r>
    </w:p>
    <w:p w:rsidRPr="00737D68" w:rsidR="00737D68" w:rsidP="00737D68" w:rsidRDefault="00737D68" w14:paraId="2FF9133E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 případě, že </w:t>
      </w:r>
    </w:p>
    <w:p w:rsidRPr="00737D68" w:rsidR="00737D68" w:rsidP="00737D68" w:rsidRDefault="00737D68" w14:paraId="01640705" w14:textId="77777777">
      <w:pPr>
        <w:numPr>
          <w:ilvl w:val="2"/>
          <w:numId w:val="5"/>
        </w:numPr>
        <w:tabs>
          <w:tab w:val="num" w:pos="993"/>
        </w:tabs>
        <w:spacing w:after="220" w:line="240" w:lineRule="auto"/>
        <w:ind w:left="993" w:hanging="426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dojde k porušení povinnosti předložit poskytovateli zprávu o realizaci projektu (včetně žádosti o platbu) nebo povinnosti předložit poskytovateli vyžádanou informaci ad hoc (uvedené v části II bodě 5.2 a bodě 10, v části III v bodech 2.2 až 2.4) a prodlení bude trvat 7 kalendářních dní a více, přičemž určující pro počátek běhu prodlení je termín vyplývající z tohoto Rozhodnutí (včetně Pravidel OPZ, na které toto Rozhodnutí odkazuje) ve znění případného vyjádření poskytovatele o změně termínu, které je příjemci k dispozici v MS2014+; </w:t>
      </w:r>
      <w:r w:rsidRPr="00737D68">
        <w:rPr>
          <w:rFonts w:ascii="Arial" w:hAnsi="Arial" w:eastAsia="Arial" w:cs="Times New Roman"/>
        </w:rPr>
        <w:t xml:space="preserve">(netýká se situací, kdy příjemce nemohl z důvodu </w:t>
      </w:r>
      <w:r w:rsidRPr="00737D68">
        <w:rPr>
          <w:rFonts w:ascii="Arial" w:hAnsi="Arial" w:eastAsia="Arial" w:cs="Arial"/>
        </w:rPr>
        <w:t xml:space="preserve">technických překážek na straně </w:t>
      </w:r>
      <w:r w:rsidRPr="00737D68">
        <w:rPr>
          <w:rFonts w:ascii="Arial" w:hAnsi="Arial" w:eastAsia="Arial" w:cs="Times New Roman"/>
        </w:rPr>
        <w:t>MS2014+ zprávu o realizaci projektu nebo žádost o platbu předložit; viz vymezení případů, které nezakládají porušení rozpočtové kázně v části V bodu 4 tohoto Rozhodnutí);</w:t>
      </w:r>
    </w:p>
    <w:p w:rsidRPr="00737D68" w:rsidR="00737D68" w:rsidP="00737D68" w:rsidRDefault="00737D68" w14:paraId="756E07F4" w14:textId="77777777">
      <w:pPr>
        <w:numPr>
          <w:ilvl w:val="2"/>
          <w:numId w:val="5"/>
        </w:numPr>
        <w:tabs>
          <w:tab w:val="num" w:pos="993"/>
        </w:tabs>
        <w:spacing w:after="220" w:line="240" w:lineRule="auto"/>
        <w:ind w:left="993" w:hanging="426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dojde k porušení povinností týkajících se oznamovací povinnosti (uvedené v části II bodě 11) a v Pravidlech OPZ není stanoveno, že příslušné pochybení nezakládá porušení rozpočtové kázně; </w:t>
      </w:r>
    </w:p>
    <w:p w:rsidRPr="00737D68" w:rsidR="00737D68" w:rsidP="00737D68" w:rsidRDefault="00737D68" w14:paraId="1934243D" w14:textId="77777777">
      <w:pPr>
        <w:numPr>
          <w:ilvl w:val="2"/>
          <w:numId w:val="5"/>
        </w:numPr>
        <w:tabs>
          <w:tab w:val="num" w:pos="993"/>
        </w:tabs>
        <w:spacing w:after="0" w:line="240" w:lineRule="auto"/>
        <w:ind w:left="993" w:hanging="426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dojde k porušení povinnosti uchovávat dokumenty (uvedené v části II bodě 14) a není možné stanovit výši dotace, ke které se dokument váže; </w:t>
      </w:r>
    </w:p>
    <w:p w:rsidRPr="00737D68" w:rsidR="00737D68" w:rsidP="00737D68" w:rsidRDefault="00737D68" w14:paraId="005EFC46" w14:textId="77777777">
      <w:pPr>
        <w:numPr>
          <w:ilvl w:val="2"/>
          <w:numId w:val="5"/>
        </w:numPr>
        <w:tabs>
          <w:tab w:val="num" w:pos="993"/>
        </w:tabs>
        <w:spacing w:after="220" w:line="240" w:lineRule="auto"/>
        <w:ind w:left="993" w:hanging="426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 porušení povinnosti týkající se práv duševního vlastnictví (uvedené v části II bodě 16);</w:t>
      </w:r>
    </w:p>
    <w:p w:rsidRPr="00737D68" w:rsidR="00737D68" w:rsidP="00737D68" w:rsidRDefault="00737D68" w14:paraId="5700C12D" w14:textId="77777777">
      <w:pPr>
        <w:numPr>
          <w:ilvl w:val="2"/>
          <w:numId w:val="5"/>
        </w:numPr>
        <w:tabs>
          <w:tab w:val="num" w:pos="993"/>
        </w:tabs>
        <w:spacing w:after="60" w:line="240" w:lineRule="auto"/>
        <w:ind w:left="993" w:hanging="426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 porušení povinností týkajících se partnerství (uvedených v části II bodech 17.1 až 17.3);</w:t>
      </w:r>
    </w:p>
    <w:p w:rsidRPr="00737D68" w:rsidR="00737D68" w:rsidP="00737D68" w:rsidRDefault="00737D68" w14:paraId="52FFBA95" w14:textId="77777777">
      <w:pPr>
        <w:spacing w:after="60" w:line="240" w:lineRule="auto"/>
        <w:ind w:left="567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>bude odvod za porušení rozpočtové kázně vyměřen dle § 44a odst. 4 písm. a) rozpočtových pravidel ve výši 0,5 % z celkové částky dotace. Odvod za porušení rozpočtové kázně přitom nemůže být vyšší než celková částka dotace, která byla vyplacena.</w:t>
      </w:r>
    </w:p>
    <w:p w:rsidRPr="00737D68" w:rsidR="00737D68" w:rsidP="00737D68" w:rsidRDefault="00737D68" w14:paraId="37A5C92F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případě, že dojde k porušení povinností týkajících se zadávání zakázek (uvedených v části II bodě 6), jež je dle Pravidel OPZ považováno za porušení rozpočtové kázně, bude odvod za porušení rozpočtové kázně vyměřen dle § 44a odst. 4 písm. a) rozpočtových pravidel ve výši stanovené za porušení dané povinnosti v tabulce sankcí pro oblast zadávání obsažené v Obecné části pravidel pro žadatele a příjemce v rámci OPZ.</w:t>
      </w:r>
    </w:p>
    <w:p w:rsidRPr="00737D68" w:rsidR="00737D68" w:rsidP="00737D68" w:rsidRDefault="00737D68" w14:paraId="6E23EEDB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případě, že dojde k porušení povinností týkajících se provádění informačních a komunikačních opatření (uvedených v části II bodě 9), jež je dle Pravidel OPZ považováno za porušení rozpočtové kázně, bude odvod za porušení rozpočtové kázně vyměřen dle § 44a odst. 4 písm. a) rozpočtových pravidel ve výši stanovené za porušení dané povinnosti v tabulce sankcí pro oblast publicity obsažené v Obecné části pravidel pro žadatele a příjemce v rámci OPZ.</w:t>
      </w:r>
    </w:p>
    <w:p w:rsidRPr="00737D68" w:rsidR="00737D68" w:rsidP="00737D68" w:rsidRDefault="00737D68" w14:paraId="738F3F24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případě, že do data ukončení realizace projektu nebude dosažena celková cílová hodnota indikátorů výstupů uvedená v části III bodě 2.1, bude dle § 44a odst. 4 písm. a) rozpočtových pravidel vyměřen následující odvod z  částky, ve které byla porušena rozpočtová kázeň (tj. z vyčerpané částky dotace), přičemž odvod za porušení rozpočtové kázně nemůže být vyšší než celková částka dotace, která byla vyplacena.</w:t>
      </w:r>
    </w:p>
    <w:tbl>
      <w:tblPr>
        <w:tblW w:w="0" w:type="auto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94"/>
        <w:gridCol w:w="3929"/>
      </w:tblGrid>
      <w:tr w:rsidRPr="00737D68" w:rsidR="00737D68" w:rsidTr="00945A28" w14:paraId="567DD2F6" w14:textId="77777777">
        <w:tc>
          <w:tcPr>
            <w:tcW w:w="4536" w:type="dxa"/>
          </w:tcPr>
          <w:p w:rsidRPr="00737D68" w:rsidR="00737D68" w:rsidP="00737D68" w:rsidRDefault="00737D68" w14:paraId="59764462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Celková míra naplnění indikátorů výstupů uvedených v Informaci o projektu příloze č. 1</w:t>
            </w:r>
          </w:p>
        </w:tc>
        <w:tc>
          <w:tcPr>
            <w:tcW w:w="3969" w:type="dxa"/>
          </w:tcPr>
          <w:p w:rsidRPr="00737D68" w:rsidR="00737D68" w:rsidP="00737D68" w:rsidRDefault="00737D68" w14:paraId="292A4AA1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Procento odvodu z částky, ve které byla porušena rozpočtová kázeň</w:t>
            </w:r>
          </w:p>
        </w:tc>
      </w:tr>
      <w:tr w:rsidRPr="00737D68" w:rsidR="00737D68" w:rsidTr="00945A28" w14:paraId="47BCFFE5" w14:textId="77777777">
        <w:tc>
          <w:tcPr>
            <w:tcW w:w="4536" w:type="dxa"/>
            <w:vAlign w:val="center"/>
          </w:tcPr>
          <w:p w:rsidRPr="00737D68" w:rsidR="00737D68" w:rsidP="00737D68" w:rsidRDefault="00737D68" w14:paraId="3413045B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méně než 85 % až 70 %</w:t>
            </w:r>
          </w:p>
        </w:tc>
        <w:tc>
          <w:tcPr>
            <w:tcW w:w="3969" w:type="dxa"/>
          </w:tcPr>
          <w:p w:rsidRPr="00737D68" w:rsidR="00737D68" w:rsidP="00737D68" w:rsidRDefault="00737D68" w14:paraId="589ADA7E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15 %</w:t>
            </w:r>
          </w:p>
        </w:tc>
      </w:tr>
      <w:tr w:rsidRPr="00737D68" w:rsidR="00737D68" w:rsidTr="00945A28" w14:paraId="2FA3F925" w14:textId="77777777">
        <w:tc>
          <w:tcPr>
            <w:tcW w:w="4536" w:type="dxa"/>
            <w:vAlign w:val="center"/>
          </w:tcPr>
          <w:p w:rsidRPr="00737D68" w:rsidR="00737D68" w:rsidP="00737D68" w:rsidRDefault="00737D68" w14:paraId="38B1D227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méně než 70 % až 55 %</w:t>
            </w:r>
          </w:p>
        </w:tc>
        <w:tc>
          <w:tcPr>
            <w:tcW w:w="3969" w:type="dxa"/>
          </w:tcPr>
          <w:p w:rsidRPr="00737D68" w:rsidR="00737D68" w:rsidP="00737D68" w:rsidRDefault="00737D68" w14:paraId="18D7F378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bCs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20 %</w:t>
            </w:r>
          </w:p>
        </w:tc>
      </w:tr>
      <w:tr w:rsidRPr="00737D68" w:rsidR="00737D68" w:rsidTr="00945A28" w14:paraId="0CADF245" w14:textId="77777777">
        <w:tc>
          <w:tcPr>
            <w:tcW w:w="4536" w:type="dxa"/>
            <w:vAlign w:val="center"/>
          </w:tcPr>
          <w:p w:rsidRPr="00737D68" w:rsidR="00737D68" w:rsidP="00737D68" w:rsidRDefault="00737D68" w14:paraId="4099BCE9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méně než 55 % až 40 %</w:t>
            </w:r>
          </w:p>
        </w:tc>
        <w:tc>
          <w:tcPr>
            <w:tcW w:w="3969" w:type="dxa"/>
          </w:tcPr>
          <w:p w:rsidRPr="00737D68" w:rsidR="00737D68" w:rsidP="00737D68" w:rsidRDefault="00737D68" w14:paraId="64F10086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bCs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30 %</w:t>
            </w:r>
          </w:p>
        </w:tc>
      </w:tr>
      <w:tr w:rsidRPr="00737D68" w:rsidR="00737D68" w:rsidTr="00945A28" w14:paraId="70717655" w14:textId="77777777">
        <w:tc>
          <w:tcPr>
            <w:tcW w:w="4536" w:type="dxa"/>
            <w:vAlign w:val="center"/>
          </w:tcPr>
          <w:p w:rsidRPr="00737D68" w:rsidR="00737D68" w:rsidP="00737D68" w:rsidRDefault="00737D68" w14:paraId="0833EF87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méně než 40 %</w:t>
            </w:r>
          </w:p>
        </w:tc>
        <w:tc>
          <w:tcPr>
            <w:tcW w:w="3969" w:type="dxa"/>
          </w:tcPr>
          <w:p w:rsidRPr="00737D68" w:rsidR="00737D68" w:rsidP="00737D68" w:rsidRDefault="00737D68" w14:paraId="4B78B2D5" w14:textId="77777777">
            <w:pPr>
              <w:keepNext/>
              <w:spacing w:before="60" w:after="0" w:line="240" w:lineRule="auto"/>
              <w:ind w:left="57" w:right="57"/>
              <w:rPr>
                <w:rFonts w:ascii="Arial" w:hAnsi="Arial" w:eastAsia="Arial" w:cs="Arial"/>
                <w:bCs/>
                <w:sz w:val="20"/>
              </w:rPr>
            </w:pPr>
            <w:r w:rsidRPr="00737D68">
              <w:rPr>
                <w:rFonts w:ascii="Arial" w:hAnsi="Arial" w:eastAsia="Arial" w:cs="Arial"/>
                <w:sz w:val="20"/>
              </w:rPr>
              <w:t>50 %</w:t>
            </w:r>
          </w:p>
        </w:tc>
      </w:tr>
    </w:tbl>
    <w:p w:rsidRPr="00737D68" w:rsidR="00737D68" w:rsidP="00737D68" w:rsidRDefault="00737D68" w14:paraId="4BD59CBB" w14:textId="77777777">
      <w:pPr>
        <w:spacing w:before="60" w:after="60" w:line="240" w:lineRule="auto"/>
        <w:ind w:left="539"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V případě, že k okamžiku schválení závěrečné zprávy o realizaci platná Pravidla OPZ stanoví pro příjemce příznivěji jednotlivá rozmezí celkové míry naplnění indikátorů výstupů či s tímto spojené procento odvodu než toto Rozhodnutí, uplatní se při vyměření odvodu tato úprava v Pravidlech OPZ. </w:t>
      </w:r>
    </w:p>
    <w:p w:rsidRPr="00737D68" w:rsidR="00737D68" w:rsidP="00737D68" w:rsidRDefault="00737D68" w14:paraId="5CEA8387" w14:textId="77777777">
      <w:pPr>
        <w:numPr>
          <w:ilvl w:val="1"/>
          <w:numId w:val="18"/>
        </w:numPr>
        <w:spacing w:after="60" w:line="240" w:lineRule="auto"/>
        <w:ind w:left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případě, že do data ukončení realizace projektu nebude splněna celková cílová hodnota indikátorů výsledků uvedená v části III bodě 2.1, bude dle § 44a odst. 4 písm. a) rozpočtových pravidel vyměřen následující odvod z částky, ve které byla porušena rozpočtová kázeň (tj. z vyčerpané částky dotace), přičemž odvod za porušení rozpočtové kázně nemůže být vyšší než celková částka dotace, která byla vyplacena.</w:t>
      </w:r>
    </w:p>
    <w:tbl>
      <w:tblPr>
        <w:tblW w:w="0" w:type="auto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0"/>
        <w:gridCol w:w="3893"/>
      </w:tblGrid>
      <w:tr w:rsidRPr="00737D68" w:rsidR="00737D68" w:rsidTr="00945A28" w14:paraId="755C3029" w14:textId="77777777"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37D68" w:rsidR="00737D68" w:rsidP="00737D68" w:rsidRDefault="00737D68" w14:paraId="2BC4CAD4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Celková míra naplnění indikátorů výsledků uvedených v Informaci o projektu v příloze č. 1</w:t>
            </w:r>
          </w:p>
        </w:tc>
        <w:tc>
          <w:tcPr>
            <w:tcW w:w="38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37D68" w:rsidR="00737D68" w:rsidP="00737D68" w:rsidRDefault="00737D68" w14:paraId="37A5F95D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Procento odvodu z částky, ve které byla porušena rozpočtová kázeň</w:t>
            </w:r>
          </w:p>
        </w:tc>
      </w:tr>
      <w:tr w:rsidRPr="00737D68" w:rsidR="00737D68" w:rsidTr="00945A28" w14:paraId="5341DD89" w14:textId="77777777"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37D68" w:rsidR="00737D68" w:rsidP="00737D68" w:rsidRDefault="00737D68" w14:paraId="6CB08AC1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méně než 75 % až  50%</w:t>
            </w:r>
          </w:p>
        </w:tc>
        <w:tc>
          <w:tcPr>
            <w:tcW w:w="38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37D68" w:rsidR="00737D68" w:rsidP="00737D68" w:rsidRDefault="00737D68" w14:paraId="4BC803AD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10 %</w:t>
            </w:r>
          </w:p>
        </w:tc>
      </w:tr>
      <w:tr w:rsidRPr="00737D68" w:rsidR="00737D68" w:rsidTr="00945A28" w14:paraId="5D1F6FA1" w14:textId="77777777"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37D68" w:rsidR="00737D68" w:rsidP="00737D68" w:rsidRDefault="00737D68" w14:paraId="20DCBADF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 xml:space="preserve">méně než 50 % </w:t>
            </w:r>
          </w:p>
        </w:tc>
        <w:tc>
          <w:tcPr>
            <w:tcW w:w="38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737D68" w:rsidR="00737D68" w:rsidP="00737D68" w:rsidRDefault="00737D68" w14:paraId="4EF9B848" w14:textId="77777777">
            <w:pPr>
              <w:keepNext/>
              <w:spacing w:after="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737D68">
              <w:rPr>
                <w:rFonts w:ascii="Arial" w:hAnsi="Arial" w:eastAsia="Arial" w:cs="Times New Roman"/>
                <w:sz w:val="20"/>
              </w:rPr>
              <w:t>20 %</w:t>
            </w:r>
          </w:p>
        </w:tc>
      </w:tr>
    </w:tbl>
    <w:p w:rsidRPr="00737D68" w:rsidR="00737D68" w:rsidP="00737D68" w:rsidRDefault="00737D68" w14:paraId="1A0A6CA6" w14:textId="77777777">
      <w:pPr>
        <w:widowControl w:val="false"/>
        <w:tabs>
          <w:tab w:val="num" w:pos="1478"/>
        </w:tabs>
        <w:overflowPunct w:val="false"/>
        <w:autoSpaceDE w:val="false"/>
        <w:autoSpaceDN w:val="false"/>
        <w:adjustRightInd w:val="false"/>
        <w:spacing w:before="40" w:after="60" w:line="240" w:lineRule="auto"/>
        <w:ind w:left="567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případě, že k okamžiku schválení závěrečné zprávy o realizaci platná Pravidla OPZ stanoví pro příjemce příznivěji jednotlivá rozmezí celkové míry</w:t>
      </w:r>
      <w:r w:rsidRPr="00737D68" w:rsidDel="00077902">
        <w:rPr>
          <w:rFonts w:ascii="Arial" w:hAnsi="Arial" w:eastAsia="Times New Roman" w:cs="Arial"/>
          <w:lang w:eastAsia="cs-CZ"/>
        </w:rPr>
        <w:t xml:space="preserve"> </w:t>
      </w:r>
      <w:r w:rsidRPr="00737D68">
        <w:rPr>
          <w:rFonts w:ascii="Arial" w:hAnsi="Arial" w:eastAsia="Times New Roman" w:cs="Arial"/>
          <w:lang w:eastAsia="cs-CZ"/>
        </w:rPr>
        <w:t xml:space="preserve">naplnění indikátorů výsledků či s tímto spojené procento odvodu mírněji než toto Rozhodnutí, uplatní se při vyměření odvodu tato úprava v Pravidlech OPZ. </w:t>
      </w:r>
    </w:p>
    <w:p w:rsidRPr="00737D68" w:rsidR="00737D68" w:rsidP="00737D68" w:rsidRDefault="00737D68" w14:paraId="1CF6EB22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V případě, že dojde k porušení povinnosti týkající se předložení či změny plánu aktivit projektu či povinnosti provádět příslušnou aktivitu projektu v souladu s předloženým plánem aktivit projektu, jež jsou dle Pravidel OPZ považovány za porušení rozpočtové kázně, bude odvod za porušení rozpočtové kázně vyměřen dle § 44a odst. 4 písm. a) rozpočtových pravidel ve výši stanovené za porušení této povinnosti ve Specifických pravidlech.</w:t>
      </w:r>
    </w:p>
    <w:p w:rsidRPr="00737D68" w:rsidR="00737D68" w:rsidP="00737D68" w:rsidRDefault="00737D68" w14:paraId="47A72E20" w14:textId="77777777">
      <w:p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73A152FF" w14:textId="77777777">
      <w:pPr>
        <w:numPr>
          <w:ilvl w:val="0"/>
          <w:numId w:val="18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Porušení povinností, jež není porušením rozpočtové kázně</w:t>
      </w:r>
      <w:r w:rsidRPr="00737D68">
        <w:rPr>
          <w:rFonts w:ascii="Arial" w:hAnsi="Arial" w:eastAsia="Times New Roman" w:cs="Arial"/>
          <w:b/>
          <w:bCs/>
          <w:vertAlign w:val="superscript"/>
          <w:lang w:eastAsia="cs-CZ"/>
        </w:rPr>
        <w:footnoteReference w:id="18"/>
      </w:r>
    </w:p>
    <w:p w:rsidRPr="00737D68" w:rsidR="00737D68" w:rsidP="00737D68" w:rsidRDefault="00737D68" w14:paraId="0EF9E485" w14:textId="77777777">
      <w:pPr>
        <w:spacing w:after="60" w:line="240" w:lineRule="auto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 případě, že </w:t>
      </w:r>
    </w:p>
    <w:p w:rsidRPr="00737D68" w:rsidR="00737D68" w:rsidP="00737D68" w:rsidRDefault="00737D68" w14:paraId="23C07ABD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 porušení povinnosti předložit poskytovateli zprávu o realizaci projektu (včetně žádosti o platbu) nebo povinnosti předložit poskytovateli vyžádanou informaci ad hoc (uvedené v části II bodě 5.2 a bodě 10, v části III v bodech 2.2 až 2.4) a prodlení bude trvat méně než 7 kalendářních dní, přičemž určující pro počátek běhu prodlení je termín vyplývající z tohoto Rozhodnutí ve znění případného vyjádření poskytovatele o změně termínu, které je příjemci k dispozici v MS2014+; (netýká se situací, kdy příjemce nemohl z důvodu technických překážek na straně MS2014+ zprávu o realizaci projektu nebo žádost o platbu předložit);</w:t>
      </w:r>
    </w:p>
    <w:p w:rsidRPr="00737D68" w:rsidR="00737D68" w:rsidP="00737D68" w:rsidRDefault="00737D68" w14:paraId="2A3175E2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dojde k porušení povinností předložit poskytovateli zprávu o realizaci projektu (včetně žádosti o platbu; uvedených v části III 2.2 až 2.4) </w:t>
      </w:r>
      <w:r w:rsidRPr="00737D68">
        <w:rPr>
          <w:rFonts w:ascii="Arial" w:hAnsi="Arial" w:eastAsia="Arial" w:cs="Times New Roman"/>
        </w:rPr>
        <w:t xml:space="preserve">nebo povinnosti předložit poskytovateli plán aktivit projektu vyžádaný podle Pravidel OPZ </w:t>
      </w:r>
      <w:r w:rsidRPr="00737D68">
        <w:rPr>
          <w:rFonts w:ascii="Arial" w:hAnsi="Arial" w:eastAsia="Arial" w:cs="Arial"/>
        </w:rPr>
        <w:t xml:space="preserve">a prodlení je způsobeno tím, že příjemce nemohl z důvodu </w:t>
      </w:r>
      <w:r w:rsidRPr="00737D68">
        <w:rPr>
          <w:rFonts w:ascii="Arial" w:hAnsi="Arial" w:eastAsia="Arial" w:cs="Times New Roman"/>
        </w:rPr>
        <w:t xml:space="preserve">technických překážek na straně </w:t>
      </w:r>
      <w:r w:rsidRPr="00737D68">
        <w:rPr>
          <w:rFonts w:ascii="Arial" w:hAnsi="Arial" w:eastAsia="Arial" w:cs="Arial"/>
        </w:rPr>
        <w:t xml:space="preserve">MS2014+ zprávu o realizaci projektu, žádost o platbu </w:t>
      </w:r>
      <w:r w:rsidRPr="00737D68">
        <w:rPr>
          <w:rFonts w:ascii="Arial" w:hAnsi="Arial" w:eastAsia="Arial" w:cs="Times New Roman"/>
        </w:rPr>
        <w:t xml:space="preserve">nebo plán aktivit projektu </w:t>
      </w:r>
      <w:r w:rsidRPr="00737D68">
        <w:rPr>
          <w:rFonts w:ascii="Arial" w:hAnsi="Arial" w:eastAsia="Arial" w:cs="Arial"/>
        </w:rPr>
        <w:t>předložit;</w:t>
      </w:r>
    </w:p>
    <w:p w:rsidRPr="00737D68" w:rsidR="00737D68" w:rsidP="00737D68" w:rsidRDefault="00737D68" w14:paraId="4684350B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dojde k porušení povinnosti týkající se oznamování (uvedené v části II bodě 11), včetně oznamování nepodstatných změn a v Pravidlech OPZ je pro dané pochybení stanoveno, že nezakládá porušení rozpočtové kázně; </w:t>
      </w:r>
    </w:p>
    <w:p w:rsidRPr="00737D68" w:rsidR="00737D68" w:rsidP="00737D68" w:rsidRDefault="00737D68" w14:paraId="58F3CDF2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 porušení povinností týkajících se zadávání zakázek (uvedených v části II bodě 6), jež dle Pravidel OPZ není považováno za porušení rozpočtové kázně,</w:t>
      </w:r>
    </w:p>
    <w:p w:rsidRPr="00737D68" w:rsidR="00737D68" w:rsidP="00737D68" w:rsidRDefault="00737D68" w14:paraId="1C30ACC9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 porušení povinností týkajících se provádění informačních a komunikačních opatření (uvedených v části II bodě 9), jež dle Pravidel OPZ není považováno za porušení rozpočtové kázně,</w:t>
      </w:r>
    </w:p>
    <w:p w:rsidRPr="00737D68" w:rsidR="00737D68" w:rsidP="00737D68" w:rsidRDefault="00737D68" w14:paraId="126155C4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bude splněna cílová hodnota indikátorů výstupů uvedených v Informaci o projektu v příloze č. 1 tohoto Rozhodnutí z 85 % nebo více, </w:t>
      </w:r>
    </w:p>
    <w:p w:rsidRPr="00737D68" w:rsidR="00737D68" w:rsidP="00737D68" w:rsidRDefault="00737D68" w14:paraId="3B240344" w14:textId="77777777">
      <w:pPr>
        <w:numPr>
          <w:ilvl w:val="2"/>
          <w:numId w:val="5"/>
        </w:numPr>
        <w:tabs>
          <w:tab w:val="left" w:pos="709"/>
        </w:tabs>
        <w:spacing w:after="220" w:line="240" w:lineRule="auto"/>
        <w:ind w:left="709" w:hanging="283"/>
        <w:contextualSpacing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Arial" w:cs="Times New Roman"/>
        </w:rPr>
        <w:t xml:space="preserve">bude splněna cílová hodnota indikátorů výsledků uvedených v Informaci o projektu v příloze č. 1 tohoto Rozhodnutí ze 75 % nebo více, </w:t>
      </w:r>
    </w:p>
    <w:p w:rsidRPr="00737D68" w:rsidR="00737D68" w:rsidP="00737D68" w:rsidRDefault="00737D68" w14:paraId="6F9E10FB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 nedodržení finančního plánu projektu obsaženého v příloze č. 1 tohoto Rozhodnutí, příp. upraveného v režimu nepodstatných změn projektu,</w:t>
      </w:r>
    </w:p>
    <w:p w:rsidRPr="00737D68" w:rsidR="00737D68" w:rsidP="00737D68" w:rsidRDefault="00737D68" w14:paraId="1DFE5FC0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 porušení povinností dle části VI tohoto Rozhodnutí,</w:t>
      </w:r>
    </w:p>
    <w:p w:rsidRPr="00737D68" w:rsidR="00737D68" w:rsidP="00737D68" w:rsidRDefault="00737D68" w14:paraId="42AC1840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dojde k porušení povinnosti předložit podklady pro finanční vypořádání dotace podle </w:t>
      </w:r>
      <w:r w:rsidRPr="00737D68">
        <w:rPr>
          <w:rFonts w:ascii="Arial" w:hAnsi="Arial" w:eastAsia="Arial" w:cs="Times New Roman"/>
        </w:rPr>
        <w:t xml:space="preserve">aktuálně platné </w:t>
      </w:r>
      <w:r w:rsidRPr="00737D68">
        <w:rPr>
          <w:rFonts w:ascii="Arial" w:hAnsi="Arial" w:eastAsia="Arial" w:cs="Arial"/>
        </w:rPr>
        <w:t>vyhlášky upravující zásady a lhůty finančního vypořádání vztahů se státním rozpočtem (uvedené v části II bodě 13)</w:t>
      </w:r>
      <w:r w:rsidRPr="00737D68">
        <w:rPr>
          <w:rFonts w:ascii="Arial" w:hAnsi="Arial" w:eastAsia="Arial" w:cs="Arial"/>
          <w:vertAlign w:val="superscript"/>
        </w:rPr>
        <w:footnoteReference w:id="19"/>
      </w:r>
      <w:r w:rsidRPr="00737D68">
        <w:rPr>
          <w:rFonts w:ascii="Arial" w:hAnsi="Arial" w:eastAsia="Arial" w:cs="Arial"/>
        </w:rPr>
        <w:t>;</w:t>
      </w:r>
    </w:p>
    <w:p w:rsidRPr="00737D68" w:rsidR="00737D68" w:rsidP="00737D68" w:rsidRDefault="00737D68" w14:paraId="5F2B1E5F" w14:textId="77777777">
      <w:pPr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 porušení povinnosti aktualizovat v IS KP14+ údaje o zakázkách a kontrolách/auditech týkajících se projektu,</w:t>
      </w:r>
    </w:p>
    <w:p w:rsidRPr="00737D68" w:rsidR="00737D68" w:rsidP="00737D68" w:rsidRDefault="00737D68" w14:paraId="14391B86" w14:textId="77777777">
      <w:pPr>
        <w:keepNext/>
        <w:numPr>
          <w:ilvl w:val="2"/>
          <w:numId w:val="5"/>
        </w:numPr>
        <w:tabs>
          <w:tab w:val="num" w:pos="709"/>
        </w:tabs>
        <w:spacing w:after="60" w:line="240" w:lineRule="auto"/>
        <w:ind w:left="709" w:hanging="283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>dojde k porušení některé z povinností stanovených ve </w:t>
      </w:r>
      <w:r w:rsidRPr="00737D68">
        <w:rPr>
          <w:rFonts w:ascii="Arial" w:hAnsi="Arial" w:eastAsia="Arial" w:cs="Arial"/>
          <w:i/>
        </w:rPr>
        <w:t>Specifických pravidlech</w:t>
      </w:r>
      <w:r w:rsidRPr="00737D68">
        <w:rPr>
          <w:rFonts w:ascii="Arial" w:hAnsi="Arial" w:eastAsia="Arial" w:cs="Arial"/>
        </w:rPr>
        <w:t>:</w:t>
      </w:r>
    </w:p>
    <w:p w:rsidRPr="00737D68" w:rsidR="00737D68" w:rsidP="00737D68" w:rsidRDefault="00737D68" w14:paraId="6DE1A491" w14:textId="77777777">
      <w:pPr>
        <w:keepNext/>
        <w:numPr>
          <w:ilvl w:val="2"/>
          <w:numId w:val="7"/>
        </w:numPr>
        <w:tabs>
          <w:tab w:val="num" w:pos="993"/>
        </w:tabs>
        <w:spacing w:after="220" w:line="240" w:lineRule="auto"/>
        <w:ind w:left="993" w:hanging="284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v kapitole </w:t>
      </w:r>
      <w:r w:rsidRPr="00737D68">
        <w:rPr>
          <w:rFonts w:ascii="Arial" w:hAnsi="Arial" w:eastAsia="Arial" w:cs="Arial"/>
          <w:u w:val="single"/>
        </w:rPr>
        <w:t>Dokumentace k obsahu vzdělávacího kurzu</w:t>
      </w:r>
      <w:r w:rsidRPr="00737D68">
        <w:rPr>
          <w:rFonts w:ascii="Arial" w:hAnsi="Arial" w:eastAsia="Arial" w:cs="Arial"/>
        </w:rPr>
        <w:t>, v jehož důsledku nevznikají nezpůsobilé výdaje (tj. nedostatek nemá vliv na počet dosažených jednotek),</w:t>
      </w:r>
    </w:p>
    <w:p w:rsidRPr="00737D68" w:rsidR="00737D68" w:rsidP="00737D68" w:rsidRDefault="00737D68" w14:paraId="0473340F" w14:textId="77777777">
      <w:pPr>
        <w:keepNext/>
        <w:numPr>
          <w:ilvl w:val="2"/>
          <w:numId w:val="7"/>
        </w:numPr>
        <w:tabs>
          <w:tab w:val="num" w:pos="993"/>
        </w:tabs>
        <w:spacing w:after="220" w:line="240" w:lineRule="auto"/>
        <w:ind w:left="993" w:hanging="284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v kapitole </w:t>
      </w:r>
      <w:r w:rsidRPr="00737D68">
        <w:rPr>
          <w:rFonts w:ascii="Arial" w:hAnsi="Arial" w:eastAsia="Arial" w:cs="Arial"/>
          <w:u w:val="single"/>
        </w:rPr>
        <w:t xml:space="preserve">Prezenční listiny a způsob započítání absolvovaných </w:t>
      </w:r>
      <w:proofErr w:type="spellStart"/>
      <w:r w:rsidRPr="00737D68">
        <w:rPr>
          <w:rFonts w:ascii="Arial" w:hAnsi="Arial" w:eastAsia="Arial" w:cs="Arial"/>
          <w:u w:val="single"/>
        </w:rPr>
        <w:t>osobohodin</w:t>
      </w:r>
      <w:proofErr w:type="spellEnd"/>
      <w:r w:rsidRPr="00737D68">
        <w:rPr>
          <w:rFonts w:ascii="Arial" w:hAnsi="Arial" w:eastAsia="Arial" w:cs="Arial"/>
        </w:rPr>
        <w:t>, v jehož důsledku nevznikají nezpůsobilé výdaje (tj. nedostatek nemá vliv na počet dosažených jednotek),</w:t>
      </w:r>
    </w:p>
    <w:p w:rsidRPr="00737D68" w:rsidR="00737D68" w:rsidP="00737D68" w:rsidRDefault="00737D68" w14:paraId="52A0CDC8" w14:textId="77777777">
      <w:pPr>
        <w:numPr>
          <w:ilvl w:val="2"/>
          <w:numId w:val="7"/>
        </w:numPr>
        <w:tabs>
          <w:tab w:val="num" w:pos="993"/>
        </w:tabs>
        <w:spacing w:after="220" w:line="240" w:lineRule="auto"/>
        <w:ind w:left="993" w:hanging="284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v kapitole </w:t>
      </w:r>
      <w:r w:rsidRPr="00737D68">
        <w:rPr>
          <w:rFonts w:ascii="Arial" w:hAnsi="Arial" w:eastAsia="Arial" w:cs="Arial"/>
          <w:u w:val="single"/>
        </w:rPr>
        <w:t>Doklad o absolvování</w:t>
      </w:r>
      <w:r w:rsidRPr="00737D68">
        <w:rPr>
          <w:rFonts w:ascii="Arial" w:hAnsi="Arial" w:eastAsia="Arial" w:cs="Arial"/>
        </w:rPr>
        <w:t>, v jehož důsledku nevznikají nezpůsobilé výdaje (tj. nedostatek nemá vliv na počet dosažených jednotek),</w:t>
      </w:r>
    </w:p>
    <w:p w:rsidRPr="00737D68" w:rsidR="00737D68" w:rsidP="00737D68" w:rsidRDefault="00737D68" w14:paraId="7E03638B" w14:textId="77777777">
      <w:pPr>
        <w:numPr>
          <w:ilvl w:val="2"/>
          <w:numId w:val="7"/>
        </w:numPr>
        <w:tabs>
          <w:tab w:val="num" w:pos="993"/>
        </w:tabs>
        <w:spacing w:after="60" w:line="240" w:lineRule="auto"/>
        <w:ind w:left="993" w:hanging="284"/>
        <w:contextualSpacing/>
        <w:jc w:val="both"/>
        <w:rPr>
          <w:rFonts w:ascii="Arial" w:hAnsi="Arial" w:eastAsia="Arial" w:cs="Arial"/>
        </w:rPr>
      </w:pPr>
      <w:r w:rsidRPr="00737D68">
        <w:rPr>
          <w:rFonts w:ascii="Arial" w:hAnsi="Arial" w:eastAsia="Arial" w:cs="Arial"/>
        </w:rPr>
        <w:t xml:space="preserve">v kapitole </w:t>
      </w:r>
      <w:r w:rsidRPr="00737D68">
        <w:rPr>
          <w:rFonts w:ascii="Arial" w:hAnsi="Arial" w:eastAsia="Arial" w:cs="Arial"/>
          <w:u w:val="single"/>
        </w:rPr>
        <w:t>Školicí (výukové) materiály a pomůcky</w:t>
      </w:r>
      <w:r w:rsidRPr="00737D68">
        <w:rPr>
          <w:rFonts w:ascii="Arial" w:hAnsi="Arial" w:eastAsia="Arial" w:cs="Arial"/>
        </w:rPr>
        <w:t>, v jehož důsledku nevznikají nezpůsobilé výdaje (tj. nedostatek nemá vliv na počet dosažených jednotek),</w:t>
      </w:r>
    </w:p>
    <w:p w:rsidRPr="00737D68" w:rsidR="00737D68" w:rsidP="00737D68" w:rsidRDefault="00737D68" w14:paraId="630ECF4B" w14:textId="77777777">
      <w:pPr>
        <w:widowControl w:val="false"/>
        <w:tabs>
          <w:tab w:val="num" w:pos="1478"/>
        </w:tabs>
        <w:overflowPunct w:val="false"/>
        <w:autoSpaceDE w:val="false"/>
        <w:autoSpaceDN w:val="false"/>
        <w:adjustRightInd w:val="false"/>
        <w:spacing w:after="60" w:line="240" w:lineRule="auto"/>
        <w:contextualSpacing/>
        <w:jc w:val="both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nejedná se o porušení rozpočtové kázně ve smyslu rozpočtových pravidel.</w:t>
      </w:r>
    </w:p>
    <w:p w:rsidRPr="00737D68" w:rsidR="00737D68" w:rsidP="00737D68" w:rsidRDefault="00737D68" w14:paraId="4A335D91" w14:textId="77777777">
      <w:pPr>
        <w:keepNext/>
        <w:numPr>
          <w:ilvl w:val="0"/>
          <w:numId w:val="18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Další informace k sankcím</w:t>
      </w:r>
    </w:p>
    <w:p w:rsidRPr="00737D68" w:rsidR="00737D68" w:rsidP="00737D68" w:rsidRDefault="00737D68" w14:paraId="2F995E0A" w14:textId="77777777">
      <w:pPr>
        <w:keepNext/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Neexistence dokumentace k obsahu vzdělávacího kurzu, anebo chybějící náležitosti v dokumentaci k obsahu vzdělávacího kurzu stanovené ve </w:t>
      </w:r>
      <w:r w:rsidRPr="00737D68">
        <w:rPr>
          <w:rFonts w:ascii="Arial" w:hAnsi="Arial" w:eastAsia="Times New Roman" w:cs="Arial"/>
          <w:i/>
          <w:lang w:eastAsia="cs-CZ"/>
        </w:rPr>
        <w:t xml:space="preserve">Specifických pravidlech </w:t>
      </w:r>
      <w:r w:rsidRPr="00737D68">
        <w:rPr>
          <w:rFonts w:ascii="Arial" w:hAnsi="Arial" w:eastAsia="Times New Roman" w:cs="Arial"/>
          <w:lang w:eastAsia="cs-CZ"/>
        </w:rPr>
        <w:t xml:space="preserve">v kapitole </w:t>
      </w:r>
      <w:r w:rsidRPr="00737D68">
        <w:rPr>
          <w:rFonts w:ascii="Arial" w:hAnsi="Arial" w:eastAsia="Times New Roman" w:cs="Arial"/>
          <w:u w:val="single"/>
          <w:lang w:eastAsia="cs-CZ"/>
        </w:rPr>
        <w:t>Dokumentace k obsahu vzdělávacího kurzu</w:t>
      </w:r>
      <w:r w:rsidRPr="00737D68">
        <w:rPr>
          <w:rFonts w:ascii="Arial" w:hAnsi="Arial" w:eastAsia="Times New Roman" w:cs="Arial"/>
          <w:lang w:eastAsia="cs-CZ"/>
        </w:rPr>
        <w:t xml:space="preserve"> mají vliv na počet dosažených jednotek a zakládají nezpůsobilé výdaje. </w:t>
      </w:r>
    </w:p>
    <w:p w:rsidRPr="00737D68" w:rsidR="00737D68" w:rsidP="00737D68" w:rsidRDefault="00737D68" w14:paraId="29B981B9" w14:textId="77777777">
      <w:pPr>
        <w:spacing w:after="60" w:line="240" w:lineRule="auto"/>
        <w:ind w:left="567" w:hanging="141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  Chybějící náležitosti v podobě, typu kurzu, výčtu případných školicích (výukových) materiálů a pomůcek a vzoru dokladu o absolvování v dokumentaci k obsahu vzdělávacího kurzu však nezakládají nezpůsobilé výdaje.</w:t>
      </w:r>
    </w:p>
    <w:p w:rsidRPr="00737D68" w:rsidR="00737D68" w:rsidP="00737D68" w:rsidRDefault="00737D68" w14:paraId="4CB252C0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Neexistence prezenční listiny, anebo chybějící náležitosti v prezenční listině stanovené ve </w:t>
      </w:r>
      <w:r w:rsidRPr="00737D68">
        <w:rPr>
          <w:rFonts w:ascii="Arial" w:hAnsi="Arial" w:eastAsia="Times New Roman" w:cs="Arial"/>
          <w:i/>
          <w:lang w:eastAsia="cs-CZ"/>
        </w:rPr>
        <w:t>Specifických pravidlech</w:t>
      </w:r>
      <w:r w:rsidRPr="00737D68">
        <w:rPr>
          <w:rFonts w:ascii="Arial" w:hAnsi="Arial" w:eastAsia="Times New Roman" w:cs="Arial"/>
          <w:lang w:eastAsia="cs-CZ"/>
        </w:rPr>
        <w:t xml:space="preserve"> v kapitole </w:t>
      </w:r>
      <w:r w:rsidRPr="00737D68">
        <w:rPr>
          <w:rFonts w:ascii="Arial" w:hAnsi="Arial" w:eastAsia="Times New Roman" w:cs="Arial"/>
          <w:u w:val="single"/>
          <w:lang w:eastAsia="cs-CZ"/>
        </w:rPr>
        <w:t xml:space="preserve">Prezenční listiny a způsob započítání absolvovaných </w:t>
      </w:r>
      <w:proofErr w:type="spellStart"/>
      <w:r w:rsidRPr="00737D68">
        <w:rPr>
          <w:rFonts w:ascii="Arial" w:hAnsi="Arial" w:eastAsia="Times New Roman" w:cs="Arial"/>
          <w:u w:val="single"/>
          <w:lang w:eastAsia="cs-CZ"/>
        </w:rPr>
        <w:t>osobohodin</w:t>
      </w:r>
      <w:proofErr w:type="spellEnd"/>
      <w:r w:rsidRPr="00737D68">
        <w:rPr>
          <w:rFonts w:ascii="Arial" w:hAnsi="Arial" w:eastAsia="Times New Roman" w:cs="Arial"/>
          <w:lang w:eastAsia="cs-CZ"/>
        </w:rPr>
        <w:t xml:space="preserve"> mají vliv na počet dosažených jednotek a zakládají nezpůsobilé výdaje. </w:t>
      </w:r>
    </w:p>
    <w:p w:rsidRPr="00737D68" w:rsidR="00737D68" w:rsidP="00737D68" w:rsidRDefault="00737D68" w14:paraId="701D6098" w14:textId="77777777">
      <w:pPr>
        <w:spacing w:after="60" w:line="240" w:lineRule="auto"/>
        <w:ind w:left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Chybějící náležitosti v podobě kódu kurzu, typu kurzu a čísla zprávy o realizaci projektu, ke které se prezenční listina vztahuje, však nezakládají nezpůsobilé výdaje.</w:t>
      </w:r>
    </w:p>
    <w:p w:rsidRPr="00737D68" w:rsidR="00737D68" w:rsidP="00737D68" w:rsidRDefault="00737D68" w14:paraId="320FA70C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Neexistence dokladu o absolvování, anebo chybějící náležitosti na potvrzení o absolvování stanovené ve </w:t>
      </w:r>
      <w:r w:rsidRPr="00737D68">
        <w:rPr>
          <w:rFonts w:ascii="Arial" w:hAnsi="Arial" w:eastAsia="Times New Roman" w:cs="Arial"/>
          <w:i/>
          <w:lang w:eastAsia="cs-CZ"/>
        </w:rPr>
        <w:t>Specifických pravidlech</w:t>
      </w:r>
      <w:r w:rsidRPr="00737D68">
        <w:rPr>
          <w:rFonts w:ascii="Arial" w:hAnsi="Arial" w:eastAsia="Times New Roman" w:cs="Arial"/>
          <w:lang w:eastAsia="cs-CZ"/>
        </w:rPr>
        <w:t xml:space="preserve"> v kapitole </w:t>
      </w:r>
      <w:r w:rsidRPr="00737D68">
        <w:rPr>
          <w:rFonts w:ascii="Arial" w:hAnsi="Arial" w:eastAsia="Times New Roman" w:cs="Arial"/>
          <w:u w:val="single"/>
          <w:lang w:eastAsia="cs-CZ"/>
        </w:rPr>
        <w:t xml:space="preserve">Doklad o absolvování </w:t>
      </w:r>
      <w:r w:rsidRPr="00737D68">
        <w:rPr>
          <w:rFonts w:ascii="Arial" w:hAnsi="Arial" w:eastAsia="Times New Roman" w:cs="Arial"/>
          <w:lang w:eastAsia="cs-CZ"/>
        </w:rPr>
        <w:t xml:space="preserve">mají vliv na počet dosažených jednotek a zakládá nezpůsobilé výdaje. </w:t>
      </w:r>
    </w:p>
    <w:p w:rsidRPr="00737D68" w:rsidR="00737D68" w:rsidP="00737D68" w:rsidRDefault="00737D68" w14:paraId="1D884CB5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Nesoulad mezi popisem případných školících (výukových) materiálů a pomůcek uvedeny v dokumentaci k obsahu vzdělávacího kurzu a použitými školícími (výukovými) materiály a pomůckami nezakládá nezpůsobilé výdaje.</w:t>
      </w:r>
    </w:p>
    <w:p w:rsidRPr="00737D68" w:rsidR="00737D68" w:rsidP="00737D68" w:rsidRDefault="00737D68" w14:paraId="10F36AF6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u w:val="single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Neprokázání</w:t>
      </w:r>
      <w:r w:rsidRPr="00737D68">
        <w:rPr>
          <w:rFonts w:ascii="Arial" w:hAnsi="Arial" w:eastAsia="Times New Roman" w:cs="Arial"/>
          <w:u w:val="single"/>
          <w:lang w:eastAsia="cs-CZ"/>
        </w:rPr>
        <w:t xml:space="preserve"> </w:t>
      </w:r>
      <w:r w:rsidRPr="00737D68">
        <w:rPr>
          <w:rFonts w:ascii="Arial" w:hAnsi="Arial" w:eastAsia="Times New Roman" w:cs="Arial"/>
          <w:lang w:eastAsia="cs-CZ"/>
        </w:rPr>
        <w:t xml:space="preserve">nebo nesplnění požadavků na kvalifikaci nebo lektorskou praxi interního lektora uvedených ve </w:t>
      </w:r>
      <w:r w:rsidRPr="00737D68">
        <w:rPr>
          <w:rFonts w:ascii="Arial" w:hAnsi="Arial" w:eastAsia="Times New Roman" w:cs="Arial"/>
          <w:i/>
          <w:lang w:eastAsia="cs-CZ"/>
        </w:rPr>
        <w:t>Specifických pravidlech</w:t>
      </w:r>
      <w:r w:rsidRPr="00737D68">
        <w:rPr>
          <w:rFonts w:ascii="Arial" w:hAnsi="Arial" w:eastAsia="Times New Roman" w:cs="Arial"/>
          <w:lang w:eastAsia="cs-CZ"/>
        </w:rPr>
        <w:t xml:space="preserve"> v kapitole</w:t>
      </w:r>
      <w:r w:rsidRPr="00737D68">
        <w:rPr>
          <w:rFonts w:ascii="Arial" w:hAnsi="Arial" w:eastAsia="Times New Roman" w:cs="Arial"/>
          <w:u w:val="single"/>
          <w:lang w:eastAsia="cs-CZ"/>
        </w:rPr>
        <w:t xml:space="preserve"> Požadavky na vzdělávací subjekty</w:t>
      </w:r>
      <w:r w:rsidRPr="00737D68">
        <w:rPr>
          <w:rFonts w:ascii="Arial" w:hAnsi="Arial" w:eastAsia="Times New Roman" w:cs="Arial"/>
          <w:lang w:eastAsia="cs-CZ"/>
        </w:rPr>
        <w:t xml:space="preserve"> má vliv na počet dosažených jednotek a zakládá nezpůsobilé výdaje. </w:t>
      </w:r>
      <w:r w:rsidRPr="00737D68">
        <w:rPr>
          <w:rFonts w:ascii="Arial" w:hAnsi="Arial" w:eastAsia="Times New Roman" w:cs="Arial"/>
          <w:u w:val="single"/>
          <w:lang w:eastAsia="cs-CZ"/>
        </w:rPr>
        <w:t xml:space="preserve">  </w:t>
      </w:r>
    </w:p>
    <w:p w:rsidRPr="00737D68" w:rsidR="00737D68" w:rsidP="00737D68" w:rsidRDefault="00737D68" w14:paraId="655B237A" w14:textId="77777777">
      <w:pPr>
        <w:numPr>
          <w:ilvl w:val="1"/>
          <w:numId w:val="18"/>
        </w:numPr>
        <w:spacing w:after="60" w:line="240" w:lineRule="auto"/>
        <w:ind w:left="567" w:hanging="56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 případě nedodržení povinností ve </w:t>
      </w:r>
      <w:r w:rsidRPr="00737D68">
        <w:rPr>
          <w:rFonts w:ascii="Arial" w:hAnsi="Arial" w:eastAsia="Times New Roman" w:cs="Arial"/>
          <w:i/>
          <w:lang w:eastAsia="cs-CZ"/>
        </w:rPr>
        <w:t>Specifických pravidlech</w:t>
      </w:r>
      <w:r w:rsidRPr="00737D68">
        <w:rPr>
          <w:rFonts w:ascii="Arial" w:hAnsi="Arial" w:eastAsia="Times New Roman" w:cs="Arial"/>
          <w:lang w:eastAsia="cs-CZ"/>
        </w:rPr>
        <w:t xml:space="preserve"> v kapitole </w:t>
      </w:r>
      <w:r w:rsidRPr="00737D68">
        <w:rPr>
          <w:rFonts w:ascii="Arial" w:hAnsi="Arial" w:eastAsia="Times New Roman" w:cs="Arial"/>
          <w:u w:val="single"/>
          <w:lang w:eastAsia="cs-CZ"/>
        </w:rPr>
        <w:t>Cílová skupina</w:t>
      </w:r>
      <w:r w:rsidRPr="00737D68">
        <w:rPr>
          <w:rFonts w:ascii="Arial" w:hAnsi="Arial" w:eastAsia="Times New Roman" w:cs="Arial"/>
          <w:lang w:eastAsia="cs-CZ"/>
        </w:rPr>
        <w:t xml:space="preserve"> stanovující, že podpořená osoba musí být zaměstnancem, má toto nedodržení vliv na počet dosažených jednotek a zakládá nezpůsobilé výdaje. </w:t>
      </w:r>
    </w:p>
    <w:p w:rsidRPr="00737D68" w:rsidR="00737D68" w:rsidP="00737D68" w:rsidRDefault="00737D68" w14:paraId="746CDD6D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737D68" w:rsidR="00737D68" w:rsidP="00737D68" w:rsidRDefault="00737D68" w14:paraId="0F77A433" w14:textId="77777777">
      <w:pPr>
        <w:keepNext/>
        <w:shd w:val="clear" w:color="auto" w:fill="F2F2F2"/>
        <w:spacing w:after="220" w:line="240" w:lineRule="auto"/>
        <w:jc w:val="both"/>
        <w:rPr>
          <w:rFonts w:ascii="Arial" w:hAnsi="Arial" w:eastAsia="Calibri" w:cs="Arial"/>
          <w:b/>
        </w:rPr>
      </w:pPr>
      <w:r w:rsidRPr="00737D68">
        <w:rPr>
          <w:rFonts w:ascii="Arial" w:hAnsi="Arial" w:eastAsia="Calibri" w:cs="Arial"/>
          <w:b/>
        </w:rPr>
        <w:t xml:space="preserve">Část VI – Pověření ke zpracování osobních údajů </w:t>
      </w:r>
    </w:p>
    <w:p w:rsidRPr="00737D68" w:rsidR="00737D68" w:rsidP="00737D68" w:rsidRDefault="00737D68" w14:paraId="7BE2E6E8" w14:textId="77777777">
      <w:pPr>
        <w:keepNext/>
        <w:numPr>
          <w:ilvl w:val="0"/>
          <w:numId w:val="1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 xml:space="preserve">Pověření a účel zpracování osobních údajů </w:t>
      </w:r>
    </w:p>
    <w:p w:rsidRPr="00737D68" w:rsidR="00737D68" w:rsidP="00737D68" w:rsidRDefault="00737D68" w14:paraId="4AC13CD4" w14:textId="77777777">
      <w:pPr>
        <w:numPr>
          <w:ilvl w:val="1"/>
          <w:numId w:val="19"/>
        </w:numPr>
        <w:spacing w:after="40" w:line="240" w:lineRule="auto"/>
        <w:ind w:left="567" w:hanging="567"/>
        <w:jc w:val="both"/>
        <w:rPr>
          <w:rFonts w:ascii="Arial" w:hAnsi="Arial" w:eastAsia="Calibri" w:cs="Arial"/>
          <w:lang w:eastAsia="cs-CZ"/>
        </w:rPr>
      </w:pPr>
      <w:r w:rsidRPr="00737D68">
        <w:rPr>
          <w:rFonts w:ascii="Arial" w:hAnsi="Arial" w:eastAsia="Calibri" w:cs="Arial"/>
          <w:lang w:eastAsia="cs-CZ"/>
        </w:rPr>
        <w:t>Poskytovatel je jakožto správce podle čl. 6 odst. 1 písm. c) a podle čl. 9 odst. 2 písm. g) nařízení Evropského parlamentu a Rady (EU) 2016/679 ze dne 27. dubna 2016, o ochraně fyzických osob v souvislosti se zpracováním osobních údajů a o volném pohybu těchto údajů a o zrušení směrnice 95/46/ES (dále jen „Obecné nařízení o ochraně osobních údajů“), oprávněn zpracovávat osobní údaje podpořených osob (včetně zvláštních kategorií osobních údajů) na základě nařízení Evropského parlamentu a Rady (EU) č. 1304/2013 ze dne 17. prosince 2013 o Evropském sociálním fondu a o zrušení nařízení Rady (ES) č. 1081/2006, zejména jeho přílohy I.</w:t>
      </w:r>
    </w:p>
    <w:p w:rsidRPr="00737D68" w:rsidR="00737D68" w:rsidP="00737D68" w:rsidRDefault="00737D68" w14:paraId="7247763E" w14:textId="77777777">
      <w:pPr>
        <w:numPr>
          <w:ilvl w:val="1"/>
          <w:numId w:val="19"/>
        </w:numPr>
        <w:spacing w:after="40" w:line="240" w:lineRule="auto"/>
        <w:ind w:left="567" w:hanging="567"/>
        <w:jc w:val="both"/>
        <w:rPr>
          <w:rFonts w:ascii="Arial" w:hAnsi="Arial" w:eastAsia="Calibri" w:cs="Arial"/>
          <w:lang w:eastAsia="cs-CZ"/>
        </w:rPr>
      </w:pPr>
      <w:r w:rsidRPr="00737D68">
        <w:rPr>
          <w:rFonts w:ascii="Arial" w:hAnsi="Arial" w:eastAsia="Calibri" w:cs="Arial"/>
          <w:lang w:eastAsia="cs-CZ"/>
        </w:rPr>
        <w:t>Poskytovatel pověřuje příjemce, jakožto zpracovatele, ke zpracování osobních údajů, včetně zvláštní kategorie osobních údajů (dále jen „osobní údaje“), osob podpořených v projektu za účelem prokázání řádného a efektivního nakládání s prostředky Evropského sociálního fondu, které byly na realizaci projektu poskytnuty z OPZ tímto Rozhodnutím, a to v rozsahu uvedeném v bodě 2 části VI tohoto Rozhodnutí.</w:t>
      </w:r>
    </w:p>
    <w:p w:rsidRPr="00737D68" w:rsidR="00737D68" w:rsidP="00737D68" w:rsidRDefault="00737D68" w14:paraId="3A901193" w14:textId="77777777">
      <w:pPr>
        <w:keepNext/>
        <w:numPr>
          <w:ilvl w:val="0"/>
          <w:numId w:val="1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Rozsah zpracování osobních údajů na základě pověření a jejich ochrana</w:t>
      </w:r>
    </w:p>
    <w:p w:rsidRPr="00737D68" w:rsidR="00737D68" w:rsidP="00737D68" w:rsidRDefault="00737D68" w14:paraId="43FF015B" w14:textId="77777777">
      <w:pPr>
        <w:keepNext/>
        <w:numPr>
          <w:ilvl w:val="1"/>
          <w:numId w:val="19"/>
        </w:numPr>
        <w:spacing w:before="240" w:after="40" w:line="240" w:lineRule="auto"/>
        <w:ind w:left="567" w:hanging="567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>Příjemce je oprávněn zpracovávat osobní údaje podpořené osoby v rozsahu vymezeném v Obecné části pravidel pro žadatele a příjemce v rámci OPZ.</w:t>
      </w:r>
    </w:p>
    <w:p w:rsidRPr="00737D68" w:rsidR="00737D68" w:rsidP="00737D68" w:rsidRDefault="00737D68" w14:paraId="28E3C871" w14:textId="77777777">
      <w:pPr>
        <w:keepNext/>
        <w:numPr>
          <w:ilvl w:val="1"/>
          <w:numId w:val="19"/>
        </w:numPr>
        <w:spacing w:before="40" w:after="40" w:line="240" w:lineRule="auto"/>
        <w:ind w:left="567" w:hanging="567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>Osobní údaje je příjemce oprávněn zpracovávat výhradně v souvislosti s realizací projektu, zejména pak při přípravě zpráv o realizaci projektu.</w:t>
      </w:r>
    </w:p>
    <w:p w:rsidRPr="00737D68" w:rsidR="00737D68" w:rsidP="00737D68" w:rsidRDefault="00737D68" w14:paraId="458D5C5C" w14:textId="77777777">
      <w:pPr>
        <w:numPr>
          <w:ilvl w:val="0"/>
          <w:numId w:val="1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Technické a organizační zabezpečení ochrany osobních údajů</w:t>
      </w:r>
    </w:p>
    <w:p w:rsidRPr="00737D68" w:rsidR="00737D68" w:rsidP="00737D68" w:rsidRDefault="00737D68" w14:paraId="5B1D0FEF" w14:textId="77777777">
      <w:pPr>
        <w:spacing w:after="6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Příjemce je povinen zpracovávat a chránit osobní údaje v souladu s </w:t>
      </w:r>
      <w:r w:rsidRPr="00737D68">
        <w:rPr>
          <w:rFonts w:ascii="Arial" w:hAnsi="Arial" w:eastAsia="Arial" w:cs="Times New Roman"/>
        </w:rPr>
        <w:t xml:space="preserve">Obecným nařízením </w:t>
      </w:r>
      <w:r w:rsidRPr="00737D68">
        <w:rPr>
          <w:rFonts w:ascii="Arial" w:hAnsi="Arial" w:eastAsia="Calibri" w:cs="Arial"/>
        </w:rPr>
        <w:t>o ochraně osobních údajů a to zejména takto:</w:t>
      </w:r>
    </w:p>
    <w:p w:rsidRPr="00737D68" w:rsidR="00737D68" w:rsidP="00737D68" w:rsidRDefault="00737D68" w14:paraId="04F92DDA" w14:textId="77777777">
      <w:pPr>
        <w:numPr>
          <w:ilvl w:val="0"/>
          <w:numId w:val="20"/>
        </w:numPr>
        <w:spacing w:after="220" w:line="240" w:lineRule="auto"/>
        <w:ind w:left="709" w:hanging="709"/>
        <w:contextualSpacing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osobní údaje ve fyzické podobě, tj. listinné údaje či na nosičích dat, budou uchovávány v uzamykatelných schránkách, a to po dobu uvedenou v bodě 4 této části Rozhodnutí; </w:t>
      </w:r>
    </w:p>
    <w:p w:rsidRPr="00737D68" w:rsidR="00737D68" w:rsidP="00737D68" w:rsidRDefault="00737D68" w14:paraId="6660B87E" w14:textId="77777777">
      <w:pPr>
        <w:numPr>
          <w:ilvl w:val="0"/>
          <w:numId w:val="20"/>
        </w:numPr>
        <w:spacing w:after="220" w:line="240" w:lineRule="auto"/>
        <w:ind w:left="709" w:hanging="709"/>
        <w:contextualSpacing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>osobní údaje v elektronické podobě budou zpracovávány v IS ESF 2014+, jehož správcem je Ministerstvo práce a sociálních věcí; poskytovatel příjemci za účelem vložení osobních údajů zajistí přístupová hesla do IS ESF 2014+;</w:t>
      </w:r>
    </w:p>
    <w:p w:rsidRPr="00737D68" w:rsidR="00737D68" w:rsidP="00737D68" w:rsidRDefault="00737D68" w14:paraId="2792B1BC" w14:textId="77777777">
      <w:pPr>
        <w:numPr>
          <w:ilvl w:val="0"/>
          <w:numId w:val="20"/>
        </w:numPr>
        <w:spacing w:after="220" w:line="240" w:lineRule="auto"/>
        <w:ind w:left="709" w:hanging="709"/>
        <w:contextualSpacing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přístup ke zpracovávaným osobním údajům umožní příjemce pouze poskytovateli, svým zaměstnancům a orgánům oprávněným provádět kontrolu podle části II bodu 8 tohoto Rozhodnutí, </w:t>
      </w:r>
      <w:r w:rsidRPr="00737D68">
        <w:rPr>
          <w:rFonts w:ascii="Arial" w:hAnsi="Arial" w:eastAsia="Arial" w:cs="Times New Roman"/>
        </w:rPr>
        <w:t>s výjimkami uvedenými v bodu 6 této části Rozhodnutí</w:t>
      </w:r>
      <w:r w:rsidRPr="00737D68">
        <w:rPr>
          <w:rFonts w:ascii="Arial" w:hAnsi="Arial" w:eastAsia="Calibri" w:cs="Arial"/>
        </w:rPr>
        <w:t>;</w:t>
      </w:r>
    </w:p>
    <w:p w:rsidRPr="00737D68" w:rsidR="00737D68" w:rsidP="00737D68" w:rsidRDefault="00737D68" w14:paraId="41B94BB8" w14:textId="77777777">
      <w:pPr>
        <w:numPr>
          <w:ilvl w:val="0"/>
          <w:numId w:val="20"/>
        </w:numPr>
        <w:spacing w:after="60" w:line="240" w:lineRule="auto"/>
        <w:ind w:left="709" w:hanging="709"/>
        <w:contextualSpacing/>
        <w:jc w:val="both"/>
        <w:rPr>
          <w:rFonts w:ascii="Arial" w:hAnsi="Arial" w:eastAsia="Arial" w:cs="Times New Roman"/>
        </w:rPr>
      </w:pPr>
      <w:r w:rsidRPr="00737D68">
        <w:rPr>
          <w:rFonts w:ascii="Arial" w:hAnsi="Arial" w:eastAsia="Calibri" w:cs="Arial"/>
        </w:rPr>
        <w:t xml:space="preserve">zaměstnanci příjemce, kterým bude umožněn přístup ke zpracovávaným osobním údajům, budou příjemcem doložitelně poučeni o povinnosti zachovávat mlčenlivost podle </w:t>
      </w:r>
      <w:r w:rsidRPr="00737D68">
        <w:rPr>
          <w:rFonts w:ascii="Arial" w:hAnsi="Arial" w:eastAsia="Arial" w:cs="Arial"/>
        </w:rPr>
        <w:t>čl. 28 odst. 3 písm. b) Obecného nařízení o ochraně osobních údajů</w:t>
      </w:r>
      <w:r w:rsidRPr="00737D68">
        <w:rPr>
          <w:rFonts w:ascii="Arial" w:hAnsi="Arial" w:eastAsia="Calibri" w:cs="Arial"/>
        </w:rPr>
        <w:t>.</w:t>
      </w:r>
    </w:p>
    <w:p w:rsidRPr="00737D68" w:rsidR="00737D68" w:rsidP="00737D68" w:rsidRDefault="00737D68" w14:paraId="7C9AA430" w14:textId="77777777">
      <w:pPr>
        <w:numPr>
          <w:ilvl w:val="0"/>
          <w:numId w:val="1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Doba zpracování</w:t>
      </w:r>
    </w:p>
    <w:p w:rsidRPr="00737D68" w:rsidR="00737D68" w:rsidP="00737D68" w:rsidRDefault="00737D68" w14:paraId="5399B72E" w14:textId="77777777">
      <w:pPr>
        <w:spacing w:after="22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>Příjemce je oprávněn zpracovávat osobní údaje po dobu deseti let od ukončení realizace projektu</w:t>
      </w:r>
      <w:r w:rsidRPr="00737D68">
        <w:rPr>
          <w:rFonts w:ascii="Arial" w:hAnsi="Arial" w:eastAsia="Arial" w:cs="Times New Roman"/>
        </w:rPr>
        <w:t>, přičemž tato lhůta začíná běžet 1. ledna následujícího kalendářního roku poté, kdy byla příjemci vyplacena závěrečná platba, příp. kdy příjemce poukázal přeplatek dotace stanovený na základě schváleného vyúčtování výdajů v závěrečné žádosti o platbu zpět poskytovateli</w:t>
      </w:r>
      <w:r w:rsidRPr="00737D68">
        <w:rPr>
          <w:rFonts w:ascii="Arial" w:hAnsi="Arial" w:eastAsia="Calibri" w:cs="Arial"/>
        </w:rPr>
        <w:t>. Bez zbytečného odkladu po uplynutí této doby je příjemce povinen provést likvidaci těchto osobních údajů.</w:t>
      </w:r>
    </w:p>
    <w:p w:rsidRPr="00737D68" w:rsidR="00737D68" w:rsidP="00737D68" w:rsidRDefault="00737D68" w14:paraId="4B152F5C" w14:textId="77777777">
      <w:pPr>
        <w:keepNext/>
        <w:numPr>
          <w:ilvl w:val="0"/>
          <w:numId w:val="1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Další povinnosti příjemce v souvislosti se zpracováním osobních údajů</w:t>
      </w:r>
    </w:p>
    <w:p w:rsidRPr="00737D68" w:rsidR="00737D68" w:rsidP="00737D68" w:rsidRDefault="00737D68" w14:paraId="06C6B97D" w14:textId="77777777">
      <w:pPr>
        <w:keepNext/>
        <w:numPr>
          <w:ilvl w:val="1"/>
          <w:numId w:val="19"/>
        </w:numPr>
        <w:spacing w:after="4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Příjemce je povinen poskytovatele v souladu s čl. 33 odst. 2 Obecného nařízení o ochraně osobních údajů informovat o jakémkoli porušení zabezpečení osobních údajů, a to do 24 hodin od okamžiku, kdy se o něm dozvěděl. </w:t>
      </w:r>
    </w:p>
    <w:p w:rsidRPr="00737D68" w:rsidR="00737D68" w:rsidP="00737D68" w:rsidRDefault="00737D68" w14:paraId="10C69474" w14:textId="77777777">
      <w:pPr>
        <w:keepNext/>
        <w:numPr>
          <w:ilvl w:val="1"/>
          <w:numId w:val="19"/>
        </w:numPr>
        <w:spacing w:after="4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>Příjemce je povinen na základě vyžádání předat poskytovateli veškeré informace potřebné k doložení splnění povinností stanovených v </w:t>
      </w:r>
      <w:r w:rsidRPr="00737D68">
        <w:rPr>
          <w:rFonts w:ascii="Arial" w:hAnsi="Arial" w:eastAsia="Arial" w:cs="Times New Roman"/>
        </w:rPr>
        <w:t>této části Rozhodnutí</w:t>
      </w:r>
      <w:r w:rsidRPr="00737D68">
        <w:rPr>
          <w:rFonts w:ascii="Arial" w:hAnsi="Arial" w:eastAsia="Calibri" w:cs="Arial"/>
        </w:rPr>
        <w:t>.</w:t>
      </w:r>
    </w:p>
    <w:p w:rsidRPr="00737D68" w:rsidR="00737D68" w:rsidP="00737D68" w:rsidRDefault="00737D68" w14:paraId="2D39E7C7" w14:textId="77777777">
      <w:pPr>
        <w:keepNext/>
        <w:numPr>
          <w:ilvl w:val="1"/>
          <w:numId w:val="19"/>
        </w:numPr>
        <w:spacing w:after="4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>Příjemce je povinen spolupracovat s poskytovatelem při plnění jeho povinnosti reagovat na žádosti podpořených osob týkající se jejich osobních údajů.</w:t>
      </w:r>
    </w:p>
    <w:p w:rsidRPr="00737D68" w:rsidR="00737D68" w:rsidP="00737D68" w:rsidRDefault="00737D68" w14:paraId="217D9BA1" w14:textId="77777777">
      <w:pPr>
        <w:numPr>
          <w:ilvl w:val="0"/>
          <w:numId w:val="19"/>
        </w:numPr>
        <w:spacing w:before="240" w:after="120" w:line="240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00737D68">
        <w:rPr>
          <w:rFonts w:ascii="Arial" w:hAnsi="Arial" w:eastAsia="Times New Roman" w:cs="Arial"/>
          <w:b/>
          <w:bCs/>
          <w:lang w:eastAsia="cs-CZ"/>
        </w:rPr>
        <w:t>Zpracování ostatními osobami</w:t>
      </w:r>
    </w:p>
    <w:p w:rsidRPr="00737D68" w:rsidR="00737D68" w:rsidP="00737D68" w:rsidRDefault="00737D68" w14:paraId="6AC83D43" w14:textId="77777777">
      <w:pPr>
        <w:numPr>
          <w:ilvl w:val="1"/>
          <w:numId w:val="19"/>
        </w:numPr>
        <w:spacing w:before="240" w:after="4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Příjemce je povinen uzavřít smlouvu podle </w:t>
      </w:r>
      <w:r w:rsidRPr="00737D68">
        <w:rPr>
          <w:rFonts w:ascii="Arial" w:hAnsi="Arial" w:eastAsia="Arial" w:cs="Arial"/>
        </w:rPr>
        <w:t xml:space="preserve">čl. 28 odst. 4 Obecného nařízení o ochraně osobních údajů </w:t>
      </w:r>
      <w:r w:rsidRPr="00737D68">
        <w:rPr>
          <w:rFonts w:ascii="Arial" w:hAnsi="Arial" w:eastAsia="Calibri" w:cs="Arial"/>
        </w:rPr>
        <w:t>s partnerem nebo s dodavatelem, pokud taková osoba má v souvislosti s realizací projektu zpracovávat osobní údaje podpořených osob. Stejnou povinnost má partner vůči svému dodavateli. Příjemce je povinen předem poskytovatele informovat o veškerých subjektech, které mají v projektu působit jako zpracovatelé osobních údajů. Poskytovatel je oprávněn vyslovit vůči zapojení těchto subjektů jakožto zpracovatelů osobních údajů námitky.</w:t>
      </w:r>
    </w:p>
    <w:p w:rsidRPr="00737D68" w:rsidR="00737D68" w:rsidP="00737D68" w:rsidRDefault="00737D68" w14:paraId="1EE32203" w14:textId="77777777">
      <w:pPr>
        <w:numPr>
          <w:ilvl w:val="1"/>
          <w:numId w:val="19"/>
        </w:numPr>
        <w:spacing w:before="40" w:after="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Smlouvy uzavírané podle </w:t>
      </w:r>
      <w:r w:rsidRPr="00737D68">
        <w:rPr>
          <w:rFonts w:ascii="Arial" w:hAnsi="Arial" w:eastAsia="Arial" w:cs="Arial"/>
        </w:rPr>
        <w:t xml:space="preserve">čl. 28 odst. 4 Obecného nařízení o ochraně osobních údajů </w:t>
      </w:r>
      <w:r w:rsidRPr="00737D68">
        <w:rPr>
          <w:rFonts w:ascii="Arial" w:hAnsi="Arial" w:eastAsia="Calibri" w:cs="Arial"/>
        </w:rPr>
        <w:t xml:space="preserve">s partnerem, resp. s dodavatelem, musí upravovat podmínky zpracování osobních údajů stejně jako podmínky stanovené v pověření příjemce dotace v této části tohoto Rozhodnutí. </w:t>
      </w:r>
    </w:p>
    <w:p w:rsidRPr="00737D68" w:rsidR="00737D68" w:rsidP="00737D68" w:rsidRDefault="00737D68" w14:paraId="0A9C8B82" w14:textId="77777777">
      <w:pPr>
        <w:numPr>
          <w:ilvl w:val="1"/>
          <w:numId w:val="19"/>
        </w:numPr>
        <w:spacing w:before="40" w:after="40" w:line="240" w:lineRule="auto"/>
        <w:jc w:val="both"/>
        <w:rPr>
          <w:rFonts w:ascii="Arial" w:hAnsi="Arial" w:eastAsia="Calibri" w:cs="Arial"/>
        </w:rPr>
      </w:pPr>
      <w:r w:rsidRPr="00737D68">
        <w:rPr>
          <w:rFonts w:ascii="Arial" w:hAnsi="Arial" w:eastAsia="Calibri" w:cs="Arial"/>
        </w:rPr>
        <w:t xml:space="preserve">Neplní-li uvedený další zpracovatel své povinnosti v oblasti ochrany osobních údajů, odpovídá správci za plnění povinností dotčeného dalšího zpracovatele i nadále plně prvotní zpracovatel. </w:t>
      </w:r>
    </w:p>
    <w:p w:rsidRPr="00737D68" w:rsidR="00737D68" w:rsidP="00737D68" w:rsidRDefault="00737D68" w14:paraId="32A0B978" w14:textId="77777777">
      <w:pPr>
        <w:spacing w:after="120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5AF7EFC2" w14:textId="77777777">
      <w:pPr>
        <w:shd w:val="clear" w:color="auto" w:fill="F2F2F2"/>
        <w:spacing w:after="220" w:line="240" w:lineRule="auto"/>
        <w:jc w:val="both"/>
        <w:rPr>
          <w:rFonts w:ascii="Arial" w:hAnsi="Arial" w:eastAsia="Calibri" w:cs="Arial"/>
          <w:b/>
        </w:rPr>
      </w:pPr>
      <w:r w:rsidRPr="00737D68">
        <w:rPr>
          <w:rFonts w:ascii="Arial" w:hAnsi="Arial" w:eastAsia="Calibri" w:cs="Arial"/>
          <w:b/>
        </w:rPr>
        <w:t>Část VII – Závěrečná ustanovení</w:t>
      </w:r>
    </w:p>
    <w:p w:rsidRPr="00737D68" w:rsidR="00737D68" w:rsidP="00737D68" w:rsidRDefault="00737D68" w14:paraId="74B5C408" w14:textId="77777777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737D68">
        <w:rPr>
          <w:rFonts w:ascii="Arial" w:hAnsi="Arial" w:eastAsia="Times New Roman" w:cs="Arial"/>
          <w:iCs/>
          <w:snapToGrid w:val="false"/>
          <w:lang w:eastAsia="cs-CZ"/>
        </w:rPr>
        <w:t>Pojmy uvedené v tomto Rozhodnutí jsou používány ve smyslu, jak jsou definovány v Pravidlech OPZ.</w:t>
      </w:r>
    </w:p>
    <w:p w:rsidRPr="00737D68" w:rsidR="00737D68" w:rsidP="00737D68" w:rsidRDefault="00737D68" w14:paraId="7C2E6FF2" w14:textId="77777777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737D68">
        <w:rPr>
          <w:rFonts w:ascii="Arial" w:hAnsi="Arial" w:eastAsia="Times New Roman" w:cs="Arial"/>
          <w:iCs/>
          <w:snapToGrid w:val="false"/>
          <w:lang w:eastAsia="cs-CZ"/>
        </w:rPr>
        <w:t>Rozhodnutí nabývá účinnosti dnem podpisu poskytovatelem.</w:t>
      </w:r>
    </w:p>
    <w:p w:rsidRPr="00737D68" w:rsidR="00737D68" w:rsidP="00737D68" w:rsidRDefault="00737D68" w14:paraId="1C899FA9" w14:textId="77777777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737D68">
        <w:rPr>
          <w:rFonts w:ascii="Arial" w:hAnsi="Arial" w:eastAsia="Times New Roman" w:cs="Arial"/>
          <w:iCs/>
          <w:snapToGrid w:val="false"/>
          <w:lang w:eastAsia="cs-CZ"/>
        </w:rPr>
        <w:t>Rozhodnutí se vyhotovuje v elektronické verzi v prostředí infomačního systému MS2014+, poskytovatel i příjemce mají k vydanému Rozhodnutí přístup a mohou pořizovat výtisky tohoto dokumentu dle svých potřeb.</w:t>
      </w:r>
    </w:p>
    <w:p w:rsidRPr="00737D68" w:rsidR="00737D68" w:rsidP="00737D68" w:rsidRDefault="00737D68" w14:paraId="66BEDCE6" w14:textId="77777777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737D68">
        <w:rPr>
          <w:rFonts w:ascii="Arial" w:hAnsi="Arial" w:eastAsia="Times New Roman" w:cs="Arial"/>
          <w:iCs/>
          <w:snapToGrid w:val="false"/>
          <w:lang w:eastAsia="cs-CZ"/>
        </w:rPr>
        <w:t>Příjemce je povinen řídit se při realizaci projektu ustanoveními příloh uvedených v bodě 5 této části Rozhodnutí a dále dokumenty, které jsou zmíněny v části II bodě 1 tohoto Rozhodnutí.</w:t>
      </w:r>
    </w:p>
    <w:p w:rsidRPr="00737D68" w:rsidR="00737D68" w:rsidP="00737D68" w:rsidRDefault="00737D68" w14:paraId="432D60D6" w14:textId="77777777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737D68">
        <w:rPr>
          <w:rFonts w:ascii="Arial" w:hAnsi="Arial" w:eastAsia="Times New Roman" w:cs="Arial"/>
          <w:iCs/>
          <w:snapToGrid w:val="false"/>
          <w:lang w:eastAsia="cs-CZ"/>
        </w:rPr>
        <w:t>Součástí Rozhodnutí jsou tyto přílohy:</w:t>
      </w:r>
    </w:p>
    <w:p w:rsidRPr="00737D68" w:rsidR="00737D68" w:rsidP="00737D68" w:rsidRDefault="00737D68" w14:paraId="3EE8C031" w14:textId="77777777">
      <w:pPr>
        <w:numPr>
          <w:ilvl w:val="0"/>
          <w:numId w:val="2"/>
        </w:numPr>
        <w:spacing w:after="60" w:line="240" w:lineRule="auto"/>
        <w:jc w:val="both"/>
        <w:rPr>
          <w:rFonts w:ascii="Arial" w:hAnsi="Arial" w:eastAsia="Times New Roman" w:cs="Arial"/>
          <w:iCs/>
          <w:snapToGrid w:val="false"/>
          <w:lang w:eastAsia="cs-CZ"/>
        </w:rPr>
      </w:pPr>
      <w:r w:rsidRPr="00737D68">
        <w:rPr>
          <w:rFonts w:ascii="Arial" w:hAnsi="Arial" w:eastAsia="Times New Roman" w:cs="Arial"/>
          <w:iCs/>
          <w:snapToGrid w:val="false"/>
          <w:lang w:eastAsia="cs-CZ"/>
        </w:rPr>
        <w:t>Příloha č. 1 – Informace o projektu (obsahuje aktivity, cílovou skupinu, rozpočet projektu, partnery, cílové hodnoty indikátorů výstupů a výsledků,</w:t>
      </w:r>
      <w:r w:rsidRPr="00737D68">
        <w:rPr>
          <w:rFonts w:ascii="Arial" w:hAnsi="Arial" w:eastAsia="Times New Roman" w:cs="Arial"/>
          <w:iCs/>
          <w:snapToGrid w:val="false"/>
          <w:vertAlign w:val="superscript"/>
          <w:lang w:eastAsia="cs-CZ"/>
        </w:rPr>
        <w:footnoteReference w:id="20"/>
      </w:r>
      <w:r w:rsidRPr="00737D68">
        <w:rPr>
          <w:rFonts w:ascii="Arial" w:hAnsi="Arial" w:eastAsia="Times New Roman" w:cs="Arial"/>
          <w:iCs/>
          <w:snapToGrid w:val="false"/>
          <w:lang w:eastAsia="cs-CZ"/>
        </w:rPr>
        <w:t xml:space="preserve"> finanční plán)</w:t>
      </w:r>
    </w:p>
    <w:p w:rsidRPr="00737D68" w:rsidR="00737D68" w:rsidP="00737D68" w:rsidRDefault="00737D68" w14:paraId="0221F876" w14:textId="77777777">
      <w:pPr>
        <w:numPr>
          <w:ilvl w:val="0"/>
          <w:numId w:val="21"/>
        </w:numPr>
        <w:spacing w:after="220" w:line="240" w:lineRule="auto"/>
        <w:ind w:left="357" w:hanging="357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 xml:space="preserve">Veškeré změny Rozhodnutí je možné provádět pouze na základě žádosti příjemce. Změny projektu lze provádět v režimu nepodstatné změny nebo podstatné změny. Podstatná změna ve vymezených případech dle Pravidel OPZ vyžaduje vydání rozhodnutí o změně tohoto Rozhodnutí, v ostatních vymezených případech dle Pravidel OPZ je podstatná změna schválena rozhodnutím poskytovatele, které je k dispozici v MS2014+. Nepodstatné změny lze provádět bez souhlasu poskytovatele. Podrobnosti stanoví </w:t>
      </w:r>
      <w:r w:rsidRPr="00737D68">
        <w:rPr>
          <w:rFonts w:ascii="Arial" w:hAnsi="Arial" w:eastAsia="Times New Roman" w:cs="Arial"/>
          <w:i/>
          <w:lang w:eastAsia="cs-CZ"/>
        </w:rPr>
        <w:t>Specifická pravidla</w:t>
      </w:r>
      <w:r w:rsidRPr="00737D68">
        <w:rPr>
          <w:rFonts w:ascii="Arial" w:hAnsi="Arial" w:eastAsia="Times New Roman" w:cs="Arial"/>
          <w:lang w:eastAsia="cs-CZ"/>
        </w:rPr>
        <w:t xml:space="preserve">. </w:t>
      </w:r>
    </w:p>
    <w:p w:rsidRPr="00737D68" w:rsidR="00737D68" w:rsidP="00737D68" w:rsidRDefault="00737D68" w14:paraId="6C45867B" w14:textId="77777777">
      <w:pPr>
        <w:spacing w:after="120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4244FEB1" w14:textId="77777777">
      <w:pPr>
        <w:shd w:val="clear" w:color="auto" w:fill="F2F2F2"/>
        <w:spacing w:after="220" w:line="240" w:lineRule="auto"/>
        <w:jc w:val="both"/>
        <w:rPr>
          <w:rFonts w:ascii="Arial" w:hAnsi="Arial" w:eastAsia="Arial" w:cs="Arial"/>
          <w:b/>
        </w:rPr>
      </w:pPr>
      <w:r w:rsidRPr="00737D68">
        <w:rPr>
          <w:rFonts w:ascii="Arial" w:hAnsi="Arial" w:eastAsia="Arial" w:cs="Arial"/>
          <w:b/>
        </w:rPr>
        <w:t xml:space="preserve">Část VIII - Poučení </w:t>
      </w:r>
    </w:p>
    <w:p w:rsidRPr="00737D68" w:rsidR="00737D68" w:rsidP="00737D68" w:rsidRDefault="00737D68" w14:paraId="6BEBAD55" w14:textId="77777777">
      <w:pPr>
        <w:numPr>
          <w:ilvl w:val="0"/>
          <w:numId w:val="22"/>
        </w:numPr>
        <w:spacing w:after="60" w:line="240" w:lineRule="auto"/>
        <w:ind w:left="360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Proti tomuto rozhodnutí není na základě § 14q odst. 2 rozpočtových pravidel přípustný opravný prostředek.</w:t>
      </w:r>
    </w:p>
    <w:p w:rsidRPr="00737D68" w:rsidR="00737D68" w:rsidP="00737D68" w:rsidRDefault="00737D68" w14:paraId="4B657856" w14:textId="77777777">
      <w:pPr>
        <w:numPr>
          <w:ilvl w:val="0"/>
          <w:numId w:val="22"/>
        </w:numPr>
        <w:spacing w:after="60" w:line="240" w:lineRule="auto"/>
        <w:ind w:left="360"/>
        <w:jc w:val="both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Za podmínek stanovených v § 15 rozpočtových pravidel může být zahájeno řízení o odnětí dotace. Na řízení o odnětí dotace se vztahují obecné předpisy o správním řízení.</w:t>
      </w:r>
    </w:p>
    <w:p w:rsidRPr="00737D68" w:rsidR="00737D68" w:rsidP="00737D68" w:rsidRDefault="00737D68" w14:paraId="0EC648CC" w14:textId="77777777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contextualSpacing/>
        <w:jc w:val="right"/>
        <w:textAlignment w:val="baseline"/>
        <w:rPr>
          <w:rFonts w:ascii="Arial" w:hAnsi="Arial" w:eastAsia="Times New Roman" w:cs="Arial"/>
          <w:lang w:eastAsia="cs-CZ"/>
        </w:rPr>
      </w:pPr>
    </w:p>
    <w:p w:rsidRPr="00737D68" w:rsidR="00737D68" w:rsidP="00737D68" w:rsidRDefault="00737D68" w14:paraId="67E36D82" w14:textId="77777777">
      <w:pPr>
        <w:widowControl w:val="false"/>
        <w:overflowPunct w:val="false"/>
        <w:autoSpaceDE w:val="false"/>
        <w:autoSpaceDN w:val="false"/>
        <w:adjustRightInd w:val="false"/>
        <w:spacing w:after="0" w:line="240" w:lineRule="auto"/>
        <w:contextualSpacing/>
        <w:jc w:val="right"/>
        <w:textAlignment w:val="baseline"/>
        <w:rPr>
          <w:rFonts w:ascii="Arial" w:hAnsi="Arial" w:eastAsia="Times New Roman" w:cs="Arial"/>
          <w:lang w:eastAsia="cs-CZ"/>
        </w:rPr>
      </w:pPr>
      <w:r w:rsidRPr="00737D68">
        <w:rPr>
          <w:rFonts w:ascii="Arial" w:hAnsi="Arial" w:eastAsia="Times New Roman" w:cs="Arial"/>
          <w:lang w:eastAsia="cs-CZ"/>
        </w:rPr>
        <w:t>…………………………….</w:t>
      </w:r>
    </w:p>
    <w:p w:rsidRPr="00737D68" w:rsidR="00737D68" w:rsidP="00737D68" w:rsidRDefault="00737D68" w14:paraId="24D35FE4" w14:textId="677CA579">
      <w:pPr>
        <w:spacing w:after="220" w:line="240" w:lineRule="auto"/>
        <w:jc w:val="right"/>
        <w:rPr>
          <w:rFonts w:ascii="Arial" w:hAnsi="Arial" w:eastAsia="Arial" w:cs="Times New Roman"/>
        </w:rPr>
      </w:pPr>
      <w:r>
        <w:rPr>
          <w:rFonts w:ascii="Arial" w:hAnsi="Arial" w:eastAsia="Arial" w:cs="Arial"/>
        </w:rPr>
        <w:t>(</w:t>
      </w:r>
      <w:r w:rsidRPr="00737D68">
        <w:rPr>
          <w:rFonts w:ascii="Arial" w:hAnsi="Arial" w:eastAsia="Arial" w:cs="Arial"/>
        </w:rPr>
        <w:t>Uvedení jména a funkce osoby oprávněné vydat rozhodnutí</w:t>
      </w:r>
      <w:r>
        <w:rPr>
          <w:rFonts w:ascii="Arial" w:hAnsi="Arial" w:eastAsia="Arial" w:cs="Arial"/>
        </w:rPr>
        <w:t>)</w:t>
      </w:r>
    </w:p>
    <w:sectPr w:rsidRPr="00737D68" w:rsidR="00737D68" w:rsidSect="00E75AA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8" w:bottom="1418" w:left="1418" w:header="709" w:footer="40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63381" w:rsidP="00A63381" w:rsidRDefault="00A63381" w14:paraId="7C6B9B0A" w14:textId="77777777">
      <w:pPr>
        <w:spacing w:after="0" w:line="240" w:lineRule="auto"/>
      </w:pPr>
      <w:r>
        <w:separator/>
      </w:r>
    </w:p>
  </w:endnote>
  <w:endnote w:type="continuationSeparator" w:id="0">
    <w:p w:rsidR="00A63381" w:rsidP="00A63381" w:rsidRDefault="00A63381" w14:paraId="59CFC0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E11AE" w:rsidRDefault="00AE11AE" w14:paraId="4C8ED75E" w14:textId="45CA803F">
    <w:pPr>
      <w:pStyle w:val="Zpat"/>
    </w:pPr>
  </w:p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CB411D" w:rsidR="00E75AAF" w:rsidTr="00440794" w14:paraId="69A0017D" w14:textId="77777777">
      <w:tc>
        <w:tcPr>
          <w:tcW w:w="1667" w:type="pct"/>
          <w:shd w:val="clear" w:color="auto" w:fill="auto"/>
          <w:vAlign w:val="center"/>
        </w:tcPr>
        <w:p w:rsidRPr="00CB411D" w:rsidR="00E75AAF" w:rsidP="00E75AAF" w:rsidRDefault="00E75AAF" w14:paraId="1EE91F4C" w14:textId="0032BF05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:rsidRPr="00CB411D" w:rsidR="00E75AAF" w:rsidP="00DB7E49" w:rsidRDefault="00E75AAF" w14:paraId="70625A88" w14:textId="385C6C99">
          <w:pPr>
            <w:pStyle w:val="Tabulkatext"/>
            <w:ind w:left="0" w:firstLine="656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Pr="00CB411D" w:rsidR="00E75AAF" w:rsidP="00E75AAF" w:rsidRDefault="00E75AAF" w14:paraId="08380EE4" w14:textId="5AB02D1F">
          <w:pPr>
            <w:pStyle w:val="Tabulkatext"/>
            <w:jc w:val="right"/>
            <w:rPr>
              <w:rFonts w:ascii="Arial" w:hAnsi="Arial" w:cs="Arial"/>
            </w:rPr>
          </w:pPr>
          <w:r w:rsidRPr="00CB411D">
            <w:rPr>
              <w:rFonts w:ascii="Arial" w:hAnsi="Arial" w:cs="Arial"/>
            </w:rPr>
            <w:t xml:space="preserve">Strana: </w:t>
          </w:r>
          <w:r w:rsidRPr="00CB411D">
            <w:rPr>
              <w:rFonts w:ascii="Arial" w:hAnsi="Arial" w:cs="Arial"/>
            </w:rPr>
            <w:fldChar w:fldCharType="begin"/>
          </w:r>
          <w:r w:rsidRPr="00CB411D">
            <w:rPr>
              <w:rFonts w:ascii="Arial" w:hAnsi="Arial" w:cs="Arial"/>
            </w:rPr>
            <w:instrText xml:space="preserve"> PAGE   \* MERGEFORMAT </w:instrText>
          </w:r>
          <w:r w:rsidRPr="00CB411D">
            <w:rPr>
              <w:rFonts w:ascii="Arial" w:hAnsi="Arial" w:cs="Arial"/>
            </w:rPr>
            <w:fldChar w:fldCharType="separate"/>
          </w:r>
          <w:r w:rsidR="00EE433B">
            <w:rPr>
              <w:rFonts w:ascii="Arial" w:hAnsi="Arial" w:cs="Arial"/>
              <w:noProof/>
            </w:rPr>
            <w:t>8</w:t>
          </w:r>
          <w:r w:rsidRPr="00CB411D">
            <w:rPr>
              <w:rFonts w:ascii="Arial" w:hAnsi="Arial" w:cs="Arial"/>
            </w:rPr>
            <w:fldChar w:fldCharType="end"/>
          </w:r>
          <w:r w:rsidRPr="00CB411D">
            <w:rPr>
              <w:rFonts w:ascii="Arial" w:hAnsi="Arial" w:cs="Arial"/>
            </w:rPr>
            <w:t xml:space="preserve"> z </w:t>
          </w:r>
          <w:r w:rsidRPr="00CB411D">
            <w:rPr>
              <w:rFonts w:ascii="Arial" w:hAnsi="Arial" w:cs="Arial"/>
            </w:rPr>
            <w:fldChar w:fldCharType="begin"/>
          </w:r>
          <w:r w:rsidRPr="00CB411D">
            <w:rPr>
              <w:rFonts w:ascii="Arial" w:hAnsi="Arial" w:cs="Arial"/>
            </w:rPr>
            <w:instrText xml:space="preserve"> NUMPAGES   \* MERGEFORMAT </w:instrText>
          </w:r>
          <w:r w:rsidRPr="00CB411D">
            <w:rPr>
              <w:rFonts w:ascii="Arial" w:hAnsi="Arial" w:cs="Arial"/>
            </w:rPr>
            <w:fldChar w:fldCharType="separate"/>
          </w:r>
          <w:r w:rsidR="00EE433B">
            <w:rPr>
              <w:rFonts w:ascii="Arial" w:hAnsi="Arial" w:cs="Arial"/>
              <w:noProof/>
            </w:rPr>
            <w:t>18</w:t>
          </w:r>
          <w:r w:rsidRPr="00CB411D">
            <w:rPr>
              <w:rFonts w:ascii="Arial" w:hAnsi="Arial" w:cs="Arial"/>
              <w:noProof/>
            </w:rPr>
            <w:fldChar w:fldCharType="end"/>
          </w:r>
        </w:p>
      </w:tc>
    </w:tr>
  </w:tbl>
  <w:p w:rsidR="00AE11AE" w:rsidRDefault="00AE11AE" w14:paraId="79C69257" w14:textId="578CE21F">
    <w:pPr>
      <w:pStyle w:val="Zpat"/>
    </w:pPr>
  </w:p>
  <w:p w:rsidR="00AE11AE" w:rsidRDefault="00AE11AE" w14:paraId="166E915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578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374"/>
      <w:gridCol w:w="3373"/>
      <w:gridCol w:w="3371"/>
    </w:tblGrid>
    <w:tr w:rsidRPr="00767B2B" w:rsidR="00214B9A" w:rsidTr="00214B9A" w14:paraId="3A3279E5" w14:textId="4E2A53DC">
      <w:trPr>
        <w:trHeight w:val="1418"/>
      </w:trPr>
      <w:tc>
        <w:tcPr>
          <w:tcW w:w="1667" w:type="pct"/>
          <w:shd w:val="clear" w:color="auto" w:fill="auto"/>
          <w:vAlign w:val="center"/>
        </w:tcPr>
        <w:p w:rsidRPr="00767B2B" w:rsidR="00214B9A" w:rsidP="00214B9A" w:rsidRDefault="00214B9A" w14:paraId="26F5E6E6" w14:textId="77777777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:rsidRPr="00767B2B" w:rsidR="00214B9A" w:rsidP="00214B9A" w:rsidRDefault="00214B9A" w14:paraId="42A7CB63" w14:textId="1DF8FEC5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737D68">
            <w:rPr>
              <w:rFonts w:ascii="Arial" w:hAnsi="Arial" w:cs="Arial"/>
              <w:szCs w:val="20"/>
            </w:rPr>
            <w:t>26</w:t>
          </w:r>
          <w:r w:rsidRPr="00767B2B">
            <w:rPr>
              <w:rFonts w:ascii="Arial" w:hAnsi="Arial" w:cs="Arial"/>
              <w:szCs w:val="20"/>
            </w:rPr>
            <w:t xml:space="preserve"> PP 17.</w:t>
          </w:r>
          <w:r w:rsidR="00737D68">
            <w:rPr>
              <w:rFonts w:ascii="Arial" w:hAnsi="Arial" w:cs="Arial"/>
              <w:szCs w:val="20"/>
            </w:rPr>
            <w:t>E</w:t>
          </w:r>
          <w:r>
            <w:rPr>
              <w:rFonts w:ascii="Arial" w:hAnsi="Arial" w:cs="Arial"/>
              <w:szCs w:val="20"/>
            </w:rPr>
            <w:t xml:space="preserve"> </w:t>
          </w:r>
        </w:p>
      </w:tc>
      <w:tc>
        <w:tcPr>
          <w:tcW w:w="1666" w:type="pct"/>
          <w:vAlign w:val="center"/>
        </w:tcPr>
        <w:p w:rsidRPr="00767B2B" w:rsidR="00214B9A" w:rsidP="00214B9A" w:rsidRDefault="00214B9A" w14:paraId="48DFFC22" w14:textId="20E83853">
          <w:pPr>
            <w:pStyle w:val="Tabulkatext"/>
            <w:jc w:val="center"/>
            <w:rPr>
              <w:rFonts w:ascii="Arial" w:hAnsi="Arial" w:cs="Arial"/>
              <w:szCs w:val="20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Pr="003D7881" w:rsidR="00440794" w:rsidP="003D7881" w:rsidRDefault="00440794" w14:paraId="2D0D74F8" w14:textId="399BBED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63381" w:rsidP="00A63381" w:rsidRDefault="00A63381" w14:paraId="1B4E33F3" w14:textId="77777777">
      <w:pPr>
        <w:spacing w:after="0" w:line="240" w:lineRule="auto"/>
      </w:pPr>
      <w:r>
        <w:separator/>
      </w:r>
    </w:p>
  </w:footnote>
  <w:footnote w:type="continuationSeparator" w:id="0">
    <w:p w:rsidR="00A63381" w:rsidP="00A63381" w:rsidRDefault="00A63381" w14:paraId="02E2E92E" w14:textId="77777777">
      <w:pPr>
        <w:spacing w:after="0" w:line="240" w:lineRule="auto"/>
      </w:pPr>
      <w:r>
        <w:continuationSeparator/>
      </w:r>
    </w:p>
  </w:footnote>
  <w:footnote w:id="1">
    <w:p w:rsidRPr="00412BF5" w:rsidR="00737D68" w:rsidP="00412BF5" w:rsidRDefault="00737D68" w14:paraId="62913F53" w14:textId="77777777">
      <w:pPr>
        <w:pStyle w:val="Textpoznpodarou"/>
        <w:tabs>
          <w:tab w:val="left" w:pos="-1701"/>
        </w:tabs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Vzor je aplikací současně platných a účinných právních předpisů a může být upraven v souvislosti s jejich novelizacemi. Tato a všechny následující poznámky pod čarou slouží pouze jako pomůcka určená poskytovateli při vypracování právního aktu o poskytnutí dotace. Samotný právní akt o poskytnutí podpory je nebude obsahovat.</w:t>
      </w:r>
    </w:p>
  </w:footnote>
  <w:footnote w:id="2">
    <w:p w:rsidRPr="00412BF5" w:rsidR="00737D68" w:rsidP="00412BF5" w:rsidRDefault="00737D68" w14:paraId="793748C9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Číslo je ve tvaru OPZ/</w:t>
      </w:r>
      <w:proofErr w:type="spellStart"/>
      <w:r w:rsidRPr="00412BF5">
        <w:rPr>
          <w:rFonts w:ascii="Arial" w:hAnsi="Arial" w:cs="Arial"/>
          <w:sz w:val="18"/>
          <w:szCs w:val="18"/>
        </w:rPr>
        <w:t>aa</w:t>
      </w:r>
      <w:proofErr w:type="spellEnd"/>
      <w:r w:rsidRPr="00412BF5">
        <w:rPr>
          <w:rFonts w:ascii="Arial" w:hAnsi="Arial" w:cs="Arial"/>
          <w:sz w:val="18"/>
          <w:szCs w:val="18"/>
        </w:rPr>
        <w:t>/</w:t>
      </w:r>
      <w:proofErr w:type="spellStart"/>
      <w:r w:rsidRPr="00412BF5">
        <w:rPr>
          <w:rFonts w:ascii="Arial" w:hAnsi="Arial" w:cs="Arial"/>
          <w:sz w:val="18"/>
          <w:szCs w:val="18"/>
        </w:rPr>
        <w:t>bbb</w:t>
      </w:r>
      <w:proofErr w:type="spellEnd"/>
      <w:r w:rsidRPr="00412BF5">
        <w:rPr>
          <w:rFonts w:ascii="Arial" w:hAnsi="Arial" w:cs="Arial"/>
          <w:sz w:val="18"/>
          <w:szCs w:val="18"/>
        </w:rPr>
        <w:t>/</w:t>
      </w:r>
      <w:proofErr w:type="spellStart"/>
      <w:r w:rsidRPr="00412BF5">
        <w:rPr>
          <w:rFonts w:ascii="Arial" w:hAnsi="Arial" w:cs="Arial"/>
          <w:sz w:val="18"/>
          <w:szCs w:val="18"/>
        </w:rPr>
        <w:t>xxxxxxx</w:t>
      </w:r>
      <w:proofErr w:type="spellEnd"/>
      <w:r w:rsidRPr="00412BF5">
        <w:rPr>
          <w:rFonts w:ascii="Arial" w:hAnsi="Arial" w:cs="Arial"/>
          <w:sz w:val="18"/>
          <w:szCs w:val="18"/>
        </w:rPr>
        <w:t xml:space="preserve">, kde </w:t>
      </w:r>
      <w:proofErr w:type="spellStart"/>
      <w:r w:rsidRPr="00412BF5">
        <w:rPr>
          <w:rFonts w:ascii="Arial" w:hAnsi="Arial" w:cs="Arial"/>
          <w:sz w:val="18"/>
          <w:szCs w:val="18"/>
        </w:rPr>
        <w:t>aa</w:t>
      </w:r>
      <w:proofErr w:type="spellEnd"/>
      <w:r w:rsidRPr="00412BF5">
        <w:rPr>
          <w:rFonts w:ascii="Arial" w:hAnsi="Arial" w:cs="Arial"/>
          <w:sz w:val="18"/>
          <w:szCs w:val="18"/>
        </w:rPr>
        <w:t xml:space="preserve"> představuje investiční prioritu, </w:t>
      </w:r>
      <w:proofErr w:type="spellStart"/>
      <w:r w:rsidRPr="00412BF5">
        <w:rPr>
          <w:rFonts w:ascii="Arial" w:hAnsi="Arial" w:cs="Arial"/>
          <w:sz w:val="18"/>
          <w:szCs w:val="18"/>
        </w:rPr>
        <w:t>bbb</w:t>
      </w:r>
      <w:proofErr w:type="spellEnd"/>
      <w:r w:rsidRPr="00412BF5">
        <w:rPr>
          <w:rFonts w:ascii="Arial" w:hAnsi="Arial" w:cs="Arial"/>
          <w:sz w:val="18"/>
          <w:szCs w:val="18"/>
        </w:rPr>
        <w:t xml:space="preserve"> poslední trojčíslí z čísla výzvy a </w:t>
      </w:r>
      <w:proofErr w:type="spellStart"/>
      <w:r w:rsidRPr="00412BF5">
        <w:rPr>
          <w:rFonts w:ascii="Arial" w:hAnsi="Arial" w:cs="Arial"/>
          <w:sz w:val="18"/>
          <w:szCs w:val="18"/>
        </w:rPr>
        <w:t>xxxxxxx</w:t>
      </w:r>
      <w:proofErr w:type="spellEnd"/>
      <w:r w:rsidRPr="00412BF5">
        <w:rPr>
          <w:rFonts w:ascii="Arial" w:hAnsi="Arial" w:cs="Arial"/>
          <w:sz w:val="18"/>
          <w:szCs w:val="18"/>
        </w:rPr>
        <w:t xml:space="preserve"> poslední část registračního čísla projektu.</w:t>
      </w:r>
    </w:p>
  </w:footnote>
  <w:footnote w:id="3">
    <w:p w:rsidRPr="00412BF5" w:rsidR="00737D68" w:rsidP="00412BF5" w:rsidRDefault="00737D68" w14:paraId="58F04DF7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Datum podpisu žádosti o podporu, poslední verze před vydáním právního aktu.</w:t>
      </w:r>
    </w:p>
  </w:footnote>
  <w:footnote w:id="4">
    <w:p w:rsidRPr="00052F40" w:rsidR="00737D68" w:rsidP="00412BF5" w:rsidRDefault="00737D68" w14:paraId="15EBDBD1" w14:textId="77777777">
      <w:pPr>
        <w:pStyle w:val="Textpoznpodarou"/>
        <w:tabs>
          <w:tab w:val="left" w:pos="0"/>
        </w:tabs>
        <w:jc w:val="both"/>
        <w:rPr>
          <w:rFonts w:cs="Arial"/>
          <w:szCs w:val="18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Části textu podbarvené šedě znamenají podle kontextu nutnost doplnit požadované údaje, možnost doplnit jiný text (např. označen poskytovatele) nebo možnost nepoužít některá z ustanovení (ta, která nejsou v daném projektu relevantní.</w:t>
      </w:r>
      <w:bookmarkStart w:name="_GoBack" w:id="0"/>
      <w:bookmarkEnd w:id="0"/>
    </w:p>
  </w:footnote>
  <w:footnote w:id="5">
    <w:p w:rsidRPr="00412BF5" w:rsidR="00737D68" w:rsidP="00737D68" w:rsidRDefault="00737D68" w14:paraId="145CA7A9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Zvolte variantu.</w:t>
      </w:r>
    </w:p>
  </w:footnote>
  <w:footnote w:id="6">
    <w:p w:rsidRPr="00412BF5" w:rsidR="00737D68" w:rsidP="00737D68" w:rsidRDefault="00737D68" w14:paraId="4198C3DA" w14:textId="77777777">
      <w:pPr>
        <w:pStyle w:val="Textpoznpodarou"/>
        <w:tabs>
          <w:tab w:val="left" w:pos="180"/>
        </w:tabs>
        <w:ind w:left="181" w:hanging="181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Případně podle zvláštního zákona, pokud zvláštní zákon obsahuje vlastní úpravu vypořádání.</w:t>
      </w:r>
    </w:p>
  </w:footnote>
  <w:footnote w:id="7">
    <w:p w:rsidRPr="00412BF5" w:rsidR="00737D68" w:rsidP="00412BF5" w:rsidRDefault="00737D68" w14:paraId="1C9E6AA6" w14:textId="77777777">
      <w:pPr>
        <w:pStyle w:val="Textpoznpodarou"/>
        <w:tabs>
          <w:tab w:val="left" w:pos="-5103"/>
        </w:tabs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</w:t>
      </w:r>
      <w:r w:rsidRPr="00052F40">
        <w:rPr>
          <w:rFonts w:cs="Arial"/>
        </w:rPr>
        <w:t xml:space="preserve"> </w:t>
      </w:r>
      <w:r w:rsidRPr="00412BF5">
        <w:rPr>
          <w:rFonts w:ascii="Arial" w:hAnsi="Arial" w:cs="Arial"/>
          <w:sz w:val="18"/>
          <w:szCs w:val="18"/>
        </w:rPr>
        <w:t>být dokumenty archivovány. Pokud příjemce neprokáže, jak byly prostředky použity, je to považováno za neoprávněné použití peněžních prostředků dle § 3 písm. e) zákona č. 218/2000 Sb., o rozpočtových pravidlech.</w:t>
      </w:r>
    </w:p>
  </w:footnote>
  <w:footnote w:id="8">
    <w:p w:rsidRPr="00052F40" w:rsidR="00737D68" w:rsidP="00737D68" w:rsidRDefault="00737D68" w14:paraId="046E1DBA" w14:textId="77777777">
      <w:pPr>
        <w:pStyle w:val="Textpoznpodarou"/>
        <w:tabs>
          <w:tab w:val="left" w:pos="-2127"/>
        </w:tabs>
        <w:rPr>
          <w:rFonts w:cs="Arial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Ustanovení se použije, pouze pokud má příjemce v projektu alespoň jednoho partnera s finančním příspěvkem.</w:t>
      </w:r>
    </w:p>
  </w:footnote>
  <w:footnote w:id="9">
    <w:p w:rsidRPr="00412BF5" w:rsidR="00737D68" w:rsidP="00412BF5" w:rsidRDefault="00737D68" w14:paraId="0F771D9F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Textaci je nutné upravit, pokud je s ohledem na zahájení realizace projektu před vydáním právního aktu nemožné dodržet standardní lhůty předložení zpráv.</w:t>
      </w:r>
    </w:p>
  </w:footnote>
  <w:footnote w:id="10">
    <w:p w:rsidRPr="00412BF5" w:rsidR="00737D68" w:rsidP="00737D68" w:rsidRDefault="00737D68" w14:paraId="67B82750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Procentuální vyjádření je potřeba pouze u podpor v režimu blokové výjimky.</w:t>
      </w:r>
    </w:p>
  </w:footnote>
  <w:footnote w:id="11">
    <w:p w:rsidRPr="00412BF5" w:rsidR="00737D68" w:rsidP="00737D68" w:rsidRDefault="00737D68" w14:paraId="1EC91E01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Procentuální vyjádření je potřeba pouze u podpor v režimu blokové výjimky.</w:t>
      </w:r>
    </w:p>
  </w:footnote>
  <w:footnote w:id="12">
    <w:p w:rsidRPr="00412BF5" w:rsidR="00737D68" w:rsidP="00737D68" w:rsidRDefault="00737D68" w14:paraId="2490BC18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Procentuální vyjádření je potřeba pouze u podpor v režimu blokové výjimky.</w:t>
      </w:r>
    </w:p>
  </w:footnote>
  <w:footnote w:id="13">
    <w:p w:rsidRPr="00412BF5" w:rsidR="00737D68" w:rsidP="00737D68" w:rsidRDefault="00737D68" w14:paraId="5F8CB33E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Procentuální vyjádření je potřeba pouze u podpor v režimu blokové výjimky.</w:t>
      </w:r>
    </w:p>
  </w:footnote>
  <w:footnote w:id="14">
    <w:p w:rsidR="00737D68" w:rsidP="00737D68" w:rsidRDefault="00737D68" w14:paraId="33C53926" w14:textId="77777777">
      <w:pPr>
        <w:pStyle w:val="Textpoznpodarou"/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E</w:t>
      </w:r>
      <w:r w:rsidRPr="00412BF5">
        <w:rPr>
          <w:rFonts w:ascii="Arial" w:hAnsi="Arial" w:cs="Arial"/>
          <w:snapToGrid w:val="false"/>
          <w:sz w:val="18"/>
          <w:szCs w:val="18"/>
        </w:rPr>
        <w:t>xistence veřejné podpory bude posouzena při zapojení subjektu do realizace projektu.</w:t>
      </w:r>
    </w:p>
  </w:footnote>
  <w:footnote w:id="15">
    <w:p w:rsidRPr="00412BF5" w:rsidR="00737D68" w:rsidP="00412BF5" w:rsidRDefault="00737D68" w14:paraId="302E48AA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Procentuální vyjádření je potřeba pouze u podpor v režimu blokové výjimky.</w:t>
      </w:r>
    </w:p>
  </w:footnote>
  <w:footnote w:id="16">
    <w:p w:rsidR="00737D68" w:rsidP="00412BF5" w:rsidRDefault="00737D68" w14:paraId="7AA65DC6" w14:textId="77777777">
      <w:pPr>
        <w:pStyle w:val="Textpoznpodarou"/>
        <w:jc w:val="both"/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Body relevantní pouze pro projekty, u nichž nelze vyloučit poskytování veřejné podpory či podpory de minimis dalším subjektům (mimo příjemce dotace a partnera s finančním příspěvkem).</w:t>
      </w:r>
    </w:p>
  </w:footnote>
  <w:footnote w:id="17">
    <w:p w:rsidRPr="00412BF5" w:rsidR="00737D68" w:rsidP="00412BF5" w:rsidRDefault="00737D68" w14:paraId="5B6861B9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Poskytovatel dotace má podle § 14 odst. 5 zákona č. 218/2000 Sb. možnost v Rozhodnutí stanovit, že odvod za porušení rozpočtové kázně bude nižší, než je celková částka dotace. Výčet povinností, resp. podmínek, které lze takto označit, není obecně vymezen, a takový výčet je možné stanovit pouze na základě posouzení specifik jednotlivých operačních programů/projektů.</w:t>
      </w:r>
    </w:p>
  </w:footnote>
  <w:footnote w:id="18">
    <w:p w:rsidRPr="00412BF5" w:rsidR="00737D68" w:rsidP="00412BF5" w:rsidRDefault="00737D68" w14:paraId="4E79EC85" w14:textId="77777777">
      <w:pPr>
        <w:pStyle w:val="Textpoznpodarou"/>
        <w:tabs>
          <w:tab w:val="left" w:pos="-5103"/>
        </w:tabs>
        <w:jc w:val="both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Podle § 14 odst. 4 písm. j) rozpočtových pravidel lze určit, že porušení některé z povinností stanovených v rozhodnutí o poskytnutí dotace nejsou porušením rozpočtové kázně. Takto ale nelze postupovat u povinností stanovených právními předpisy. </w:t>
      </w:r>
    </w:p>
  </w:footnote>
  <w:footnote w:id="19">
    <w:p w:rsidR="00737D68" w:rsidP="00412BF5" w:rsidRDefault="00737D68" w14:paraId="36737CE3" w14:textId="77777777">
      <w:pPr>
        <w:pStyle w:val="Textpoznpodarou"/>
        <w:jc w:val="both"/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Relevantní pouze pro ex ante režim.</w:t>
      </w:r>
    </w:p>
  </w:footnote>
  <w:footnote w:id="20">
    <w:p w:rsidRPr="00412BF5" w:rsidR="00737D68" w:rsidP="00737D68" w:rsidRDefault="00737D68" w14:paraId="078AF0C0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12BF5">
        <w:rPr>
          <w:rStyle w:val="Znakapoznpodarou"/>
          <w:rFonts w:ascii="Arial" w:hAnsi="Arial" w:cs="Arial"/>
          <w:sz w:val="18"/>
          <w:szCs w:val="18"/>
        </w:rPr>
        <w:footnoteRef/>
      </w:r>
      <w:r w:rsidRPr="00412BF5">
        <w:rPr>
          <w:rFonts w:ascii="Arial" w:hAnsi="Arial" w:cs="Arial"/>
          <w:sz w:val="18"/>
          <w:szCs w:val="18"/>
        </w:rPr>
        <w:t xml:space="preserve"> Relevantní pouze pro projekty podpořené v kolových výzvách.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E11AE" w:rsidRDefault="00AE11AE" w14:paraId="4159E52B" w14:textId="6E011E6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1AE" w:rsidRDefault="00AE11AE" w14:paraId="7470087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D7881" w:rsidRDefault="003D7881" w14:paraId="0D928989" w14:textId="4977D04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9B477A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>
    <w:nsid w:val="0E017C10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26454C"/>
    <w:multiLevelType w:val="hybridMultilevel"/>
    <w:tmpl w:val="76B80A1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4AD66E1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A046C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60E3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4F81BD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hint="default" w:ascii="Symbol" w:hAnsi="Symbol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7337CB9"/>
    <w:multiLevelType w:val="hybridMultilevel"/>
    <w:tmpl w:val="7D26A4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8611862"/>
    <w:multiLevelType w:val="multilevel"/>
    <w:tmpl w:val="A7EED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B8156E"/>
    <w:multiLevelType w:val="hybridMultilevel"/>
    <w:tmpl w:val="95AA2E4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5419C6"/>
    <w:multiLevelType w:val="hybridMultilevel"/>
    <w:tmpl w:val="142A09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6E222C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3">
    <w:nsid w:val="4ADE7B4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107144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689441C0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6B69731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D8795B"/>
    <w:multiLevelType w:val="multilevel"/>
    <w:tmpl w:val="BD085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4616BC"/>
    <w:multiLevelType w:val="multilevel"/>
    <w:tmpl w:val="93BE5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BD0770"/>
    <w:multiLevelType w:val="multilevel"/>
    <w:tmpl w:val="DA32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79E213DB"/>
    <w:multiLevelType w:val="multilevel"/>
    <w:tmpl w:val="D53AA016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auto"/>
        <w:sz w:val="22"/>
      </w:rPr>
    </w:lvl>
    <w:lvl w:ilvl="2"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 w:ascii="Times New Roman" w:hAnsi="Times New Roman" w:eastAsia="Times New Roman" w:cs="Times New Roman"/>
        <w:color w:val="auto"/>
      </w:rPr>
    </w:lvl>
    <w:lvl w:ilvl="3">
      <w:start w:val="20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hint="default" w:ascii="Arial" w:hAnsi="Arial" w:eastAsia="Times New Roman" w:cs="Arial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21"/>
  </w:num>
  <w:num w:numId="5">
    <w:abstractNumId w:val="7"/>
  </w:num>
  <w:num w:numId="6">
    <w:abstractNumId w:val="3"/>
  </w:num>
  <w:num w:numId="7">
    <w:abstractNumId w:val="22"/>
  </w:num>
  <w:num w:numId="8">
    <w:abstractNumId w:val="0"/>
  </w:num>
  <w:num w:numId="9">
    <w:abstractNumId w:val="18"/>
  </w:num>
  <w:num w:numId="10">
    <w:abstractNumId w:val="9"/>
  </w:num>
  <w:num w:numId="11">
    <w:abstractNumId w:val="20"/>
  </w:num>
  <w:num w:numId="12">
    <w:abstractNumId w:val="8"/>
  </w:num>
  <w:num w:numId="13">
    <w:abstractNumId w:val="12"/>
  </w:num>
  <w:num w:numId="14">
    <w:abstractNumId w:val="15"/>
  </w:num>
  <w:num w:numId="15">
    <w:abstractNumId w:val="2"/>
  </w:num>
  <w:num w:numId="16">
    <w:abstractNumId w:val="17"/>
  </w:num>
  <w:num w:numId="17">
    <w:abstractNumId w:val="19"/>
  </w:num>
  <w:num w:numId="18">
    <w:abstractNumId w:val="13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81"/>
    <w:rsid w:val="00214B9A"/>
    <w:rsid w:val="002333DA"/>
    <w:rsid w:val="003D7881"/>
    <w:rsid w:val="00412BF5"/>
    <w:rsid w:val="00440794"/>
    <w:rsid w:val="00737D68"/>
    <w:rsid w:val="00A45097"/>
    <w:rsid w:val="00A63381"/>
    <w:rsid w:val="00AE11AE"/>
    <w:rsid w:val="00C14712"/>
    <w:rsid w:val="00C31C70"/>
    <w:rsid w:val="00DB7E49"/>
    <w:rsid w:val="00E75AAF"/>
    <w:rsid w:val="00E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65763BC9"/>
  <w15:docId w15:val="{2227A1DE-541A-499F-86E2-1ACE5EFF3C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338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6338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A6338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E11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1AE"/>
  </w:style>
  <w:style w:type="paragraph" w:styleId="Zpat">
    <w:name w:val="footer"/>
    <w:basedOn w:val="Normln"/>
    <w:link w:val="ZpatChar"/>
    <w:uiPriority w:val="99"/>
    <w:unhideWhenUsed/>
    <w:rsid w:val="00AE11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1AE"/>
  </w:style>
  <w:style w:type="paragraph" w:styleId="Textbubliny">
    <w:name w:val="Balloon Text"/>
    <w:basedOn w:val="Normln"/>
    <w:link w:val="TextbublinyChar"/>
    <w:uiPriority w:val="99"/>
    <w:semiHidden/>
    <w:unhideWhenUsed/>
    <w:rsid w:val="00AE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E11AE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AE11A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E11A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ov.gov.cz" Type="http://schemas.openxmlformats.org/officeDocument/2006/relationships/hyperlink" Id="rId13"/>
    <Relationship Target="header1.xml" Type="http://schemas.openxmlformats.org/officeDocument/2006/relationships/header" Id="rId18"/>
    <Relationship Target="../customXml/item3.xml" Type="http://schemas.openxmlformats.org/officeDocument/2006/relationships/customXml" Id="rId3"/>
    <Relationship Target="footer2.xml" Type="http://schemas.openxmlformats.org/officeDocument/2006/relationships/footer" Id="rId21"/>
    <Relationship Target="settings.xml" Type="http://schemas.openxmlformats.org/officeDocument/2006/relationships/settings" Id="rId7"/>
    <Relationship TargetMode="External" Target="http://www.esfcr.cz" Type="http://schemas.openxmlformats.org/officeDocument/2006/relationships/hyperlink" Id="rId12"/>
    <Relationship TargetMode="External" Target="http://www.esfcr.cz" Type="http://schemas.openxmlformats.org/officeDocument/2006/relationships/hyperlink" Id="rId17"/>
    <Relationship Target="../customXml/item2.xml" Type="http://schemas.openxmlformats.org/officeDocument/2006/relationships/customXml" Id="rId2"/>
    <Relationship TargetMode="External" Target="http://www.esfcr.cz" Type="http://schemas.openxmlformats.org/officeDocument/2006/relationships/hyperlink" Id="rId16"/>
    <Relationship Target="header2.xml" Type="http://schemas.openxmlformats.org/officeDocument/2006/relationships/header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Mode="External" Target="http://ov.gov.cz" Type="http://schemas.openxmlformats.org/officeDocument/2006/relationships/hyperlink" Id="rId15"/>
    <Relationship Target="theme/theme1.xml" Type="http://schemas.openxmlformats.org/officeDocument/2006/relationships/theme" Id="rId23"/>
    <Relationship Target="endnotes.xml" Type="http://schemas.openxmlformats.org/officeDocument/2006/relationships/endnotes" Id="rId10"/>
    <Relationship Target="footer1.xml" Type="http://schemas.openxmlformats.org/officeDocument/2006/relationships/footer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Mode="External" Target="http://www.esfcr.cz" Type="http://schemas.openxmlformats.org/officeDocument/2006/relationships/hyperlink" Id="rId14"/>
    <Relationship Target="fontTable.xml" Type="http://schemas.openxmlformats.org/officeDocument/2006/relationships/fontTable" Id="rId2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E4878A-688A-4BCA-91DD-7C090367E5D0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fed548f-0517-4d39-90e3-3947398480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75E2B9-54B0-4341-99BD-559CE3FCB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9EA2C-AEBD-4AA5-8626-1010AC031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BEA83-55F8-46B9-8C91-5B8E5B764F3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18</properties:Pages>
  <properties:Words>6700</properties:Words>
  <properties:Characters>39530</properties:Characters>
  <properties:Lines>329</properties:Lines>
  <properties:Paragraphs>92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46138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2020-04-23T18:13:00Z</dcterms:created>
  <dc:creator/>
  <cp:lastModifiedBy/>
  <dcterms:modified xmlns:xsi="http://www.w3.org/2001/XMLSchema-instance" xsi:type="dcterms:W3CDTF">2020-04-23T19:45:00Z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