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AE11AE" w:rsidR="00AE11AE" w:rsidP="00737D68" w:rsidRDefault="00AE11AE" w14:paraId="27EE5AD4" w14:textId="77777777">
      <w:pPr>
        <w:spacing w:before="60" w:after="60"/>
        <w:rPr>
          <w:rFonts w:ascii="Arial" w:hAnsi="Arial" w:cs="Arial"/>
        </w:rPr>
      </w:pPr>
      <w:r w:rsidRPr="00AE11AE">
        <w:rPr>
          <w:rFonts w:ascii="Arial" w:hAnsi="Arial" w:cs="Arial"/>
          <w:highlight w:val="lightGray"/>
        </w:rPr>
        <w:t>Česká republika – Ministerstvo práce a sociálních věcí</w:t>
      </w:r>
      <w:r w:rsidRPr="00AE11AE">
        <w:rPr>
          <w:rFonts w:ascii="Arial" w:hAnsi="Arial" w:cs="Arial"/>
        </w:rPr>
        <w:t xml:space="preserve"> </w:t>
      </w:r>
    </w:p>
    <w:p w:rsidRPr="00AE11AE" w:rsidR="00AE11AE" w:rsidP="00737D68" w:rsidRDefault="00AE11AE" w14:paraId="7E1F4EAE" w14:textId="77777777">
      <w:pPr>
        <w:spacing w:before="60" w:after="60"/>
        <w:rPr>
          <w:rFonts w:ascii="Arial" w:hAnsi="Arial" w:cs="Arial"/>
        </w:rPr>
      </w:pPr>
      <w:r w:rsidRPr="00AE11AE">
        <w:rPr>
          <w:rFonts w:ascii="Arial" w:hAnsi="Arial" w:cs="Arial"/>
          <w:highlight w:val="lightGray"/>
        </w:rPr>
        <w:t>Odbor ………….</w:t>
      </w:r>
    </w:p>
    <w:p w:rsidRPr="00AE11AE" w:rsidR="00AE11AE" w:rsidP="00737D68" w:rsidRDefault="00AE11AE" w14:paraId="121A56FC" w14:textId="77777777">
      <w:pPr>
        <w:spacing w:before="60" w:after="60"/>
        <w:rPr>
          <w:rFonts w:ascii="Arial" w:hAnsi="Arial" w:cs="Arial"/>
        </w:rPr>
      </w:pPr>
      <w:r w:rsidRPr="00AE11AE">
        <w:rPr>
          <w:rFonts w:ascii="Arial" w:hAnsi="Arial" w:cs="Arial"/>
          <w:highlight w:val="lightGray"/>
        </w:rPr>
        <w:t>Na Poříčním právu 1</w:t>
      </w:r>
    </w:p>
    <w:p w:rsidR="00AE11AE" w:rsidP="00737D68" w:rsidRDefault="00AE11AE" w14:paraId="1787B912" w14:textId="21E33776">
      <w:pPr>
        <w:spacing w:before="60" w:after="220"/>
        <w:rPr>
          <w:rFonts w:ascii="Arial" w:hAnsi="Arial" w:cs="Arial"/>
        </w:rPr>
      </w:pPr>
      <w:r w:rsidRPr="00AE11AE">
        <w:rPr>
          <w:rFonts w:ascii="Arial" w:hAnsi="Arial" w:cs="Arial"/>
          <w:highlight w:val="lightGray"/>
        </w:rPr>
        <w:t>128 01 Praha 2</w:t>
      </w:r>
    </w:p>
    <w:p w:rsidRPr="00737D68" w:rsidR="00737D68" w:rsidP="00737D68" w:rsidRDefault="00737D68" w14:paraId="5529F502" w14:textId="77777777">
      <w:pPr>
        <w:spacing w:after="220" w:line="240" w:lineRule="auto"/>
        <w:jc w:val="center"/>
        <w:rPr>
          <w:rFonts w:ascii="Arial" w:hAnsi="Arial" w:eastAsia="Arial" w:cs="Arial"/>
          <w:b/>
          <w:bCs/>
        </w:rPr>
      </w:pPr>
      <w:r w:rsidRPr="00737D68">
        <w:rPr>
          <w:rFonts w:ascii="Arial" w:hAnsi="Arial" w:eastAsia="Arial" w:cs="Arial"/>
          <w:b/>
        </w:rPr>
        <w:t>Rozhodnutí o poskytnutí dotace</w:t>
      </w:r>
      <w:r w:rsidRPr="00737D68">
        <w:rPr>
          <w:rFonts w:ascii="Arial" w:hAnsi="Arial" w:eastAsia="Times New Roman" w:cs="Arial"/>
          <w:b/>
          <w:vertAlign w:val="superscript"/>
        </w:rPr>
        <w:footnoteReference w:id="1"/>
      </w:r>
      <w:r w:rsidRPr="00737D68">
        <w:rPr>
          <w:rFonts w:ascii="Arial" w:hAnsi="Arial" w:eastAsia="Arial" w:cs="Arial"/>
          <w:b/>
          <w:bCs/>
          <w:smallCaps/>
        </w:rPr>
        <w:t xml:space="preserve"> </w:t>
      </w:r>
      <w:r w:rsidRPr="00737D68">
        <w:rPr>
          <w:rFonts w:ascii="Arial" w:hAnsi="Arial" w:eastAsia="Arial" w:cs="Arial"/>
          <w:b/>
        </w:rPr>
        <w:t>č. […]</w:t>
      </w:r>
      <w:r w:rsidRPr="00737D68">
        <w:rPr>
          <w:rFonts w:ascii="Arial" w:hAnsi="Arial" w:eastAsia="Arial" w:cs="Arial"/>
          <w:b/>
          <w:vertAlign w:val="superscript"/>
        </w:rPr>
        <w:footnoteReference w:id="2"/>
      </w:r>
    </w:p>
    <w:p w:rsidRPr="00737D68" w:rsidR="00737D68" w:rsidP="00737D68" w:rsidRDefault="00737D68" w14:paraId="45A93E0B" w14:textId="77777777">
      <w:pPr>
        <w:spacing w:after="220" w:line="240" w:lineRule="auto"/>
        <w:jc w:val="center"/>
        <w:rPr>
          <w:rFonts w:ascii="Arial" w:hAnsi="Arial" w:eastAsia="Arial" w:cs="Arial"/>
          <w:b/>
          <w:bCs/>
        </w:rPr>
      </w:pPr>
      <w:r w:rsidRPr="00737D68">
        <w:rPr>
          <w:rFonts w:ascii="Arial" w:hAnsi="Arial" w:eastAsia="Arial" w:cs="Arial"/>
          <w:b/>
          <w:bCs/>
        </w:rPr>
        <w:t>(dále jen „Rozhodnutí“)</w:t>
      </w:r>
    </w:p>
    <w:p w:rsidRPr="00737D68" w:rsidR="00737D68" w:rsidP="00737D68" w:rsidRDefault="00737D68" w14:paraId="08BE108E" w14:textId="77777777">
      <w:pPr>
        <w:spacing w:after="220" w:line="240" w:lineRule="auto"/>
        <w:jc w:val="center"/>
        <w:rPr>
          <w:rFonts w:ascii="Arial" w:hAnsi="Arial" w:eastAsia="Arial" w:cs="Arial"/>
          <w:i/>
          <w:iCs/>
        </w:rPr>
      </w:pPr>
      <w:r w:rsidRPr="00737D68">
        <w:rPr>
          <w:rFonts w:ascii="Arial" w:hAnsi="Arial" w:eastAsia="Arial" w:cs="Arial"/>
          <w:i/>
          <w:iCs/>
        </w:rPr>
        <w:t>dle § 14 odst. 4 zákona č. 218/2000 Sb., o rozpočtových pravidlech a o změně některých souvisejících zákonů (rozpočtová pravidla), ve znění pozdějších předpisů</w:t>
      </w:r>
    </w:p>
    <w:p w:rsidRPr="00737D68" w:rsidR="00737D68" w:rsidP="00737D68" w:rsidRDefault="00737D68" w14:paraId="7E8DC1EB" w14:textId="77777777">
      <w:pPr>
        <w:spacing w:after="220" w:line="240" w:lineRule="auto"/>
        <w:jc w:val="center"/>
        <w:rPr>
          <w:rFonts w:ascii="Arial" w:hAnsi="Arial" w:eastAsia="Arial" w:cs="Arial"/>
          <w:iCs/>
        </w:rPr>
      </w:pPr>
      <w:r w:rsidRPr="00737D68">
        <w:rPr>
          <w:rFonts w:ascii="Arial" w:hAnsi="Arial" w:eastAsia="Arial" w:cs="Arial"/>
          <w:b/>
        </w:rPr>
        <w:t>Odůvodnění:</w:t>
      </w:r>
    </w:p>
    <w:p w:rsidRPr="00737D68" w:rsidR="00737D68" w:rsidP="00737D68" w:rsidRDefault="00737D68" w14:paraId="1F554644" w14:textId="77777777">
      <w:pPr>
        <w:spacing w:after="220" w:line="240" w:lineRule="auto"/>
        <w:jc w:val="center"/>
        <w:rPr>
          <w:rFonts w:ascii="Arial" w:hAnsi="Arial" w:eastAsia="Arial" w:cs="Arial"/>
        </w:rPr>
      </w:pPr>
      <w:r w:rsidRPr="00737D68">
        <w:rPr>
          <w:rFonts w:ascii="Arial" w:hAnsi="Arial" w:eastAsia="Arial" w:cs="Arial"/>
        </w:rPr>
        <w:t>Žádosti o podporu z Operačního programu Zaměstnanost (dále jen „OPZ“) ze dne […]</w:t>
      </w:r>
      <w:r w:rsidRPr="00737D68">
        <w:rPr>
          <w:rFonts w:ascii="Arial" w:hAnsi="Arial" w:eastAsia="Arial" w:cs="Arial"/>
          <w:vertAlign w:val="superscript"/>
        </w:rPr>
        <w:footnoteReference w:id="3"/>
      </w:r>
      <w:r w:rsidRPr="00737D68">
        <w:rPr>
          <w:rFonts w:ascii="Arial" w:hAnsi="Arial" w:eastAsia="Arial" w:cs="Arial"/>
        </w:rPr>
        <w:t>na realizaci projektu […]</w:t>
      </w:r>
      <w:r w:rsidRPr="00737D68">
        <w:rPr>
          <w:rFonts w:ascii="Arial" w:hAnsi="Arial" w:eastAsia="Times New Roman" w:cs="Arial"/>
          <w:vertAlign w:val="superscript"/>
        </w:rPr>
        <w:footnoteReference w:id="4"/>
      </w:r>
      <w:r w:rsidRPr="00737D68">
        <w:rPr>
          <w:rFonts w:ascii="Arial" w:hAnsi="Arial" w:eastAsia="Arial" w:cs="Arial"/>
        </w:rPr>
        <w:t xml:space="preserve"> registrační číslo […], prioritní osa OPZ: […] (dále jen „projekt“) Ministerstvo práce a sociálních věcí (dále jen „poskytovatel“) vyhovuje zcela.</w:t>
      </w:r>
    </w:p>
    <w:p w:rsidRPr="00737D68" w:rsidR="00737D68" w:rsidP="00737D68" w:rsidRDefault="00737D68" w14:paraId="257555C7" w14:textId="77777777">
      <w:pPr>
        <w:spacing w:after="220" w:line="240" w:lineRule="auto"/>
        <w:jc w:val="center"/>
        <w:rPr>
          <w:rFonts w:ascii="Arial" w:hAnsi="Arial" w:eastAsia="Arial" w:cs="Arial"/>
        </w:rPr>
      </w:pPr>
    </w:p>
    <w:p w:rsidRPr="00737D68" w:rsidR="00737D68" w:rsidP="00737D68" w:rsidRDefault="00737D68" w14:paraId="21687A2D" w14:textId="77777777">
      <w:pPr>
        <w:shd w:val="clear" w:color="auto" w:fill="F2F2F2"/>
        <w:spacing w:after="220" w:line="240" w:lineRule="auto"/>
        <w:jc w:val="both"/>
        <w:rPr>
          <w:rFonts w:ascii="Arial" w:hAnsi="Arial" w:eastAsia="Arial" w:cs="Arial"/>
          <w:b/>
        </w:rPr>
      </w:pPr>
      <w:r w:rsidRPr="00737D68">
        <w:rPr>
          <w:rFonts w:ascii="Arial" w:hAnsi="Arial" w:eastAsia="Arial" w:cs="Arial"/>
          <w:b/>
        </w:rPr>
        <w:t>Část I - Obecné vymezení dotace</w:t>
      </w:r>
    </w:p>
    <w:p w:rsidRPr="00737D68" w:rsidR="00737D68" w:rsidP="00737D68" w:rsidRDefault="00737D68" w14:paraId="4023E3BE" w14:textId="77777777">
      <w:pPr>
        <w:numPr>
          <w:ilvl w:val="0"/>
          <w:numId w:val="14"/>
        </w:numPr>
        <w:spacing w:after="120" w:line="240" w:lineRule="auto"/>
        <w:jc w:val="both"/>
        <w:rPr>
          <w:rFonts w:ascii="Arial" w:hAnsi="Arial" w:eastAsia="Times New Roman" w:cs="Arial"/>
          <w:b/>
          <w:bCs/>
          <w:lang w:eastAsia="cs-CZ"/>
        </w:rPr>
      </w:pPr>
      <w:r w:rsidRPr="00737D68">
        <w:rPr>
          <w:rFonts w:ascii="Arial" w:hAnsi="Arial" w:eastAsia="Times New Roman" w:cs="Arial"/>
          <w:b/>
          <w:bCs/>
          <w:lang w:eastAsia="cs-CZ"/>
        </w:rPr>
        <w:t>Specifikace účastníka řízení, tj. příjemce dotace (dále jen „příjemce“)</w:t>
      </w:r>
    </w:p>
    <w:p w:rsidRPr="00737D68" w:rsidR="00737D68" w:rsidP="00737D68" w:rsidRDefault="00737D68" w14:paraId="3BE4D03B" w14:textId="77777777">
      <w:pPr>
        <w:spacing w:after="60" w:line="240" w:lineRule="auto"/>
        <w:jc w:val="both"/>
        <w:rPr>
          <w:rFonts w:ascii="Arial" w:hAnsi="Arial" w:eastAsia="Arial" w:cs="Arial"/>
          <w:i/>
          <w:iCs/>
        </w:rPr>
      </w:pPr>
      <w:r w:rsidRPr="00737D68">
        <w:rPr>
          <w:rFonts w:ascii="Arial" w:hAnsi="Arial" w:eastAsia="Arial" w:cs="Arial"/>
        </w:rPr>
        <w:t>[</w:t>
      </w:r>
      <w:r w:rsidRPr="00737D68">
        <w:rPr>
          <w:rFonts w:ascii="Arial" w:hAnsi="Arial" w:eastAsia="Arial" w:cs="Arial"/>
          <w:i/>
          <w:iCs/>
        </w:rPr>
        <w:t>FO – jméno a příjmení, datum narození, rodné číslo / PO – název</w:t>
      </w:r>
      <w:r w:rsidRPr="00737D68">
        <w:rPr>
          <w:rFonts w:ascii="Arial" w:hAnsi="Arial" w:eastAsia="Arial" w:cs="Arial"/>
        </w:rPr>
        <w:t>]</w:t>
      </w:r>
    </w:p>
    <w:p w:rsidRPr="00737D68" w:rsidR="00737D68" w:rsidP="00737D68" w:rsidRDefault="00737D68" w14:paraId="541549F7" w14:textId="77777777">
      <w:pPr>
        <w:spacing w:after="60" w:line="240" w:lineRule="auto"/>
        <w:jc w:val="both"/>
        <w:rPr>
          <w:rFonts w:ascii="Arial" w:hAnsi="Arial" w:eastAsia="Arial" w:cs="Arial"/>
          <w:i/>
          <w:iCs/>
        </w:rPr>
      </w:pPr>
      <w:r w:rsidRPr="00737D68">
        <w:rPr>
          <w:rFonts w:ascii="Arial" w:hAnsi="Arial" w:eastAsia="Arial" w:cs="Arial"/>
        </w:rPr>
        <w:t>[</w:t>
      </w:r>
      <w:r w:rsidRPr="00737D68">
        <w:rPr>
          <w:rFonts w:ascii="Arial" w:hAnsi="Arial" w:eastAsia="Arial" w:cs="Arial"/>
          <w:i/>
          <w:iCs/>
        </w:rPr>
        <w:t>FO – adresa trvalého pobytu / PO – adresa sídla</w:t>
      </w:r>
      <w:r w:rsidRPr="00737D68">
        <w:rPr>
          <w:rFonts w:ascii="Arial" w:hAnsi="Arial" w:eastAsia="Arial" w:cs="Arial"/>
        </w:rPr>
        <w:t>]</w:t>
      </w:r>
    </w:p>
    <w:p w:rsidRPr="00737D68" w:rsidR="00737D68" w:rsidP="00737D68" w:rsidRDefault="00737D68" w14:paraId="4FC35D19" w14:textId="77777777">
      <w:pPr>
        <w:spacing w:after="60" w:line="240" w:lineRule="auto"/>
        <w:jc w:val="both"/>
        <w:rPr>
          <w:rFonts w:ascii="Arial" w:hAnsi="Arial" w:eastAsia="Arial" w:cs="Arial"/>
          <w:i/>
          <w:iCs/>
        </w:rPr>
      </w:pPr>
      <w:r w:rsidRPr="00737D68">
        <w:rPr>
          <w:rFonts w:ascii="Arial" w:hAnsi="Arial" w:eastAsia="Arial" w:cs="Arial"/>
        </w:rPr>
        <w:t xml:space="preserve">Statutární orgán: […] </w:t>
      </w:r>
      <w:r w:rsidRPr="00737D68">
        <w:rPr>
          <w:rFonts w:ascii="Arial" w:hAnsi="Arial" w:eastAsia="Arial" w:cs="Arial"/>
          <w:i/>
          <w:iCs/>
        </w:rPr>
        <w:t>(pouze pro PO)</w:t>
      </w:r>
    </w:p>
    <w:p w:rsidRPr="00737D68" w:rsidR="00737D68" w:rsidP="00737D68" w:rsidRDefault="00737D68" w14:paraId="14D77628" w14:textId="77777777">
      <w:pPr>
        <w:spacing w:after="60" w:line="240" w:lineRule="auto"/>
        <w:jc w:val="both"/>
        <w:rPr>
          <w:rFonts w:ascii="Arial" w:hAnsi="Arial" w:eastAsia="Arial" w:cs="Arial"/>
          <w:i/>
          <w:iCs/>
        </w:rPr>
      </w:pPr>
      <w:r w:rsidRPr="00737D68">
        <w:rPr>
          <w:rFonts w:ascii="Arial" w:hAnsi="Arial" w:eastAsia="Arial" w:cs="Arial"/>
        </w:rPr>
        <w:t xml:space="preserve">IČ: […] </w:t>
      </w:r>
      <w:r w:rsidRPr="00737D68">
        <w:rPr>
          <w:rFonts w:ascii="Arial" w:hAnsi="Arial" w:eastAsia="Arial" w:cs="Arial"/>
          <w:i/>
          <w:iCs/>
        </w:rPr>
        <w:t>(FO pouze je-li podnikatelem)</w:t>
      </w:r>
    </w:p>
    <w:p w:rsidRPr="00737D68" w:rsidR="00737D68" w:rsidP="00737D68" w:rsidRDefault="00737D68" w14:paraId="28DC897D" w14:textId="77777777">
      <w:pPr>
        <w:spacing w:after="60" w:line="240" w:lineRule="auto"/>
        <w:jc w:val="both"/>
        <w:rPr>
          <w:rFonts w:ascii="Arial" w:hAnsi="Arial" w:eastAsia="Arial" w:cs="Arial"/>
        </w:rPr>
      </w:pPr>
      <w:r w:rsidRPr="00737D68">
        <w:rPr>
          <w:rFonts w:ascii="Arial" w:hAnsi="Arial" w:eastAsia="Arial" w:cs="Arial"/>
        </w:rPr>
        <w:t>Bankovní účet příjemce: […/…]</w:t>
      </w:r>
    </w:p>
    <w:p w:rsidRPr="00737D68" w:rsidR="00737D68" w:rsidP="00737D68" w:rsidRDefault="00737D68" w14:paraId="2F9359A7" w14:textId="77777777">
      <w:pPr>
        <w:spacing w:after="60" w:line="240" w:lineRule="auto"/>
        <w:jc w:val="both"/>
        <w:rPr>
          <w:rFonts w:ascii="Arial" w:hAnsi="Arial" w:eastAsia="Arial" w:cs="Arial"/>
        </w:rPr>
      </w:pPr>
    </w:p>
    <w:p w:rsidRPr="00737D68" w:rsidR="00737D68" w:rsidP="00737D68" w:rsidRDefault="00737D68" w14:paraId="42E31BF5" w14:textId="77777777">
      <w:pPr>
        <w:numPr>
          <w:ilvl w:val="0"/>
          <w:numId w:val="14"/>
        </w:numPr>
        <w:spacing w:after="120" w:line="240" w:lineRule="auto"/>
        <w:jc w:val="both"/>
        <w:rPr>
          <w:rFonts w:ascii="Arial" w:hAnsi="Arial" w:eastAsia="Times New Roman" w:cs="Arial"/>
          <w:b/>
          <w:bCs/>
          <w:lang w:eastAsia="cs-CZ"/>
        </w:rPr>
      </w:pPr>
      <w:r w:rsidRPr="00737D68">
        <w:rPr>
          <w:rFonts w:ascii="Arial" w:hAnsi="Arial" w:eastAsia="Times New Roman" w:cs="Arial"/>
          <w:b/>
          <w:bCs/>
          <w:lang w:eastAsia="cs-CZ"/>
        </w:rPr>
        <w:t>Výše dotace a režim financování</w:t>
      </w:r>
    </w:p>
    <w:p w:rsidRPr="00737D68" w:rsidR="00737D68" w:rsidP="00737D68" w:rsidRDefault="00737D68" w14:paraId="1DB45A00" w14:textId="77777777">
      <w:pPr>
        <w:numPr>
          <w:ilvl w:val="1"/>
          <w:numId w:val="13"/>
        </w:numPr>
        <w:spacing w:after="60" w:line="240" w:lineRule="auto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>Dotace je poskytována do maximální výše uvedené v řádku „Dotace“ v následující tabulce:</w:t>
      </w:r>
    </w:p>
    <w:tbl>
      <w:tblPr>
        <w:tblW w:w="9072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680"/>
        <w:gridCol w:w="2124"/>
        <w:gridCol w:w="2268"/>
      </w:tblGrid>
      <w:tr w:rsidRPr="00737D68" w:rsidR="00737D68" w:rsidTr="00945A28" w14:paraId="4168AD16" w14:textId="77777777">
        <w:trPr>
          <w:tblHeader/>
        </w:trPr>
        <w:tc>
          <w:tcPr>
            <w:tcW w:w="4680" w:type="dxa"/>
            <w:vAlign w:val="center"/>
          </w:tcPr>
          <w:p w:rsidRPr="00737D68" w:rsidR="00737D68" w:rsidP="00737D68" w:rsidRDefault="00737D68" w14:paraId="2AED7D3B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Arial"/>
                <w:b/>
                <w:snapToGrid w:val="false"/>
                <w:sz w:val="20"/>
              </w:rPr>
            </w:pPr>
            <w:r w:rsidRPr="00737D68">
              <w:rPr>
                <w:rFonts w:ascii="Arial" w:hAnsi="Arial" w:eastAsia="Arial" w:cs="Arial"/>
                <w:b/>
                <w:snapToGrid w:val="false"/>
                <w:sz w:val="20"/>
              </w:rPr>
              <w:t>Finanční rámec projektu</w:t>
            </w:r>
          </w:p>
        </w:tc>
        <w:tc>
          <w:tcPr>
            <w:tcW w:w="2124" w:type="dxa"/>
            <w:vAlign w:val="center"/>
          </w:tcPr>
          <w:p w:rsidRPr="00737D68" w:rsidR="00737D68" w:rsidP="00737D68" w:rsidRDefault="00737D68" w14:paraId="73EA01FE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Arial"/>
                <w:b/>
                <w:snapToGrid w:val="false"/>
                <w:sz w:val="20"/>
              </w:rPr>
            </w:pPr>
            <w:r w:rsidRPr="00737D68">
              <w:rPr>
                <w:rFonts w:ascii="Arial" w:hAnsi="Arial" w:eastAsia="Arial" w:cs="Arial"/>
                <w:b/>
                <w:snapToGrid w:val="false"/>
                <w:sz w:val="20"/>
              </w:rPr>
              <w:t>Částka</w:t>
            </w:r>
          </w:p>
          <w:p w:rsidRPr="00737D68" w:rsidR="00737D68" w:rsidP="00737D68" w:rsidRDefault="00737D68" w14:paraId="735B6B00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Arial"/>
                <w:b/>
                <w:snapToGrid w:val="false"/>
                <w:sz w:val="20"/>
              </w:rPr>
            </w:pPr>
            <w:r w:rsidRPr="00737D68">
              <w:rPr>
                <w:rFonts w:ascii="Arial" w:hAnsi="Arial" w:eastAsia="Arial" w:cs="Arial"/>
                <w:b/>
                <w:snapToGrid w:val="false"/>
                <w:sz w:val="20"/>
              </w:rPr>
              <w:t>(v Kč)</w:t>
            </w:r>
          </w:p>
        </w:tc>
        <w:tc>
          <w:tcPr>
            <w:tcW w:w="2268" w:type="dxa"/>
            <w:vAlign w:val="center"/>
          </w:tcPr>
          <w:p w:rsidRPr="00737D68" w:rsidR="00737D68" w:rsidP="00737D68" w:rsidRDefault="00737D68" w14:paraId="1524D76A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Arial"/>
                <w:b/>
                <w:snapToGrid w:val="false"/>
                <w:sz w:val="20"/>
              </w:rPr>
            </w:pPr>
            <w:r w:rsidRPr="00737D68">
              <w:rPr>
                <w:rFonts w:ascii="Arial" w:hAnsi="Arial" w:eastAsia="Arial" w:cs="Arial"/>
                <w:b/>
                <w:snapToGrid w:val="false"/>
                <w:sz w:val="20"/>
              </w:rPr>
              <w:t xml:space="preserve">Podíl na celkovém rozpočtu </w:t>
            </w:r>
            <w:r w:rsidRPr="00737D68">
              <w:rPr>
                <w:rFonts w:ascii="Arial" w:hAnsi="Arial" w:eastAsia="Arial" w:cs="Times New Roman"/>
                <w:b/>
                <w:snapToGrid w:val="false"/>
                <w:sz w:val="20"/>
              </w:rPr>
              <w:t xml:space="preserve">očištěném o příjmy </w:t>
            </w:r>
            <w:r w:rsidRPr="00737D68">
              <w:rPr>
                <w:rFonts w:ascii="Arial" w:hAnsi="Arial" w:eastAsia="Arial" w:cs="Arial"/>
                <w:b/>
                <w:snapToGrid w:val="false"/>
                <w:sz w:val="20"/>
              </w:rPr>
              <w:t>(v %)</w:t>
            </w:r>
          </w:p>
        </w:tc>
      </w:tr>
      <w:tr w:rsidRPr="00737D68" w:rsidR="00737D68" w:rsidTr="00945A28" w14:paraId="0AD6713F" w14:textId="77777777">
        <w:tc>
          <w:tcPr>
            <w:tcW w:w="4680" w:type="dxa"/>
            <w:vAlign w:val="center"/>
          </w:tcPr>
          <w:p w:rsidRPr="00737D68" w:rsidR="00737D68" w:rsidP="00737D68" w:rsidRDefault="00737D68" w14:paraId="67C50BF1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Arial"/>
                <w:snapToGrid w:val="false"/>
                <w:sz w:val="20"/>
              </w:rPr>
            </w:pPr>
            <w:r w:rsidRPr="00737D68">
              <w:rPr>
                <w:rFonts w:ascii="Arial" w:hAnsi="Arial" w:eastAsia="Arial" w:cs="Times New Roman"/>
                <w:snapToGrid w:val="false"/>
                <w:sz w:val="20"/>
              </w:rPr>
              <w:t>Celkové způsobilé náklady</w:t>
            </w:r>
          </w:p>
        </w:tc>
        <w:tc>
          <w:tcPr>
            <w:tcW w:w="2124" w:type="dxa"/>
            <w:vAlign w:val="center"/>
          </w:tcPr>
          <w:p w:rsidRPr="00737D68" w:rsidR="00737D68" w:rsidP="00737D68" w:rsidRDefault="00737D68" w14:paraId="0D680C6C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Arial"/>
                <w:sz w:val="20"/>
              </w:rPr>
            </w:pPr>
            <w:r w:rsidRPr="00737D68">
              <w:rPr>
                <w:rFonts w:ascii="Arial" w:hAnsi="Arial" w:eastAsia="Arial" w:cs="Times New Roman"/>
                <w:sz w:val="20"/>
              </w:rPr>
              <w:t>[…]</w:t>
            </w:r>
          </w:p>
        </w:tc>
        <w:tc>
          <w:tcPr>
            <w:tcW w:w="2268" w:type="dxa"/>
            <w:vAlign w:val="center"/>
          </w:tcPr>
          <w:p w:rsidRPr="00737D68" w:rsidR="00737D68" w:rsidP="00737D68" w:rsidRDefault="00737D68" w14:paraId="6BB145FA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Arial"/>
                <w:sz w:val="20"/>
              </w:rPr>
            </w:pPr>
            <w:r w:rsidRPr="00737D68">
              <w:rPr>
                <w:rFonts w:ascii="Arial" w:hAnsi="Arial" w:eastAsia="Arial" w:cs="Arial"/>
                <w:sz w:val="20"/>
              </w:rPr>
              <w:t>-</w:t>
            </w:r>
          </w:p>
        </w:tc>
      </w:tr>
      <w:tr w:rsidRPr="00737D68" w:rsidR="00737D68" w:rsidTr="00945A28" w14:paraId="024055A1" w14:textId="77777777">
        <w:tc>
          <w:tcPr>
            <w:tcW w:w="4680" w:type="dxa"/>
            <w:vAlign w:val="center"/>
          </w:tcPr>
          <w:p w:rsidRPr="00737D68" w:rsidR="00737D68" w:rsidP="00737D68" w:rsidRDefault="00737D68" w14:paraId="5FC3473D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Arial"/>
                <w:snapToGrid w:val="false"/>
                <w:sz w:val="20"/>
              </w:rPr>
            </w:pPr>
            <w:r w:rsidRPr="00737D68">
              <w:rPr>
                <w:rFonts w:ascii="Arial" w:hAnsi="Arial" w:eastAsia="Arial" w:cs="Times New Roman"/>
                <w:snapToGrid w:val="false"/>
                <w:sz w:val="20"/>
              </w:rPr>
              <w:t>Příjmy projektu připadající na způsobilé výdaje</w:t>
            </w:r>
          </w:p>
        </w:tc>
        <w:tc>
          <w:tcPr>
            <w:tcW w:w="2124" w:type="dxa"/>
            <w:vAlign w:val="center"/>
          </w:tcPr>
          <w:p w:rsidRPr="00737D68" w:rsidR="00737D68" w:rsidP="00737D68" w:rsidRDefault="00737D68" w14:paraId="6190E8B1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Arial"/>
                <w:sz w:val="20"/>
              </w:rPr>
            </w:pPr>
            <w:r w:rsidRPr="00737D68">
              <w:rPr>
                <w:rFonts w:ascii="Arial" w:hAnsi="Arial" w:eastAsia="Arial" w:cs="Times New Roman"/>
                <w:sz w:val="20"/>
              </w:rPr>
              <w:t>[…]</w:t>
            </w:r>
          </w:p>
        </w:tc>
        <w:tc>
          <w:tcPr>
            <w:tcW w:w="2268" w:type="dxa"/>
            <w:vAlign w:val="center"/>
          </w:tcPr>
          <w:p w:rsidRPr="00737D68" w:rsidR="00737D68" w:rsidP="00737D68" w:rsidRDefault="00737D68" w14:paraId="0F3BBFF8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Arial"/>
                <w:sz w:val="20"/>
              </w:rPr>
            </w:pPr>
            <w:r w:rsidRPr="00737D68">
              <w:rPr>
                <w:rFonts w:ascii="Arial" w:hAnsi="Arial" w:eastAsia="Arial" w:cs="Arial"/>
                <w:sz w:val="20"/>
              </w:rPr>
              <w:t>-</w:t>
            </w:r>
          </w:p>
        </w:tc>
      </w:tr>
      <w:tr w:rsidRPr="00737D68" w:rsidR="00737D68" w:rsidTr="00945A28" w14:paraId="260582C0" w14:textId="77777777">
        <w:tc>
          <w:tcPr>
            <w:tcW w:w="4680" w:type="dxa"/>
            <w:vAlign w:val="center"/>
          </w:tcPr>
          <w:p w:rsidRPr="00737D68" w:rsidR="00737D68" w:rsidP="00737D68" w:rsidRDefault="00737D68" w14:paraId="7921AE5E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Arial"/>
                <w:snapToGrid w:val="false"/>
                <w:sz w:val="20"/>
              </w:rPr>
            </w:pPr>
            <w:r w:rsidRPr="00737D68">
              <w:rPr>
                <w:rFonts w:ascii="Arial" w:hAnsi="Arial" w:eastAsia="Arial" w:cs="Arial"/>
                <w:snapToGrid w:val="false"/>
                <w:sz w:val="20"/>
              </w:rPr>
              <w:t>Celkové způsobilé náklady očištěné o příjmy připadající na způsobilé výdaje</w:t>
            </w:r>
          </w:p>
        </w:tc>
        <w:tc>
          <w:tcPr>
            <w:tcW w:w="2124" w:type="dxa"/>
            <w:vAlign w:val="center"/>
          </w:tcPr>
          <w:p w:rsidRPr="00737D68" w:rsidR="00737D68" w:rsidP="00737D68" w:rsidRDefault="00737D68" w14:paraId="1C2B44CA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Arial"/>
                <w:sz w:val="20"/>
              </w:rPr>
            </w:pPr>
            <w:r w:rsidRPr="00737D68">
              <w:rPr>
                <w:rFonts w:ascii="Arial" w:hAnsi="Arial" w:eastAsia="Arial" w:cs="Arial"/>
                <w:sz w:val="20"/>
              </w:rPr>
              <w:t>[…]</w:t>
            </w:r>
          </w:p>
        </w:tc>
        <w:tc>
          <w:tcPr>
            <w:tcW w:w="2268" w:type="dxa"/>
            <w:vAlign w:val="center"/>
          </w:tcPr>
          <w:p w:rsidRPr="00737D68" w:rsidR="00737D68" w:rsidP="00737D68" w:rsidRDefault="00737D68" w14:paraId="42FAAE82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Arial"/>
                <w:sz w:val="20"/>
              </w:rPr>
            </w:pPr>
            <w:r w:rsidRPr="00737D68">
              <w:rPr>
                <w:rFonts w:ascii="Arial" w:hAnsi="Arial" w:eastAsia="Arial" w:cs="Arial"/>
                <w:sz w:val="20"/>
              </w:rPr>
              <w:t>100 %</w:t>
            </w:r>
          </w:p>
        </w:tc>
      </w:tr>
      <w:tr w:rsidRPr="00737D68" w:rsidR="00737D68" w:rsidTr="00945A28" w14:paraId="08B14C9F" w14:textId="77777777">
        <w:tc>
          <w:tcPr>
            <w:tcW w:w="4680" w:type="dxa"/>
            <w:vAlign w:val="center"/>
          </w:tcPr>
          <w:p w:rsidRPr="00737D68" w:rsidR="00737D68" w:rsidP="00737D68" w:rsidRDefault="00737D68" w14:paraId="3C75CB34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Arial"/>
                <w:snapToGrid w:val="false"/>
                <w:sz w:val="20"/>
              </w:rPr>
            </w:pPr>
            <w:r w:rsidRPr="00737D68">
              <w:rPr>
                <w:rFonts w:ascii="Arial" w:hAnsi="Arial" w:eastAsia="Arial" w:cs="Arial"/>
                <w:snapToGrid w:val="false"/>
                <w:sz w:val="20"/>
              </w:rPr>
              <w:lastRenderedPageBreak/>
              <w:t>Vlastní financování způsobilých výdajů očištěných o příjmy projektu připadající na způsobilé výdaje</w:t>
            </w:r>
          </w:p>
        </w:tc>
        <w:tc>
          <w:tcPr>
            <w:tcW w:w="2124" w:type="dxa"/>
            <w:vAlign w:val="center"/>
          </w:tcPr>
          <w:p w:rsidRPr="00737D68" w:rsidR="00737D68" w:rsidP="00737D68" w:rsidRDefault="00737D68" w14:paraId="0E01605C" w14:textId="77777777">
            <w:pPr>
              <w:keepNext/>
              <w:spacing w:before="60" w:after="60" w:line="240" w:lineRule="auto"/>
              <w:ind w:left="57" w:right="57"/>
              <w:rPr>
                <w:rFonts w:ascii="Arial" w:hAnsi="Arial" w:eastAsia="Arial" w:cs="Arial"/>
                <w:sz w:val="20"/>
              </w:rPr>
            </w:pPr>
            <w:r w:rsidRPr="00737D68">
              <w:rPr>
                <w:rFonts w:ascii="Arial" w:hAnsi="Arial" w:eastAsia="Arial" w:cs="Arial"/>
                <w:sz w:val="20"/>
              </w:rPr>
              <w:t>[…]</w:t>
            </w:r>
          </w:p>
        </w:tc>
        <w:tc>
          <w:tcPr>
            <w:tcW w:w="2268" w:type="dxa"/>
            <w:vAlign w:val="center"/>
          </w:tcPr>
          <w:p w:rsidRPr="00737D68" w:rsidR="00737D68" w:rsidP="00737D68" w:rsidRDefault="00737D68" w14:paraId="65DA746C" w14:textId="77777777">
            <w:pPr>
              <w:keepNext/>
              <w:spacing w:before="60" w:after="60" w:line="240" w:lineRule="auto"/>
              <w:ind w:left="57" w:right="57"/>
              <w:rPr>
                <w:rFonts w:ascii="Arial" w:hAnsi="Arial" w:eastAsia="Arial" w:cs="Arial"/>
                <w:sz w:val="20"/>
              </w:rPr>
            </w:pPr>
            <w:r w:rsidRPr="00737D68">
              <w:rPr>
                <w:rFonts w:ascii="Arial" w:hAnsi="Arial" w:eastAsia="Arial" w:cs="Arial"/>
                <w:sz w:val="20"/>
              </w:rPr>
              <w:t>[…]</w:t>
            </w:r>
          </w:p>
        </w:tc>
      </w:tr>
      <w:tr w:rsidRPr="00737D68" w:rsidR="00737D68" w:rsidTr="00945A28" w14:paraId="5C7EEE8E" w14:textId="77777777">
        <w:tc>
          <w:tcPr>
            <w:tcW w:w="4680" w:type="dxa"/>
            <w:vAlign w:val="center"/>
          </w:tcPr>
          <w:p w:rsidRPr="00737D68" w:rsidR="00737D68" w:rsidP="00737D68" w:rsidRDefault="00737D68" w14:paraId="14D52D22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Arial"/>
                <w:sz w:val="20"/>
              </w:rPr>
            </w:pPr>
            <w:r w:rsidRPr="00737D68">
              <w:rPr>
                <w:rFonts w:ascii="Arial" w:hAnsi="Arial" w:eastAsia="Arial" w:cs="Arial"/>
                <w:sz w:val="20"/>
              </w:rPr>
              <w:t>Dotace</w:t>
            </w:r>
          </w:p>
        </w:tc>
        <w:tc>
          <w:tcPr>
            <w:tcW w:w="2124" w:type="dxa"/>
            <w:vAlign w:val="center"/>
          </w:tcPr>
          <w:p w:rsidRPr="00737D68" w:rsidR="00737D68" w:rsidP="00737D68" w:rsidRDefault="00737D68" w14:paraId="51311BC3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Arial"/>
                <w:sz w:val="20"/>
              </w:rPr>
            </w:pPr>
            <w:r w:rsidRPr="00737D68">
              <w:rPr>
                <w:rFonts w:ascii="Arial" w:hAnsi="Arial" w:eastAsia="Arial" w:cs="Arial"/>
                <w:sz w:val="20"/>
              </w:rPr>
              <w:t>[…]</w:t>
            </w:r>
          </w:p>
        </w:tc>
        <w:tc>
          <w:tcPr>
            <w:tcW w:w="2268" w:type="dxa"/>
            <w:vAlign w:val="center"/>
          </w:tcPr>
          <w:p w:rsidRPr="00737D68" w:rsidR="00737D68" w:rsidP="00737D68" w:rsidRDefault="00737D68" w14:paraId="6402DA56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Arial"/>
                <w:sz w:val="20"/>
              </w:rPr>
            </w:pPr>
            <w:r w:rsidRPr="00737D68">
              <w:rPr>
                <w:rFonts w:ascii="Arial" w:hAnsi="Arial" w:eastAsia="Arial" w:cs="Arial"/>
                <w:sz w:val="20"/>
              </w:rPr>
              <w:t>[…]</w:t>
            </w:r>
          </w:p>
        </w:tc>
      </w:tr>
      <w:tr w:rsidRPr="00737D68" w:rsidR="00737D68" w:rsidTr="00945A28" w14:paraId="38FC676B" w14:textId="77777777">
        <w:tc>
          <w:tcPr>
            <w:tcW w:w="4680" w:type="dxa"/>
            <w:vAlign w:val="center"/>
          </w:tcPr>
          <w:p w:rsidRPr="00737D68" w:rsidR="00737D68" w:rsidP="00737D68" w:rsidRDefault="00737D68" w14:paraId="0C92AB36" w14:textId="77777777">
            <w:pPr>
              <w:numPr>
                <w:ilvl w:val="0"/>
                <w:numId w:val="3"/>
              </w:numPr>
              <w:spacing w:before="60" w:after="60" w:line="240" w:lineRule="auto"/>
              <w:ind w:right="57"/>
              <w:jc w:val="both"/>
              <w:rPr>
                <w:rFonts w:ascii="Arial" w:hAnsi="Arial" w:eastAsia="Arial" w:cs="Arial"/>
                <w:sz w:val="20"/>
              </w:rPr>
            </w:pPr>
            <w:r w:rsidRPr="00737D68">
              <w:rPr>
                <w:rFonts w:ascii="Arial" w:hAnsi="Arial" w:eastAsia="Arial" w:cs="Arial"/>
                <w:sz w:val="20"/>
              </w:rPr>
              <w:t xml:space="preserve">z toho z Evropského sociálního fondu, tj. z prostředků poskytnutých ze státního rozpočtu na předfinancování výdajů, které mají být kryty prostředky z  Národního fondu (§ 44 odst. 2 písm. f) rozpočtových pravidel)  </w:t>
            </w:r>
          </w:p>
        </w:tc>
        <w:tc>
          <w:tcPr>
            <w:tcW w:w="2124" w:type="dxa"/>
            <w:vAlign w:val="center"/>
          </w:tcPr>
          <w:p w:rsidRPr="00737D68" w:rsidR="00737D68" w:rsidP="00737D68" w:rsidRDefault="00737D68" w14:paraId="71BEE020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Arial"/>
                <w:sz w:val="20"/>
              </w:rPr>
            </w:pPr>
            <w:r w:rsidRPr="00737D68">
              <w:rPr>
                <w:rFonts w:ascii="Arial" w:hAnsi="Arial" w:eastAsia="Arial" w:cs="Arial"/>
                <w:sz w:val="20"/>
              </w:rPr>
              <w:t>[…]</w:t>
            </w:r>
          </w:p>
          <w:p w:rsidRPr="00737D68" w:rsidR="00737D68" w:rsidP="00737D68" w:rsidRDefault="00737D68" w14:paraId="42A91D97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Arial"/>
                <w:sz w:val="20"/>
              </w:rPr>
            </w:pPr>
          </w:p>
          <w:p w:rsidRPr="00737D68" w:rsidR="00737D68" w:rsidP="00737D68" w:rsidRDefault="00737D68" w14:paraId="6CE10E55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Pr="00737D68" w:rsidR="00737D68" w:rsidP="00737D68" w:rsidRDefault="00737D68" w14:paraId="10EFC2FA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Arial"/>
                <w:sz w:val="20"/>
              </w:rPr>
            </w:pPr>
            <w:r w:rsidRPr="00737D68">
              <w:rPr>
                <w:rFonts w:ascii="Arial" w:hAnsi="Arial" w:eastAsia="Arial" w:cs="Arial"/>
                <w:sz w:val="20"/>
              </w:rPr>
              <w:t>[…]</w:t>
            </w:r>
          </w:p>
          <w:p w:rsidRPr="00737D68" w:rsidR="00737D68" w:rsidP="00737D68" w:rsidRDefault="00737D68" w14:paraId="59179A1B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Arial"/>
                <w:sz w:val="20"/>
              </w:rPr>
            </w:pPr>
          </w:p>
          <w:p w:rsidRPr="00737D68" w:rsidR="00737D68" w:rsidP="00737D68" w:rsidRDefault="00737D68" w14:paraId="797FDADE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Arial"/>
                <w:sz w:val="20"/>
              </w:rPr>
            </w:pPr>
          </w:p>
        </w:tc>
      </w:tr>
      <w:tr w:rsidRPr="00737D68" w:rsidR="00737D68" w:rsidTr="00945A28" w14:paraId="20620EDE" w14:textId="77777777">
        <w:tc>
          <w:tcPr>
            <w:tcW w:w="4680" w:type="dxa"/>
            <w:vAlign w:val="center"/>
          </w:tcPr>
          <w:p w:rsidRPr="00737D68" w:rsidR="00737D68" w:rsidP="00737D68" w:rsidRDefault="00737D68" w14:paraId="46183595" w14:textId="77777777">
            <w:pPr>
              <w:numPr>
                <w:ilvl w:val="0"/>
                <w:numId w:val="4"/>
              </w:numPr>
              <w:spacing w:before="60" w:after="60" w:line="240" w:lineRule="auto"/>
              <w:ind w:right="57"/>
              <w:jc w:val="both"/>
              <w:rPr>
                <w:rFonts w:ascii="Arial" w:hAnsi="Arial" w:eastAsia="Arial" w:cs="Arial"/>
                <w:sz w:val="20"/>
              </w:rPr>
            </w:pPr>
            <w:r w:rsidRPr="00737D68">
              <w:rPr>
                <w:rFonts w:ascii="Arial" w:hAnsi="Arial" w:eastAsia="Arial" w:cs="Arial"/>
                <w:sz w:val="20"/>
              </w:rPr>
              <w:t xml:space="preserve">z toho státní rozpočet, tj. prostředky ze státního rozpočtu na část národního spolufinancování (§ 44 odst. 2 písm. j) rozpočtových pravidel).   </w:t>
            </w:r>
          </w:p>
        </w:tc>
        <w:tc>
          <w:tcPr>
            <w:tcW w:w="2124" w:type="dxa"/>
            <w:vAlign w:val="center"/>
          </w:tcPr>
          <w:p w:rsidRPr="00737D68" w:rsidR="00737D68" w:rsidP="00737D68" w:rsidRDefault="00737D68" w14:paraId="29CC7A6F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Arial"/>
                <w:sz w:val="20"/>
              </w:rPr>
            </w:pPr>
            <w:r w:rsidRPr="00737D68">
              <w:rPr>
                <w:rFonts w:ascii="Arial" w:hAnsi="Arial" w:eastAsia="Arial" w:cs="Arial"/>
                <w:sz w:val="20"/>
              </w:rPr>
              <w:t>[…]</w:t>
            </w:r>
          </w:p>
        </w:tc>
        <w:tc>
          <w:tcPr>
            <w:tcW w:w="2268" w:type="dxa"/>
            <w:vAlign w:val="center"/>
          </w:tcPr>
          <w:p w:rsidRPr="00737D68" w:rsidR="00737D68" w:rsidP="00737D68" w:rsidRDefault="00737D68" w14:paraId="2481BDFB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Arial"/>
                <w:sz w:val="20"/>
              </w:rPr>
            </w:pPr>
            <w:r w:rsidRPr="00737D68">
              <w:rPr>
                <w:rFonts w:ascii="Arial" w:hAnsi="Arial" w:eastAsia="Arial" w:cs="Arial"/>
                <w:sz w:val="20"/>
              </w:rPr>
              <w:t>[…]</w:t>
            </w:r>
          </w:p>
        </w:tc>
      </w:tr>
    </w:tbl>
    <w:p w:rsidRPr="00737D68" w:rsidR="00737D68" w:rsidP="00737D68" w:rsidRDefault="00737D68" w14:paraId="6CE11577" w14:textId="77777777">
      <w:pPr>
        <w:spacing w:before="120" w:after="60" w:line="240" w:lineRule="auto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>Všechny výdaje projektu jsou neinvestičního charakteru.</w:t>
      </w:r>
    </w:p>
    <w:p w:rsidRPr="00737D68" w:rsidR="00737D68" w:rsidP="00737D68" w:rsidRDefault="00737D68" w14:paraId="120166A0" w14:textId="77777777">
      <w:pPr>
        <w:numPr>
          <w:ilvl w:val="1"/>
          <w:numId w:val="13"/>
        </w:numPr>
        <w:spacing w:before="120" w:after="60" w:line="240" w:lineRule="auto"/>
        <w:ind w:left="709" w:hanging="709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>Příjemce je povinen respektovat stanovený podíl (v %) zapojení vlastních zdrojů do financování způsobilých výdajů projektu dle výše uvedené tabulky. Vyjádření závazku vlastního financování částkou v Kč je pouze orientační.</w:t>
      </w:r>
    </w:p>
    <w:p w:rsidRPr="00737D68" w:rsidR="00737D68" w:rsidP="00737D68" w:rsidRDefault="00737D68" w14:paraId="5ACACD48" w14:textId="77777777">
      <w:pPr>
        <w:numPr>
          <w:ilvl w:val="1"/>
          <w:numId w:val="13"/>
        </w:numPr>
        <w:spacing w:after="60" w:line="240" w:lineRule="auto"/>
        <w:ind w:left="709" w:hanging="709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 xml:space="preserve">Dotace je poskytována na způsobilé výdaje projektu, které nejsou či nebudou kryty z příjmů projektu připadajících na způsobilé výdaje, ani z jiných zdrojů příjemce. </w:t>
      </w:r>
    </w:p>
    <w:p w:rsidRPr="00737D68" w:rsidR="00737D68" w:rsidP="00737D68" w:rsidRDefault="00737D68" w14:paraId="31323619" w14:textId="77777777">
      <w:pPr>
        <w:numPr>
          <w:ilvl w:val="1"/>
          <w:numId w:val="13"/>
        </w:numPr>
        <w:spacing w:after="60" w:line="240" w:lineRule="auto"/>
        <w:ind w:left="709" w:hanging="709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>Pro zapojení zdrojů financování dle výše uvedené tabulky jsou rozhodující hodnoty podílů vyjádřené v procentech. Vyjádření v Kč je jako závazné a maximálně možné stanoveno pouze pro zdroj „Evropský sociální fond“, pro další zdroj se jedná o vyjádření pouze orientační.</w:t>
      </w:r>
    </w:p>
    <w:p w:rsidRPr="00737D68" w:rsidR="00737D68" w:rsidP="00737D68" w:rsidRDefault="00737D68" w14:paraId="6E5228FB" w14:textId="77777777">
      <w:pPr>
        <w:numPr>
          <w:ilvl w:val="1"/>
          <w:numId w:val="13"/>
        </w:numPr>
        <w:spacing w:after="60" w:line="240" w:lineRule="auto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>Skutečná výše dotace, která bude příjemci poskytnuta, bude určena na základě skutečně dosažených a řádně prokázaných jednotek, k nimž poskytovatel stanovil jednotkové náklady. Bližší specifikace je uvedena v části II bodu 3.2 tohoto Rozhodnutí. Výše dotace bude v souladu s Pravidly OPZ a právními předpisy ČR a EU snížena o ty příjmy, které projekt vytvoří v průběhu své realizace, které převýší částku příjmů projektu uvedenou v bodě 2.1 této části Rozhodnutí a které přesáhnou objem vlastního financování způsobilých výdajů uvedený v bodě 2.1 této části Rozhodnutí. Příjmy, které nepřesáhnou částku, kterou do financování projektu vkládá příjemce podpory, nesnižují dotaci.</w:t>
      </w:r>
    </w:p>
    <w:p w:rsidRPr="00737D68" w:rsidR="00737D68" w:rsidP="00737D68" w:rsidRDefault="00737D68" w14:paraId="60FB2576" w14:textId="77777777">
      <w:pPr>
        <w:numPr>
          <w:ilvl w:val="1"/>
          <w:numId w:val="13"/>
        </w:numPr>
        <w:spacing w:after="60" w:line="240" w:lineRule="auto"/>
        <w:ind w:left="709" w:hanging="709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>Dojde-li v průběhu realizace projektu ke snížení způsobilých výdajů, musí být vždy zachovány procentní podíly pro zapojení vlastního financování způsobilých výdajů a dotace uvedené v bodě 2.1 této části.</w:t>
      </w:r>
    </w:p>
    <w:p w:rsidRPr="00737D68" w:rsidR="00737D68" w:rsidP="00737D68" w:rsidRDefault="00737D68" w14:paraId="1DD8F883" w14:textId="77777777">
      <w:pPr>
        <w:numPr>
          <w:ilvl w:val="1"/>
          <w:numId w:val="13"/>
        </w:numPr>
        <w:spacing w:after="240" w:line="240" w:lineRule="auto"/>
        <w:ind w:left="709" w:hanging="709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>Režim financování projektu:</w:t>
      </w:r>
      <w:r w:rsidRPr="00737D68">
        <w:rPr>
          <w:rFonts w:ascii="Arial" w:hAnsi="Arial" w:eastAsia="Times New Roman" w:cs="Arial"/>
          <w:vertAlign w:val="superscript"/>
          <w:lang w:eastAsia="cs-CZ"/>
        </w:rPr>
        <w:footnoteReference w:id="5"/>
      </w:r>
      <w:r w:rsidRPr="00737D68">
        <w:rPr>
          <w:rFonts w:ascii="Arial" w:hAnsi="Arial" w:eastAsia="Times New Roman" w:cs="Arial"/>
          <w:lang w:eastAsia="cs-CZ"/>
        </w:rPr>
        <w:t xml:space="preserve"> ex-ante/ex-post.</w:t>
      </w:r>
    </w:p>
    <w:p w:rsidRPr="00737D68" w:rsidR="00737D68" w:rsidP="00737D68" w:rsidRDefault="00737D68" w14:paraId="27C2687F" w14:textId="77777777">
      <w:pPr>
        <w:keepNext/>
        <w:numPr>
          <w:ilvl w:val="0"/>
          <w:numId w:val="14"/>
        </w:numPr>
        <w:spacing w:after="120" w:line="240" w:lineRule="auto"/>
        <w:jc w:val="both"/>
        <w:rPr>
          <w:rFonts w:ascii="Arial" w:hAnsi="Arial" w:eastAsia="Times New Roman" w:cs="Arial"/>
          <w:b/>
          <w:bCs/>
          <w:lang w:eastAsia="cs-CZ"/>
        </w:rPr>
      </w:pPr>
      <w:r w:rsidRPr="00737D68">
        <w:rPr>
          <w:rFonts w:ascii="Arial" w:hAnsi="Arial" w:eastAsia="Times New Roman" w:cs="Arial"/>
          <w:b/>
          <w:bCs/>
          <w:lang w:eastAsia="cs-CZ"/>
        </w:rPr>
        <w:t>Účel dotace</w:t>
      </w:r>
    </w:p>
    <w:p w:rsidRPr="00737D68" w:rsidR="00737D68" w:rsidP="00737D68" w:rsidRDefault="00737D68" w14:paraId="682F9EBC" w14:textId="77777777">
      <w:pPr>
        <w:keepNext/>
        <w:widowControl w:val="false"/>
        <w:overflowPunct w:val="false"/>
        <w:autoSpaceDE w:val="false"/>
        <w:autoSpaceDN w:val="false"/>
        <w:adjustRightInd w:val="false"/>
        <w:spacing w:after="240" w:line="240" w:lineRule="auto"/>
        <w:contextualSpacing/>
        <w:jc w:val="both"/>
        <w:textAlignment w:val="baseline"/>
        <w:rPr>
          <w:rFonts w:ascii="Arial" w:hAnsi="Arial" w:eastAsia="Times New Roman" w:cs="Arial"/>
          <w:szCs w:val="24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 xml:space="preserve">V rámci realizace projektu identifikovaného názvem a registračním číslem v úvodní části tohoto Rozhodnutí je účelem dotace </w:t>
      </w:r>
      <w:r w:rsidRPr="00737D68">
        <w:rPr>
          <w:rFonts w:ascii="Arial" w:hAnsi="Arial" w:eastAsia="Times New Roman" w:cs="Arial"/>
          <w:szCs w:val="20"/>
          <w:lang w:eastAsia="cs-CZ"/>
        </w:rPr>
        <w:t>podpora dalšího profesního vzdělávání zaměstnanců</w:t>
      </w:r>
      <w:r w:rsidRPr="00737D68">
        <w:rPr>
          <w:rFonts w:ascii="Arial" w:hAnsi="Arial" w:eastAsia="Times New Roman" w:cs="Arial"/>
          <w:szCs w:val="24"/>
          <w:lang w:eastAsia="cs-CZ"/>
        </w:rPr>
        <w:t>.</w:t>
      </w:r>
    </w:p>
    <w:p w:rsidRPr="00737D68" w:rsidR="00737D68" w:rsidP="00737D68" w:rsidRDefault="00737D68" w14:paraId="05E980E5" w14:textId="77777777">
      <w:pPr>
        <w:keepNext/>
        <w:widowControl w:val="false"/>
        <w:overflowPunct w:val="false"/>
        <w:autoSpaceDE w:val="false"/>
        <w:autoSpaceDN w:val="false"/>
        <w:adjustRightInd w:val="false"/>
        <w:spacing w:after="240" w:line="240" w:lineRule="auto"/>
        <w:contextualSpacing/>
        <w:jc w:val="both"/>
        <w:textAlignment w:val="baseline"/>
        <w:rPr>
          <w:rFonts w:ascii="Arial" w:hAnsi="Arial" w:eastAsia="Times New Roman" w:cs="Arial"/>
          <w:lang w:eastAsia="cs-CZ"/>
        </w:rPr>
      </w:pPr>
    </w:p>
    <w:p w:rsidRPr="00737D68" w:rsidR="00737D68" w:rsidP="00737D68" w:rsidRDefault="00737D68" w14:paraId="6A028890" w14:textId="77777777">
      <w:pPr>
        <w:numPr>
          <w:ilvl w:val="0"/>
          <w:numId w:val="14"/>
        </w:numPr>
        <w:spacing w:after="120" w:line="240" w:lineRule="auto"/>
        <w:jc w:val="both"/>
        <w:rPr>
          <w:rFonts w:ascii="Arial" w:hAnsi="Arial" w:eastAsia="Times New Roman" w:cs="Arial"/>
          <w:b/>
          <w:bCs/>
          <w:lang w:eastAsia="cs-CZ"/>
        </w:rPr>
      </w:pPr>
      <w:r w:rsidRPr="00737D68">
        <w:rPr>
          <w:rFonts w:ascii="Arial" w:hAnsi="Arial" w:eastAsia="Times New Roman" w:cs="Arial"/>
          <w:b/>
          <w:bCs/>
          <w:lang w:eastAsia="cs-CZ"/>
        </w:rPr>
        <w:t>Lhůta, v níž má být dosaženo účelu</w:t>
      </w:r>
    </w:p>
    <w:p w:rsidRPr="00737D68" w:rsidR="00737D68" w:rsidP="00737D68" w:rsidRDefault="00737D68" w14:paraId="7E3DDF11" w14:textId="77777777">
      <w:pPr>
        <w:spacing w:after="60" w:line="240" w:lineRule="auto"/>
        <w:jc w:val="both"/>
        <w:rPr>
          <w:rFonts w:ascii="Arial" w:hAnsi="Arial" w:eastAsia="Arial" w:cs="Arial"/>
        </w:rPr>
      </w:pPr>
      <w:r w:rsidRPr="00737D68">
        <w:rPr>
          <w:rFonts w:ascii="Arial" w:hAnsi="Arial" w:eastAsia="Arial" w:cs="Arial"/>
        </w:rPr>
        <w:t xml:space="preserve">Účelu dotace musí být dosaženo ve lhůtě: </w:t>
      </w:r>
    </w:p>
    <w:p w:rsidRPr="00737D68" w:rsidR="00737D68" w:rsidP="00737D68" w:rsidRDefault="00737D68" w14:paraId="26A37874" w14:textId="77777777">
      <w:pPr>
        <w:numPr>
          <w:ilvl w:val="0"/>
          <w:numId w:val="1"/>
        </w:numPr>
        <w:tabs>
          <w:tab w:val="center" w:pos="4536"/>
          <w:tab w:val="left" w:pos="5940"/>
          <w:tab w:val="right" w:pos="9072"/>
        </w:tabs>
        <w:spacing w:after="60" w:line="240" w:lineRule="auto"/>
        <w:jc w:val="both"/>
        <w:rPr>
          <w:rFonts w:ascii="Arial" w:hAnsi="Arial" w:eastAsia="Arial" w:cs="Arial"/>
        </w:rPr>
      </w:pPr>
      <w:r w:rsidRPr="00737D68">
        <w:rPr>
          <w:rFonts w:ascii="Arial" w:hAnsi="Arial" w:eastAsia="Arial" w:cs="Arial"/>
        </w:rPr>
        <w:lastRenderedPageBreak/>
        <w:t>datum zahájení realizace projektu:</w:t>
      </w:r>
      <w:r w:rsidRPr="00737D68">
        <w:rPr>
          <w:rFonts w:ascii="Arial" w:hAnsi="Arial" w:eastAsia="Arial" w:cs="Arial"/>
        </w:rPr>
        <w:tab/>
        <w:t>[…]</w:t>
      </w:r>
    </w:p>
    <w:p w:rsidRPr="00737D68" w:rsidR="00737D68" w:rsidP="00737D68" w:rsidRDefault="00737D68" w14:paraId="6850B58E" w14:textId="77777777">
      <w:pPr>
        <w:numPr>
          <w:ilvl w:val="0"/>
          <w:numId w:val="1"/>
        </w:numPr>
        <w:tabs>
          <w:tab w:val="center" w:pos="4536"/>
          <w:tab w:val="left" w:pos="5940"/>
          <w:tab w:val="right" w:pos="9072"/>
        </w:tabs>
        <w:spacing w:after="220" w:line="240" w:lineRule="auto"/>
        <w:ind w:left="714" w:hanging="357"/>
        <w:jc w:val="both"/>
        <w:rPr>
          <w:rFonts w:ascii="Arial" w:hAnsi="Arial" w:eastAsia="Arial" w:cs="Arial"/>
        </w:rPr>
      </w:pPr>
      <w:r w:rsidRPr="00737D68">
        <w:rPr>
          <w:rFonts w:ascii="Arial" w:hAnsi="Arial" w:eastAsia="Arial" w:cs="Arial"/>
        </w:rPr>
        <w:t>datum ukončení realizace projektu nejpozději do:</w:t>
      </w:r>
      <w:r w:rsidRPr="00737D68">
        <w:rPr>
          <w:rFonts w:ascii="Arial" w:hAnsi="Arial" w:eastAsia="Arial" w:cs="Arial"/>
        </w:rPr>
        <w:tab/>
        <w:t>[…]</w:t>
      </w:r>
    </w:p>
    <w:p w:rsidRPr="00737D68" w:rsidR="00737D68" w:rsidP="00737D68" w:rsidRDefault="00737D68" w14:paraId="7B520A5C" w14:textId="77777777">
      <w:pPr>
        <w:numPr>
          <w:ilvl w:val="0"/>
          <w:numId w:val="14"/>
        </w:numPr>
        <w:spacing w:after="120" w:line="240" w:lineRule="auto"/>
        <w:jc w:val="both"/>
        <w:rPr>
          <w:rFonts w:ascii="Arial" w:hAnsi="Arial" w:eastAsia="Times New Roman" w:cs="Arial"/>
          <w:b/>
          <w:bCs/>
          <w:lang w:eastAsia="cs-CZ"/>
        </w:rPr>
      </w:pPr>
      <w:r w:rsidRPr="00737D68">
        <w:rPr>
          <w:rFonts w:ascii="Arial" w:hAnsi="Arial" w:eastAsia="Times New Roman" w:cs="Arial"/>
          <w:b/>
          <w:bCs/>
          <w:lang w:eastAsia="cs-CZ"/>
        </w:rPr>
        <w:t>Vzájemná komunikace poskytovatele a příjemce</w:t>
      </w:r>
    </w:p>
    <w:p w:rsidRPr="00737D68" w:rsidR="00737D68" w:rsidP="00737D68" w:rsidRDefault="00737D68" w14:paraId="15645C57" w14:textId="77777777">
      <w:pPr>
        <w:spacing w:after="220" w:line="240" w:lineRule="auto"/>
        <w:jc w:val="both"/>
        <w:rPr>
          <w:rFonts w:ascii="Arial" w:hAnsi="Arial" w:eastAsia="Arial" w:cs="Arial"/>
        </w:rPr>
      </w:pPr>
      <w:r w:rsidRPr="00737D68">
        <w:rPr>
          <w:rFonts w:ascii="Arial" w:hAnsi="Arial" w:eastAsia="Arial" w:cs="Arial"/>
        </w:rPr>
        <w:t xml:space="preserve">Příjemce a poskytovatel budou v případě doručování písemností, které musí být opatřeny podpisem osoby oprávněné jednat za daný subjekt, přednostně používat informační systém MS2014+. Příjemce je povinen zajistit, aby se seznámil se všemi zprávami, které mu budou od poskytovatele doručeny prostřednictvím MS2014+. </w:t>
      </w:r>
    </w:p>
    <w:p w:rsidRPr="00737D68" w:rsidR="00737D68" w:rsidP="00737D68" w:rsidRDefault="00737D68" w14:paraId="46374541" w14:textId="77777777">
      <w:pPr>
        <w:keepNext/>
        <w:shd w:val="clear" w:color="auto" w:fill="F2F2F2"/>
        <w:spacing w:after="220" w:line="240" w:lineRule="auto"/>
        <w:jc w:val="both"/>
        <w:rPr>
          <w:rFonts w:ascii="Arial" w:hAnsi="Arial" w:eastAsia="Arial" w:cs="Arial"/>
          <w:b/>
        </w:rPr>
      </w:pPr>
      <w:r w:rsidRPr="00737D68">
        <w:rPr>
          <w:rFonts w:ascii="Arial" w:hAnsi="Arial" w:eastAsia="Arial" w:cs="Arial"/>
          <w:b/>
        </w:rPr>
        <w:t>Část II – Obecné povinnosti příjemce</w:t>
      </w:r>
    </w:p>
    <w:p w:rsidRPr="00737D68" w:rsidR="00737D68" w:rsidP="00737D68" w:rsidRDefault="00737D68" w14:paraId="5168ABAC" w14:textId="77777777">
      <w:pPr>
        <w:keepNext/>
        <w:numPr>
          <w:ilvl w:val="0"/>
          <w:numId w:val="15"/>
        </w:numPr>
        <w:spacing w:before="240" w:after="120" w:line="240" w:lineRule="auto"/>
        <w:jc w:val="both"/>
        <w:rPr>
          <w:rFonts w:ascii="Arial" w:hAnsi="Arial" w:eastAsia="Times New Roman" w:cs="Arial"/>
          <w:b/>
          <w:bCs/>
          <w:lang w:eastAsia="cs-CZ"/>
        </w:rPr>
      </w:pPr>
      <w:r w:rsidRPr="00737D68">
        <w:rPr>
          <w:rFonts w:ascii="Arial" w:hAnsi="Arial" w:eastAsia="Times New Roman" w:cs="Arial"/>
          <w:b/>
          <w:bCs/>
          <w:lang w:eastAsia="cs-CZ"/>
        </w:rPr>
        <w:t xml:space="preserve">Užití dotace </w:t>
      </w:r>
    </w:p>
    <w:p w:rsidRPr="00737D68" w:rsidR="00737D68" w:rsidP="00737D68" w:rsidRDefault="00737D68" w14:paraId="378ED641" w14:textId="77777777">
      <w:pPr>
        <w:keepNext/>
        <w:numPr>
          <w:ilvl w:val="1"/>
          <w:numId w:val="15"/>
        </w:numPr>
        <w:spacing w:after="60" w:line="240" w:lineRule="auto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 xml:space="preserve">Při použití dotace je příjemce povinen dodržovat podmínky stanovené právními předpisy EU a ČR, tímto Rozhodnutím a Pravidly OPZ, kterými jsou: </w:t>
      </w:r>
    </w:p>
    <w:p w:rsidRPr="00737D68" w:rsidR="00737D68" w:rsidP="00737D68" w:rsidRDefault="00737D68" w14:paraId="7DBE3D3F" w14:textId="77777777">
      <w:pPr>
        <w:numPr>
          <w:ilvl w:val="0"/>
          <w:numId w:val="6"/>
        </w:numPr>
        <w:spacing w:after="60" w:line="240" w:lineRule="auto"/>
        <w:jc w:val="both"/>
        <w:rPr>
          <w:rFonts w:ascii="Arial" w:hAnsi="Arial" w:eastAsia="Arial" w:cs="Arial"/>
        </w:rPr>
      </w:pPr>
      <w:r w:rsidRPr="00737D68">
        <w:rPr>
          <w:rFonts w:ascii="Arial" w:hAnsi="Arial" w:eastAsia="Arial" w:cs="Arial"/>
        </w:rPr>
        <w:t>Obecná část pravidel pro žadatele a příjemce v rámci OPZ a</w:t>
      </w:r>
    </w:p>
    <w:p w:rsidRPr="00737D68" w:rsidR="00737D68" w:rsidP="00737D68" w:rsidRDefault="00737D68" w14:paraId="06409E97" w14:textId="77777777">
      <w:pPr>
        <w:numPr>
          <w:ilvl w:val="0"/>
          <w:numId w:val="6"/>
        </w:numPr>
        <w:spacing w:after="60" w:line="240" w:lineRule="auto"/>
        <w:jc w:val="both"/>
        <w:rPr>
          <w:rFonts w:ascii="Arial" w:hAnsi="Arial" w:eastAsia="Arial" w:cs="Arial"/>
        </w:rPr>
      </w:pPr>
      <w:r w:rsidRPr="00737D68">
        <w:rPr>
          <w:rFonts w:ascii="Arial" w:hAnsi="Arial" w:eastAsia="Arial" w:cs="Arial"/>
        </w:rPr>
        <w:t>Specifická část pravidel pro žadatele a příjemce v rámci OPZ pro projekty s jednotkovými náklady zaměřené na další profesní vzdělávání (dále jen „</w:t>
      </w:r>
      <w:r w:rsidRPr="00737D68">
        <w:rPr>
          <w:rFonts w:ascii="Arial" w:hAnsi="Arial" w:eastAsia="Arial" w:cs="Arial"/>
          <w:i/>
        </w:rPr>
        <w:t>Specifická pravidla</w:t>
      </w:r>
      <w:r w:rsidRPr="00737D68">
        <w:rPr>
          <w:rFonts w:ascii="Arial" w:hAnsi="Arial" w:eastAsia="Arial" w:cs="Arial"/>
        </w:rPr>
        <w:t>")</w:t>
      </w:r>
    </w:p>
    <w:p w:rsidRPr="00737D68" w:rsidR="00737D68" w:rsidP="00737D68" w:rsidRDefault="00737D68" w14:paraId="7810AE57" w14:textId="77777777">
      <w:pPr>
        <w:numPr>
          <w:ilvl w:val="1"/>
          <w:numId w:val="15"/>
        </w:numPr>
        <w:spacing w:after="60" w:line="240" w:lineRule="auto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 xml:space="preserve">Pravidla OPZ jsou uveřejněna na webovém portálu poskytovatele </w:t>
      </w:r>
      <w:hyperlink w:history="true" r:id="rId11">
        <w:r w:rsidRPr="00737D68">
          <w:rPr>
            <w:rFonts w:ascii="Arial" w:hAnsi="Arial" w:eastAsia="Times New Roman" w:cs="Arial"/>
            <w:color w:val="084A8B"/>
            <w:u w:val="single"/>
            <w:lang w:eastAsia="cs-CZ"/>
          </w:rPr>
          <w:t>www.esfcr.cz</w:t>
        </w:r>
      </w:hyperlink>
      <w:r w:rsidRPr="00737D68">
        <w:rPr>
          <w:rFonts w:ascii="Arial" w:hAnsi="Arial" w:eastAsia="Times New Roman" w:cs="Arial"/>
          <w:lang w:eastAsia="cs-CZ"/>
        </w:rPr>
        <w:t xml:space="preserve">. </w:t>
      </w:r>
    </w:p>
    <w:p w:rsidRPr="00737D68" w:rsidR="00737D68" w:rsidP="00737D68" w:rsidRDefault="00737D68" w14:paraId="32FD353E" w14:textId="77777777">
      <w:pPr>
        <w:numPr>
          <w:ilvl w:val="1"/>
          <w:numId w:val="15"/>
        </w:numPr>
        <w:spacing w:after="60" w:line="240" w:lineRule="auto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>Příjemce dotace je povinen řídit se při realizaci projektu podmínkami upravenými v Pravidlech OPZ, nestanoví-li toto Rozhodnutí jinak.</w:t>
      </w:r>
    </w:p>
    <w:p w:rsidRPr="00737D68" w:rsidR="00737D68" w:rsidP="00737D68" w:rsidRDefault="00737D68" w14:paraId="36F06C42" w14:textId="77777777">
      <w:pPr>
        <w:numPr>
          <w:ilvl w:val="1"/>
          <w:numId w:val="15"/>
        </w:numPr>
        <w:spacing w:after="60" w:line="240" w:lineRule="auto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>Pravidla OPZ jsou pro příjemce dotace závazná ve verzi platné v den učinění příslušného úkonu souvisejícího s realizací projektu, nebo v den porušení příslušného ustanovení plynoucího z právních předpisů, tohoto Rozhodnutí či Pravidel OPZ. Při zadávání zakázek je pro příjemce závazná verze Pravidel OPZ platná v den zahájení zadávání zakázky. O vydání nové revize Pravidel OPZ uvědomí poskytovatel příjemce bez zbytečného odkladu elektronickou formou prostřednictvím informačního systému MS2014+.</w:t>
      </w:r>
    </w:p>
    <w:p w:rsidRPr="00737D68" w:rsidR="00737D68" w:rsidP="00737D68" w:rsidRDefault="00737D68" w14:paraId="4075E68F" w14:textId="77777777">
      <w:pPr>
        <w:numPr>
          <w:ilvl w:val="0"/>
          <w:numId w:val="15"/>
        </w:numPr>
        <w:spacing w:before="240" w:after="120" w:line="240" w:lineRule="auto"/>
        <w:ind w:left="357" w:hanging="357"/>
        <w:jc w:val="both"/>
        <w:rPr>
          <w:rFonts w:ascii="Arial" w:hAnsi="Arial" w:eastAsia="Times New Roman" w:cs="Arial"/>
          <w:b/>
          <w:bCs/>
          <w:lang w:eastAsia="cs-CZ"/>
        </w:rPr>
      </w:pPr>
      <w:r w:rsidRPr="00737D68">
        <w:rPr>
          <w:rFonts w:ascii="Arial" w:hAnsi="Arial" w:eastAsia="Times New Roman" w:cs="Arial"/>
          <w:b/>
          <w:bCs/>
          <w:lang w:eastAsia="cs-CZ"/>
        </w:rPr>
        <w:t>Splnění účelu a realizace projektu</w:t>
      </w:r>
    </w:p>
    <w:p w:rsidRPr="00737D68" w:rsidR="00737D68" w:rsidP="00737D68" w:rsidRDefault="00737D68" w14:paraId="061AD9D7" w14:textId="77777777">
      <w:pPr>
        <w:numPr>
          <w:ilvl w:val="1"/>
          <w:numId w:val="15"/>
        </w:numPr>
        <w:spacing w:after="0" w:line="240" w:lineRule="auto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 xml:space="preserve">Příjemce je povinen splnit účel dotace uvedený v části I. bodě 3 tohoto Rozhodnutí. </w:t>
      </w:r>
    </w:p>
    <w:p w:rsidRPr="00737D68" w:rsidR="00737D68" w:rsidP="00737D68" w:rsidRDefault="00737D68" w14:paraId="4F23B112" w14:textId="77777777">
      <w:pPr>
        <w:numPr>
          <w:ilvl w:val="1"/>
          <w:numId w:val="15"/>
        </w:numPr>
        <w:spacing w:after="0" w:line="240" w:lineRule="auto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>Příjemce je povinen realizovat projekt v souladu s Informací o projektu, která tvoří přílohu č. 1 tohoto Rozhodnutí, není-li v Rozhodnutí uvedeno jinak, a to ve znění jejích případných změn, k jejichž provedení je příjemce oprávněn dle Pravidel OPZ, anebo ve znění změn, které poskytovatel dle Pravidel OPZ schválil.</w:t>
      </w:r>
    </w:p>
    <w:p w:rsidRPr="00737D68" w:rsidR="00737D68" w:rsidP="00737D68" w:rsidRDefault="00737D68" w14:paraId="274CE093" w14:textId="77777777">
      <w:pPr>
        <w:keepNext/>
        <w:numPr>
          <w:ilvl w:val="0"/>
          <w:numId w:val="15"/>
        </w:numPr>
        <w:spacing w:before="240" w:after="120" w:line="240" w:lineRule="auto"/>
        <w:ind w:left="357" w:hanging="357"/>
        <w:jc w:val="both"/>
        <w:rPr>
          <w:rFonts w:ascii="Arial" w:hAnsi="Arial" w:eastAsia="Times New Roman" w:cs="Arial"/>
          <w:b/>
          <w:bCs/>
          <w:lang w:eastAsia="cs-CZ"/>
        </w:rPr>
      </w:pPr>
      <w:r w:rsidRPr="00737D68">
        <w:rPr>
          <w:rFonts w:ascii="Arial" w:hAnsi="Arial" w:eastAsia="Times New Roman" w:cs="Arial"/>
          <w:b/>
          <w:bCs/>
          <w:lang w:eastAsia="cs-CZ"/>
        </w:rPr>
        <w:t>Způsobilé výdaje</w:t>
      </w:r>
    </w:p>
    <w:p w:rsidRPr="00737D68" w:rsidR="00737D68" w:rsidP="00737D68" w:rsidRDefault="00737D68" w14:paraId="4B50237F" w14:textId="77777777">
      <w:pPr>
        <w:keepNext/>
        <w:numPr>
          <w:ilvl w:val="1"/>
          <w:numId w:val="15"/>
        </w:numPr>
        <w:spacing w:after="0" w:line="240" w:lineRule="auto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>Dotace je určena na úhradu způsobilých výdajů, které poskytovatel stanovil jakožto paušální na základě jednotkových nákladů v návaznosti na § 14 odst. 6 písm. b) rozpočtových pravidel.</w:t>
      </w:r>
    </w:p>
    <w:p w:rsidRPr="00737D68" w:rsidR="00737D68" w:rsidP="00737D68" w:rsidRDefault="00737D68" w14:paraId="5C6E8C89" w14:textId="77777777">
      <w:pPr>
        <w:keepNext/>
        <w:numPr>
          <w:ilvl w:val="1"/>
          <w:numId w:val="15"/>
        </w:numPr>
        <w:spacing w:after="120" w:line="240" w:lineRule="auto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>Výdaje mohou být považovány za způsobilé pouze tehdy, pokud příjemce doloží v souladu s Pravidly OPZ dosažení jednotek, k nimž byly poskytovatelem stanoveny jednotkové náklady.</w:t>
      </w:r>
    </w:p>
    <w:tbl>
      <w:tblPr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2127"/>
        <w:gridCol w:w="5103"/>
        <w:gridCol w:w="1842"/>
      </w:tblGrid>
      <w:tr w:rsidRPr="00737D68" w:rsidR="00737D68" w:rsidTr="00945A28" w14:paraId="5620218C" w14:textId="77777777">
        <w:trPr>
          <w:tblHeader/>
        </w:trPr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Pr="00737D68" w:rsidR="00737D68" w:rsidP="00737D68" w:rsidRDefault="00737D68" w14:paraId="181255F7" w14:textId="77777777">
            <w:pPr>
              <w:spacing w:before="60" w:after="6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cs-CZ"/>
              </w:rPr>
            </w:pPr>
            <w:r w:rsidRPr="00737D68">
              <w:rPr>
                <w:rFonts w:ascii="Arial" w:hAnsi="Arial" w:eastAsia="Times New Roman" w:cs="Arial"/>
                <w:b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  <w:vAlign w:val="center"/>
          </w:tcPr>
          <w:p w:rsidRPr="00737D68" w:rsidR="00737D68" w:rsidP="00737D68" w:rsidRDefault="00737D68" w14:paraId="12789151" w14:textId="77777777">
            <w:pPr>
              <w:spacing w:before="60" w:after="60" w:line="240" w:lineRule="auto"/>
              <w:jc w:val="both"/>
              <w:rPr>
                <w:rFonts w:ascii="Arial" w:hAnsi="Arial" w:eastAsia="Times New Roman" w:cs="Arial"/>
                <w:b/>
                <w:sz w:val="20"/>
                <w:szCs w:val="20"/>
                <w:lang w:eastAsia="cs-CZ"/>
              </w:rPr>
            </w:pPr>
            <w:r w:rsidRPr="00737D68">
              <w:rPr>
                <w:rFonts w:ascii="Arial" w:hAnsi="Arial" w:eastAsia="Times New Roman" w:cs="Arial"/>
                <w:b/>
                <w:sz w:val="20"/>
                <w:szCs w:val="20"/>
                <w:lang w:eastAsia="cs-CZ"/>
              </w:rPr>
              <w:t>Definice jednotky</w:t>
            </w:r>
          </w:p>
        </w:tc>
        <w:tc>
          <w:tcPr>
            <w:tcW w:w="1842" w:type="dxa"/>
            <w:vAlign w:val="center"/>
          </w:tcPr>
          <w:p w:rsidRPr="00737D68" w:rsidR="00737D68" w:rsidP="00737D68" w:rsidRDefault="00737D68" w14:paraId="366B86D3" w14:textId="77777777">
            <w:pPr>
              <w:spacing w:before="60" w:after="60" w:line="240" w:lineRule="auto"/>
              <w:jc w:val="both"/>
              <w:rPr>
                <w:rFonts w:ascii="Arial" w:hAnsi="Arial" w:eastAsia="Times New Roman" w:cs="Arial"/>
                <w:b/>
                <w:sz w:val="20"/>
                <w:szCs w:val="20"/>
                <w:lang w:eastAsia="cs-CZ"/>
              </w:rPr>
            </w:pPr>
            <w:r w:rsidRPr="00737D68">
              <w:rPr>
                <w:rFonts w:ascii="Arial" w:hAnsi="Arial" w:eastAsia="Times New Roman" w:cs="Arial"/>
                <w:b/>
                <w:sz w:val="20"/>
                <w:szCs w:val="20"/>
                <w:lang w:eastAsia="cs-CZ"/>
              </w:rPr>
              <w:t>Jednotkový náklad (v Kč)</w:t>
            </w:r>
          </w:p>
        </w:tc>
      </w:tr>
      <w:tr w:rsidRPr="00737D68" w:rsidR="00737D68" w:rsidTr="00945A28" w14:paraId="0958E75D" w14:textId="77777777"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Pr="00737D68" w:rsidR="00737D68" w:rsidP="00737D68" w:rsidRDefault="00737D68" w14:paraId="29B3C9FC" w14:textId="77777777">
            <w:pPr>
              <w:spacing w:before="60" w:after="60" w:line="240" w:lineRule="auto"/>
              <w:jc w:val="both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5103" w:type="dxa"/>
            <w:tcMar>
              <w:top w:w="28" w:type="dxa"/>
              <w:bottom w:w="28" w:type="dxa"/>
            </w:tcMar>
            <w:vAlign w:val="center"/>
          </w:tcPr>
          <w:p w:rsidRPr="00737D68" w:rsidR="00737D68" w:rsidP="00737D68" w:rsidRDefault="00737D68" w14:paraId="71587F04" w14:textId="77777777">
            <w:pPr>
              <w:spacing w:before="60" w:after="60" w:line="240" w:lineRule="auto"/>
              <w:jc w:val="both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vAlign w:val="center"/>
          </w:tcPr>
          <w:p w:rsidRPr="00737D68" w:rsidR="00737D68" w:rsidP="00737D68" w:rsidRDefault="00737D68" w14:paraId="6B0DBEAD" w14:textId="77777777">
            <w:pPr>
              <w:spacing w:before="60" w:after="60" w:line="240" w:lineRule="auto"/>
              <w:jc w:val="both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</w:tr>
      <w:tr w:rsidRPr="00737D68" w:rsidR="00737D68" w:rsidTr="00945A28" w14:paraId="252609F4" w14:textId="77777777"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Pr="00737D68" w:rsidR="00737D68" w:rsidP="00737D68" w:rsidRDefault="00737D68" w14:paraId="32B09FA5" w14:textId="77777777">
            <w:pPr>
              <w:spacing w:before="60" w:after="60" w:line="240" w:lineRule="auto"/>
              <w:jc w:val="both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5103" w:type="dxa"/>
            <w:tcMar>
              <w:top w:w="28" w:type="dxa"/>
              <w:bottom w:w="28" w:type="dxa"/>
            </w:tcMar>
            <w:vAlign w:val="center"/>
          </w:tcPr>
          <w:p w:rsidRPr="00737D68" w:rsidR="00737D68" w:rsidP="00737D68" w:rsidRDefault="00737D68" w14:paraId="3CE95402" w14:textId="77777777">
            <w:pPr>
              <w:spacing w:before="60" w:after="60" w:line="240" w:lineRule="auto"/>
              <w:jc w:val="both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vAlign w:val="center"/>
          </w:tcPr>
          <w:p w:rsidRPr="00737D68" w:rsidR="00737D68" w:rsidP="00737D68" w:rsidRDefault="00737D68" w14:paraId="5E48AD1D" w14:textId="77777777">
            <w:pPr>
              <w:spacing w:before="60" w:after="60" w:line="240" w:lineRule="auto"/>
              <w:jc w:val="both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</w:tr>
      <w:tr w:rsidRPr="00737D68" w:rsidR="00737D68" w:rsidTr="00945A28" w14:paraId="61073C0F" w14:textId="77777777"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Pr="00737D68" w:rsidR="00737D68" w:rsidP="00737D68" w:rsidRDefault="00737D68" w14:paraId="3F589601" w14:textId="77777777">
            <w:pPr>
              <w:spacing w:before="60" w:after="60" w:line="240" w:lineRule="auto"/>
              <w:jc w:val="both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5103" w:type="dxa"/>
            <w:tcMar>
              <w:top w:w="28" w:type="dxa"/>
              <w:bottom w:w="28" w:type="dxa"/>
            </w:tcMar>
            <w:vAlign w:val="center"/>
          </w:tcPr>
          <w:p w:rsidRPr="00737D68" w:rsidR="00737D68" w:rsidP="00737D68" w:rsidRDefault="00737D68" w14:paraId="447F7F54" w14:textId="77777777">
            <w:pPr>
              <w:spacing w:before="60" w:after="60" w:line="240" w:lineRule="auto"/>
              <w:jc w:val="both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vAlign w:val="center"/>
          </w:tcPr>
          <w:p w:rsidRPr="00737D68" w:rsidR="00737D68" w:rsidP="00737D68" w:rsidRDefault="00737D68" w14:paraId="6A44809F" w14:textId="77777777">
            <w:pPr>
              <w:spacing w:before="60" w:after="60" w:line="240" w:lineRule="auto"/>
              <w:jc w:val="both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</w:tr>
      <w:tr w:rsidRPr="00737D68" w:rsidR="00737D68" w:rsidTr="00945A28" w14:paraId="2A119D75" w14:textId="77777777"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Pr="00737D68" w:rsidR="00737D68" w:rsidP="00737D68" w:rsidRDefault="00737D68" w14:paraId="6D9805A8" w14:textId="77777777">
            <w:pPr>
              <w:spacing w:before="60" w:after="60" w:line="240" w:lineRule="auto"/>
              <w:jc w:val="both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5103" w:type="dxa"/>
            <w:tcMar>
              <w:top w:w="28" w:type="dxa"/>
              <w:bottom w:w="28" w:type="dxa"/>
            </w:tcMar>
            <w:vAlign w:val="center"/>
          </w:tcPr>
          <w:p w:rsidRPr="00737D68" w:rsidR="00737D68" w:rsidP="00737D68" w:rsidRDefault="00737D68" w14:paraId="7C1DE1AF" w14:textId="77777777">
            <w:pPr>
              <w:spacing w:before="60" w:after="60" w:line="240" w:lineRule="auto"/>
              <w:jc w:val="both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vAlign w:val="center"/>
          </w:tcPr>
          <w:p w:rsidRPr="00737D68" w:rsidR="00737D68" w:rsidP="00737D68" w:rsidRDefault="00737D68" w14:paraId="2167E6E5" w14:textId="77777777">
            <w:pPr>
              <w:spacing w:before="60" w:after="60" w:line="240" w:lineRule="auto"/>
              <w:jc w:val="both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</w:tr>
      <w:tr w:rsidRPr="00737D68" w:rsidR="00737D68" w:rsidTr="00945A28" w14:paraId="780909F0" w14:textId="77777777">
        <w:tc>
          <w:tcPr>
            <w:tcW w:w="2127" w:type="dxa"/>
            <w:tcMar>
              <w:top w:w="28" w:type="dxa"/>
              <w:bottom w:w="28" w:type="dxa"/>
            </w:tcMar>
            <w:vAlign w:val="center"/>
          </w:tcPr>
          <w:p w:rsidRPr="00737D68" w:rsidR="00737D68" w:rsidP="00737D68" w:rsidRDefault="00737D68" w14:paraId="00D2692D" w14:textId="77777777">
            <w:pPr>
              <w:spacing w:before="60" w:after="60" w:line="240" w:lineRule="auto"/>
              <w:jc w:val="both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5103" w:type="dxa"/>
            <w:tcMar>
              <w:top w:w="28" w:type="dxa"/>
              <w:bottom w:w="28" w:type="dxa"/>
            </w:tcMar>
            <w:vAlign w:val="center"/>
          </w:tcPr>
          <w:p w:rsidRPr="00737D68" w:rsidR="00737D68" w:rsidP="00737D68" w:rsidRDefault="00737D68" w14:paraId="23198465" w14:textId="77777777">
            <w:pPr>
              <w:spacing w:before="60" w:after="60" w:line="240" w:lineRule="auto"/>
              <w:jc w:val="both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vAlign w:val="center"/>
          </w:tcPr>
          <w:p w:rsidRPr="00737D68" w:rsidR="00737D68" w:rsidP="00737D68" w:rsidRDefault="00737D68" w14:paraId="24F8CE24" w14:textId="77777777">
            <w:pPr>
              <w:spacing w:before="60" w:after="60" w:line="240" w:lineRule="auto"/>
              <w:jc w:val="both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</w:tr>
    </w:tbl>
    <w:p w:rsidRPr="00737D68" w:rsidR="00737D68" w:rsidP="00737D68" w:rsidRDefault="00737D68" w14:paraId="0DCF2FFE" w14:textId="77777777">
      <w:pPr>
        <w:numPr>
          <w:ilvl w:val="1"/>
          <w:numId w:val="15"/>
        </w:numPr>
        <w:spacing w:before="120" w:after="0" w:line="240" w:lineRule="auto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>Příjemce je povinen zajistit úhradu veškerých výdajů projektu, které nejsou kryty dotací, aby byl dodržen účel poskytnutí dotace na daný projekt.</w:t>
      </w:r>
    </w:p>
    <w:p w:rsidRPr="00737D68" w:rsidR="00737D68" w:rsidP="00737D68" w:rsidRDefault="00737D68" w14:paraId="6070DF70" w14:textId="77777777">
      <w:pPr>
        <w:numPr>
          <w:ilvl w:val="1"/>
          <w:numId w:val="15"/>
        </w:numPr>
        <w:spacing w:after="0" w:line="240" w:lineRule="auto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>Výši skutečně vzniklých výdajů projektu příjemce v souladu s § 14 odst. 6 písm. b) rozpočtových pravidel poskytovateli neprokazuje.</w:t>
      </w:r>
    </w:p>
    <w:p w:rsidRPr="00737D68" w:rsidR="00737D68" w:rsidP="00737D68" w:rsidRDefault="00737D68" w14:paraId="6538C66B" w14:textId="77777777">
      <w:pPr>
        <w:keepNext/>
        <w:numPr>
          <w:ilvl w:val="0"/>
          <w:numId w:val="15"/>
        </w:numPr>
        <w:spacing w:before="240" w:after="120" w:line="240" w:lineRule="auto"/>
        <w:ind w:left="357" w:hanging="357"/>
        <w:jc w:val="both"/>
        <w:rPr>
          <w:rFonts w:ascii="Arial" w:hAnsi="Arial" w:eastAsia="Times New Roman" w:cs="Arial"/>
          <w:b/>
          <w:bCs/>
          <w:lang w:eastAsia="cs-CZ"/>
        </w:rPr>
      </w:pPr>
      <w:r w:rsidRPr="00737D68">
        <w:rPr>
          <w:rFonts w:ascii="Arial" w:hAnsi="Arial" w:eastAsia="Times New Roman" w:cs="Arial"/>
          <w:b/>
          <w:bCs/>
          <w:lang w:eastAsia="cs-CZ"/>
        </w:rPr>
        <w:t xml:space="preserve">Udržitelnost projektu </w:t>
      </w:r>
    </w:p>
    <w:p w:rsidRPr="00737D68" w:rsidR="00737D68" w:rsidP="00737D68" w:rsidRDefault="00737D68" w14:paraId="4E20E4F1" w14:textId="77777777">
      <w:pPr>
        <w:keepNext/>
        <w:spacing w:after="220" w:line="240" w:lineRule="auto"/>
        <w:jc w:val="both"/>
        <w:rPr>
          <w:rFonts w:ascii="Arial" w:hAnsi="Arial" w:eastAsia="Arial" w:cs="Arial"/>
        </w:rPr>
      </w:pPr>
      <w:r w:rsidRPr="00737D68">
        <w:rPr>
          <w:rFonts w:ascii="Arial" w:hAnsi="Arial" w:eastAsia="Arial" w:cs="Arial"/>
        </w:rPr>
        <w:t>Vzhledem k parametrům projektu není článek 71 odst. 3 nařízení Evropského parlamentu a Rady (EU) č. 1303/2013 ze dne 17. prosince 2013 o společných ustanoveních o 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1083/2006, pro projekt relevantní.</w:t>
      </w:r>
    </w:p>
    <w:p w:rsidRPr="00737D68" w:rsidR="00737D68" w:rsidP="00737D68" w:rsidRDefault="00737D68" w14:paraId="5EFBC4DF" w14:textId="77777777">
      <w:pPr>
        <w:numPr>
          <w:ilvl w:val="0"/>
          <w:numId w:val="15"/>
        </w:numPr>
        <w:spacing w:before="240" w:after="120" w:line="240" w:lineRule="auto"/>
        <w:ind w:left="357" w:hanging="357"/>
        <w:jc w:val="both"/>
        <w:rPr>
          <w:rFonts w:ascii="Arial" w:hAnsi="Arial" w:eastAsia="Times New Roman" w:cs="Arial"/>
          <w:b/>
          <w:bCs/>
          <w:lang w:eastAsia="cs-CZ"/>
        </w:rPr>
      </w:pPr>
      <w:r w:rsidRPr="00737D68">
        <w:rPr>
          <w:rFonts w:ascii="Arial" w:hAnsi="Arial" w:eastAsia="Times New Roman" w:cs="Arial"/>
          <w:b/>
          <w:bCs/>
          <w:lang w:eastAsia="cs-CZ"/>
        </w:rPr>
        <w:t>Účetnictví a předávání dokumentace na vyžádání</w:t>
      </w:r>
    </w:p>
    <w:p w:rsidRPr="00737D68" w:rsidR="00737D68" w:rsidP="00737D68" w:rsidRDefault="00737D68" w14:paraId="7BBC783F" w14:textId="77777777">
      <w:pPr>
        <w:numPr>
          <w:ilvl w:val="1"/>
          <w:numId w:val="15"/>
        </w:numPr>
        <w:spacing w:after="0" w:line="240" w:lineRule="auto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>Příjemce je povinen řádně účtovat o příjmech, resp. výnosech v podobě prostředků, kterými partner či další subjekty nebo osoby zapojené do realizace projektů spolufinancují z vlastních zdrojů činnosti projektu. Příjemce je povinen vést účetnictví v souladu se zákonem č. 563/1991 Sb., o účetnictví, ve znění pozdějších předpisů, a vést výnosy s jednoznačnou vazbou na projekt, nebo je povinen vést pro projekt tzv. daňovou evidenci podle zákona č. 586/1992 Sb., o daních z příjmů, ve znění pozdějších předpisů, rozšířenou tak, aby příslušné doklady vztahující se k projektu splňovaly náležitosti účetního dokladu ve smyslu § 11 zákona č. 563/1991 Sb. (s výjimkou písm. f) zákona) a aby předmětné doklady byly správné, úplné, průkazné, srozumitelné, vedené v písemné formě chronologicky a způsobem zaručujícím jejich trvanlivost a aby uskutečněné příjmy byly vedeny s jednoznačnou vazbou na projekt.</w:t>
      </w:r>
    </w:p>
    <w:p w:rsidRPr="00737D68" w:rsidR="00737D68" w:rsidP="00737D68" w:rsidRDefault="00737D68" w14:paraId="085E15E8" w14:textId="77777777">
      <w:pPr>
        <w:numPr>
          <w:ilvl w:val="1"/>
          <w:numId w:val="15"/>
        </w:numPr>
        <w:spacing w:after="0" w:line="240" w:lineRule="auto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>Příjemce je povinen předat ve lhůtě stanovené poskytovatelem poskytovateli na jeho vyžádání doklady vztahující se k projektu převedené do digitální podoby.</w:t>
      </w:r>
    </w:p>
    <w:p w:rsidRPr="00737D68" w:rsidR="00737D68" w:rsidP="00737D68" w:rsidRDefault="00737D68" w14:paraId="1C7B1311" w14:textId="77777777">
      <w:pPr>
        <w:numPr>
          <w:ilvl w:val="0"/>
          <w:numId w:val="15"/>
        </w:numPr>
        <w:spacing w:before="240" w:after="120" w:line="240" w:lineRule="auto"/>
        <w:ind w:left="357" w:hanging="357"/>
        <w:jc w:val="both"/>
        <w:rPr>
          <w:rFonts w:ascii="Arial" w:hAnsi="Arial" w:eastAsia="Times New Roman" w:cs="Arial"/>
          <w:b/>
          <w:bCs/>
          <w:lang w:eastAsia="cs-CZ"/>
        </w:rPr>
      </w:pPr>
      <w:r w:rsidRPr="00737D68">
        <w:rPr>
          <w:rFonts w:ascii="Arial" w:hAnsi="Arial" w:eastAsia="Times New Roman" w:cs="Arial"/>
          <w:b/>
          <w:bCs/>
          <w:lang w:eastAsia="cs-CZ"/>
        </w:rPr>
        <w:t xml:space="preserve">Zakázky </w:t>
      </w:r>
    </w:p>
    <w:p w:rsidRPr="00737D68" w:rsidR="00737D68" w:rsidP="00737D68" w:rsidRDefault="00737D68" w14:paraId="389725FA" w14:textId="77777777">
      <w:pPr>
        <w:spacing w:after="0" w:line="240" w:lineRule="auto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>Při zadávání zakázek v rámci realizace projektu je příjemce povinen postupovat v souladu s pravidly pro zadávání zakázek, jež jsou stanovena v Obecné části pravidel pro žadatele a příjemce v rámci OPZ.</w:t>
      </w:r>
    </w:p>
    <w:p w:rsidRPr="00737D68" w:rsidR="00737D68" w:rsidP="00737D68" w:rsidRDefault="00737D68" w14:paraId="1998C782" w14:textId="77777777">
      <w:pPr>
        <w:keepNext/>
        <w:numPr>
          <w:ilvl w:val="0"/>
          <w:numId w:val="15"/>
        </w:numPr>
        <w:spacing w:before="240" w:after="120" w:line="240" w:lineRule="auto"/>
        <w:ind w:left="357" w:hanging="357"/>
        <w:jc w:val="both"/>
        <w:rPr>
          <w:rFonts w:ascii="Arial" w:hAnsi="Arial" w:eastAsia="Times New Roman" w:cs="Arial"/>
          <w:b/>
          <w:bCs/>
          <w:lang w:eastAsia="cs-CZ"/>
        </w:rPr>
      </w:pPr>
      <w:r w:rsidRPr="00737D68">
        <w:rPr>
          <w:rFonts w:ascii="Arial" w:hAnsi="Arial" w:eastAsia="Times New Roman" w:cs="Arial"/>
          <w:b/>
          <w:bCs/>
          <w:lang w:eastAsia="cs-CZ"/>
        </w:rPr>
        <w:t>Plnění politik Evropské unie</w:t>
      </w:r>
    </w:p>
    <w:p w:rsidRPr="00737D68" w:rsidR="00737D68" w:rsidP="00737D68" w:rsidRDefault="00737D68" w14:paraId="152A77FB" w14:textId="77777777">
      <w:pPr>
        <w:spacing w:after="0" w:line="240" w:lineRule="auto"/>
        <w:jc w:val="both"/>
        <w:rPr>
          <w:rFonts w:ascii="Arial" w:hAnsi="Arial" w:eastAsia="Times New Roman" w:cs="Arial"/>
          <w:szCs w:val="24"/>
          <w:lang w:eastAsia="cs-CZ"/>
        </w:rPr>
      </w:pPr>
      <w:r w:rsidRPr="00737D68">
        <w:rPr>
          <w:rFonts w:ascii="Arial" w:hAnsi="Arial" w:eastAsia="Times New Roman" w:cs="Arial"/>
          <w:szCs w:val="24"/>
          <w:lang w:eastAsia="cs-CZ"/>
        </w:rPr>
        <w:t xml:space="preserve">Při realizaci projektu je příjemce povinen dodržovat politiky Evropské unie, zejména pravidla hospodářské soutěže a veřejné podpory, principy udržitelného rozvoje a prosazování rovných příležitostí. </w:t>
      </w:r>
    </w:p>
    <w:p w:rsidRPr="00737D68" w:rsidR="00737D68" w:rsidP="00737D68" w:rsidRDefault="00737D68" w14:paraId="1949A30A" w14:textId="77777777">
      <w:pPr>
        <w:numPr>
          <w:ilvl w:val="0"/>
          <w:numId w:val="15"/>
        </w:numPr>
        <w:spacing w:before="240" w:after="120" w:line="240" w:lineRule="auto"/>
        <w:ind w:left="357" w:hanging="357"/>
        <w:jc w:val="both"/>
        <w:rPr>
          <w:rFonts w:ascii="Arial" w:hAnsi="Arial" w:eastAsia="Times New Roman" w:cs="Arial"/>
          <w:b/>
          <w:bCs/>
          <w:lang w:eastAsia="cs-CZ"/>
        </w:rPr>
      </w:pPr>
      <w:r w:rsidRPr="00737D68">
        <w:rPr>
          <w:rFonts w:ascii="Arial" w:hAnsi="Arial" w:eastAsia="Times New Roman" w:cs="Arial"/>
          <w:b/>
          <w:bCs/>
          <w:lang w:eastAsia="cs-CZ"/>
        </w:rPr>
        <w:t xml:space="preserve">Kontrola </w:t>
      </w:r>
    </w:p>
    <w:p w:rsidRPr="00737D68" w:rsidR="00737D68" w:rsidP="00737D68" w:rsidRDefault="00737D68" w14:paraId="39007BB8" w14:textId="77777777">
      <w:pPr>
        <w:spacing w:after="240" w:line="240" w:lineRule="auto"/>
        <w:jc w:val="both"/>
        <w:rPr>
          <w:rFonts w:ascii="Arial" w:hAnsi="Arial" w:eastAsia="Arial" w:cs="Arial"/>
        </w:rPr>
      </w:pPr>
      <w:r w:rsidRPr="00737D68">
        <w:rPr>
          <w:rFonts w:ascii="Arial" w:hAnsi="Arial" w:eastAsia="Arial" w:cs="Arial"/>
        </w:rPr>
        <w:t>Příjemce je povinen za účelem ověření plnění povinností vyplývajících z tohoto Rozhodnutí vytvořit podmínky k provedení kontroly vztahující se k realizaci projektu, poskytnout oprávněným osobám veškeré doklady vážící se k realizaci projektu, umožnit průběžné ověřování souladu údajů o realizaci projektu uváděných ve zprávách o realizaci projektu se skutečným stavem v místě jeho realizace a poskytnout součinnost všem osobám oprávněným k provádění kontroly. Těmito oprávněnými osobami jsou poskytovatel (Řídicí orgán), orgány finanční správy, Ministerstvo financí, Nejvyšší kontrolní úřad, Evropská komise a Evropský účetní dvůr, případně další orgány oprávněné k výkonu kontroly.</w:t>
      </w:r>
    </w:p>
    <w:p w:rsidRPr="00737D68" w:rsidR="00737D68" w:rsidP="00737D68" w:rsidRDefault="00737D68" w14:paraId="62970773" w14:textId="77777777">
      <w:pPr>
        <w:numPr>
          <w:ilvl w:val="0"/>
          <w:numId w:val="15"/>
        </w:numPr>
        <w:spacing w:before="240" w:after="120" w:line="240" w:lineRule="auto"/>
        <w:ind w:left="357" w:hanging="357"/>
        <w:jc w:val="both"/>
        <w:rPr>
          <w:rFonts w:ascii="Arial" w:hAnsi="Arial" w:eastAsia="Times New Roman" w:cs="Arial"/>
          <w:b/>
          <w:bCs/>
          <w:lang w:eastAsia="cs-CZ"/>
        </w:rPr>
      </w:pPr>
      <w:r w:rsidRPr="00737D68">
        <w:rPr>
          <w:rFonts w:ascii="Arial" w:hAnsi="Arial" w:eastAsia="Times New Roman" w:cs="Arial"/>
          <w:b/>
          <w:bCs/>
          <w:lang w:eastAsia="cs-CZ"/>
        </w:rPr>
        <w:t>Informační a komunikační opatření</w:t>
      </w:r>
    </w:p>
    <w:p w:rsidRPr="00737D68" w:rsidR="00737D68" w:rsidP="00737D68" w:rsidRDefault="00737D68" w14:paraId="5705BD2A" w14:textId="77777777">
      <w:pPr>
        <w:numPr>
          <w:ilvl w:val="1"/>
          <w:numId w:val="15"/>
        </w:numPr>
        <w:spacing w:after="0" w:line="240" w:lineRule="auto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>Příjemce je povinen provádět informační a komunikační opatření projektu v souladu s Pravidly OPZ.</w:t>
      </w:r>
    </w:p>
    <w:p w:rsidRPr="00737D68" w:rsidR="00737D68" w:rsidP="00737D68" w:rsidRDefault="00737D68" w14:paraId="1236CDCD" w14:textId="77777777">
      <w:pPr>
        <w:numPr>
          <w:ilvl w:val="1"/>
          <w:numId w:val="15"/>
        </w:numPr>
        <w:spacing w:after="0" w:line="240" w:lineRule="auto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 xml:space="preserve">Příjemce je povinen zajistit nápravu nedostatků týkajících se provádění informačních a komunikačních opatření projektu ve výzvě k provedení této nápravy, kterou příjemci adresuje poskytovatel. </w:t>
      </w:r>
    </w:p>
    <w:p w:rsidRPr="00737D68" w:rsidR="00737D68" w:rsidP="00737D68" w:rsidRDefault="00737D68" w14:paraId="5B81E745" w14:textId="77777777">
      <w:pPr>
        <w:keepNext/>
        <w:numPr>
          <w:ilvl w:val="0"/>
          <w:numId w:val="15"/>
        </w:numPr>
        <w:spacing w:before="240" w:after="120" w:line="240" w:lineRule="auto"/>
        <w:ind w:left="357" w:hanging="357"/>
        <w:jc w:val="both"/>
        <w:rPr>
          <w:rFonts w:ascii="Arial" w:hAnsi="Arial" w:eastAsia="Times New Roman" w:cs="Arial"/>
          <w:b/>
          <w:bCs/>
          <w:lang w:eastAsia="cs-CZ"/>
        </w:rPr>
      </w:pPr>
      <w:r w:rsidRPr="00737D68">
        <w:rPr>
          <w:rFonts w:ascii="Arial" w:hAnsi="Arial" w:eastAsia="Times New Roman" w:cs="Arial"/>
          <w:b/>
          <w:bCs/>
          <w:lang w:eastAsia="cs-CZ"/>
        </w:rPr>
        <w:t xml:space="preserve">Poskytování údajů o realizaci projektu </w:t>
      </w:r>
    </w:p>
    <w:p w:rsidRPr="00737D68" w:rsidR="00737D68" w:rsidP="00737D68" w:rsidRDefault="00737D68" w14:paraId="21922BF1" w14:textId="77777777">
      <w:pPr>
        <w:keepNext/>
        <w:spacing w:after="240" w:line="240" w:lineRule="auto"/>
        <w:jc w:val="both"/>
        <w:rPr>
          <w:rFonts w:ascii="Arial" w:hAnsi="Arial" w:eastAsia="Arial" w:cs="Arial"/>
        </w:rPr>
      </w:pPr>
      <w:r w:rsidRPr="00737D68">
        <w:rPr>
          <w:rFonts w:ascii="Arial" w:hAnsi="Arial" w:eastAsia="Arial" w:cs="Arial"/>
        </w:rPr>
        <w:t>Příjemce je povinen na základě žádosti poskytovatele nebo Ministerstva financí poskytnout těmto písemně jakékoliv doplňující informace související s realizací projektu, a to ve lhůtě stanovené poskytovatelem, resp. Ministerstvem financí.</w:t>
      </w:r>
    </w:p>
    <w:p w:rsidRPr="00737D68" w:rsidR="00737D68" w:rsidP="00737D68" w:rsidRDefault="00737D68" w14:paraId="7FAC8946" w14:textId="77777777">
      <w:pPr>
        <w:keepNext/>
        <w:numPr>
          <w:ilvl w:val="0"/>
          <w:numId w:val="15"/>
        </w:numPr>
        <w:spacing w:before="240" w:after="120" w:line="240" w:lineRule="auto"/>
        <w:ind w:left="357" w:hanging="357"/>
        <w:jc w:val="both"/>
        <w:rPr>
          <w:rFonts w:ascii="Arial" w:hAnsi="Arial" w:eastAsia="Times New Roman" w:cs="Arial"/>
          <w:b/>
          <w:bCs/>
          <w:lang w:eastAsia="cs-CZ"/>
        </w:rPr>
      </w:pPr>
      <w:r w:rsidRPr="00737D68">
        <w:rPr>
          <w:rFonts w:ascii="Arial" w:hAnsi="Arial" w:eastAsia="Times New Roman" w:cs="Arial"/>
          <w:b/>
          <w:bCs/>
          <w:lang w:eastAsia="cs-CZ"/>
        </w:rPr>
        <w:t>Oznamovací povinnost</w:t>
      </w:r>
    </w:p>
    <w:p w:rsidRPr="00737D68" w:rsidR="00737D68" w:rsidP="00737D68" w:rsidRDefault="00737D68" w14:paraId="191B42A2" w14:textId="77777777">
      <w:pPr>
        <w:keepNext/>
        <w:numPr>
          <w:ilvl w:val="1"/>
          <w:numId w:val="15"/>
        </w:numPr>
        <w:spacing w:after="0" w:line="240" w:lineRule="auto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 xml:space="preserve">Příjemce je povinen poskytovatele informovat o zahájeném insolvenčním řízení, a to do 5 dnů od uveřejnění vyhlášky o insolvenčním návrhu na portálu </w:t>
      </w:r>
      <w:r w:rsidRPr="00737D68">
        <w:rPr>
          <w:rFonts w:ascii="Arial" w:hAnsi="Arial" w:eastAsia="Times New Roman" w:cs="Arial"/>
          <w:sz w:val="24"/>
          <w:szCs w:val="24"/>
          <w:lang w:eastAsia="cs-CZ"/>
        </w:rPr>
        <w:t xml:space="preserve"> </w:t>
      </w:r>
      <w:hyperlink w:history="true" r:id="rId12">
        <w:r w:rsidRPr="00737D68">
          <w:rPr>
            <w:rFonts w:ascii="Arial" w:hAnsi="Arial" w:eastAsia="Times New Roman" w:cs="Arial"/>
            <w:color w:val="084A8B"/>
            <w:u w:val="single"/>
            <w:lang w:eastAsia="cs-CZ"/>
          </w:rPr>
          <w:t>https://isir.justice.cz</w:t>
        </w:r>
      </w:hyperlink>
      <w:r w:rsidRPr="00737D68">
        <w:rPr>
          <w:rFonts w:ascii="Arial" w:hAnsi="Arial" w:eastAsia="Times New Roman" w:cs="Arial"/>
          <w:lang w:eastAsia="cs-CZ"/>
        </w:rPr>
        <w:t xml:space="preserve">. Příjemce je dále povinen informovat poskytovatele o vstupu příjemce do likvidace, a to do 5 dnů od uveřejnění výzvy likvidátora k přihlášení pohledávek uveřejněné na portálu </w:t>
      </w:r>
      <w:hyperlink w:history="true" r:id="rId13">
        <w:r w:rsidRPr="00737D68">
          <w:rPr>
            <w:rFonts w:ascii="Arial" w:hAnsi="Arial" w:eastAsia="Times New Roman" w:cs="Arial"/>
            <w:color w:val="084A8B"/>
            <w:szCs w:val="24"/>
            <w:u w:val="single"/>
            <w:lang w:eastAsia="cs-CZ"/>
          </w:rPr>
          <w:t>http://ov.gov.cz</w:t>
        </w:r>
      </w:hyperlink>
      <w:r w:rsidRPr="00737D68">
        <w:rPr>
          <w:rFonts w:ascii="Arial" w:hAnsi="Arial" w:eastAsia="Times New Roman" w:cs="Arial"/>
          <w:lang w:eastAsia="cs-CZ"/>
        </w:rPr>
        <w:t>.</w:t>
      </w:r>
    </w:p>
    <w:p w:rsidRPr="00737D68" w:rsidR="00737D68" w:rsidP="00737D68" w:rsidRDefault="00737D68" w14:paraId="45D81299" w14:textId="77777777">
      <w:pPr>
        <w:numPr>
          <w:ilvl w:val="1"/>
          <w:numId w:val="15"/>
        </w:numPr>
        <w:spacing w:after="0" w:line="240" w:lineRule="auto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>Příjemce je povinen dodržet Pravidla OPZ upravující oznamování změn týkajících se projektu.</w:t>
      </w:r>
    </w:p>
    <w:p w:rsidRPr="00737D68" w:rsidR="00737D68" w:rsidP="00737D68" w:rsidRDefault="00737D68" w14:paraId="0D4E57F1" w14:textId="77777777">
      <w:pPr>
        <w:numPr>
          <w:ilvl w:val="0"/>
          <w:numId w:val="15"/>
        </w:numPr>
        <w:spacing w:before="240" w:after="120" w:line="240" w:lineRule="auto"/>
        <w:ind w:left="357" w:hanging="357"/>
        <w:jc w:val="both"/>
        <w:rPr>
          <w:rFonts w:ascii="Arial" w:hAnsi="Arial" w:eastAsia="Times New Roman" w:cs="Arial"/>
          <w:b/>
          <w:bCs/>
          <w:lang w:eastAsia="cs-CZ"/>
        </w:rPr>
      </w:pPr>
      <w:r w:rsidRPr="00737D68">
        <w:rPr>
          <w:rFonts w:ascii="Arial" w:hAnsi="Arial" w:eastAsia="Times New Roman" w:cs="Arial"/>
          <w:b/>
          <w:bCs/>
          <w:lang w:eastAsia="cs-CZ"/>
        </w:rPr>
        <w:t>Zákaz čerpání jiných podpor</w:t>
      </w:r>
    </w:p>
    <w:p w:rsidRPr="00737D68" w:rsidR="00737D68" w:rsidP="00737D68" w:rsidRDefault="00737D68" w14:paraId="119082A8" w14:textId="77777777">
      <w:pPr>
        <w:spacing w:after="240" w:line="240" w:lineRule="auto"/>
        <w:jc w:val="both"/>
        <w:rPr>
          <w:rFonts w:ascii="Arial" w:hAnsi="Arial" w:eastAsia="Arial" w:cs="Arial"/>
        </w:rPr>
      </w:pPr>
      <w:r w:rsidRPr="00737D68">
        <w:rPr>
          <w:rFonts w:ascii="Arial" w:hAnsi="Arial" w:eastAsia="Arial" w:cs="Arial"/>
        </w:rPr>
        <w:t xml:space="preserve">Příjemce není oprávněn čerpat na výdaje projektu, na které je poskytována dotace dle části I. bodu 2.1, jiné finanční prostředky z rozpočtových kapitol státního rozpočtu ČR, státních fondů, z rozpočtů obcí, měst a krajů, strukturálních fondů nebo jiných prostředků EU, než jsou prostředky uvedené v čl. I bodě 2.1 tohoto Rozhodnutí. V případě, že do projektu jsou zařazeny jen výdaje na pořízení či zajištění části určitého celku, pravidlo z předchozí věty se vztahuje jen na tu část výdajů, na kterou je poskytována dotace. </w:t>
      </w:r>
    </w:p>
    <w:p w:rsidRPr="00737D68" w:rsidR="00737D68" w:rsidP="00737D68" w:rsidRDefault="00737D68" w14:paraId="6FF13328" w14:textId="77777777">
      <w:pPr>
        <w:numPr>
          <w:ilvl w:val="0"/>
          <w:numId w:val="15"/>
        </w:numPr>
        <w:spacing w:before="240" w:after="120" w:line="240" w:lineRule="auto"/>
        <w:ind w:left="357" w:hanging="357"/>
        <w:jc w:val="both"/>
        <w:rPr>
          <w:rFonts w:ascii="Arial" w:hAnsi="Arial" w:eastAsia="Times New Roman" w:cs="Arial"/>
          <w:b/>
          <w:bCs/>
          <w:lang w:eastAsia="cs-CZ"/>
        </w:rPr>
      </w:pPr>
      <w:r w:rsidRPr="00737D68">
        <w:rPr>
          <w:rFonts w:ascii="Arial" w:hAnsi="Arial" w:eastAsia="Times New Roman" w:cs="Arial"/>
          <w:b/>
          <w:bCs/>
          <w:lang w:eastAsia="cs-CZ"/>
        </w:rPr>
        <w:t>Vypořádání projektu</w:t>
      </w:r>
    </w:p>
    <w:p w:rsidRPr="00737D68" w:rsidR="00737D68" w:rsidP="00737D68" w:rsidRDefault="00737D68" w14:paraId="1344745A" w14:textId="77777777">
      <w:pPr>
        <w:spacing w:after="240" w:line="240" w:lineRule="auto"/>
        <w:jc w:val="both"/>
        <w:rPr>
          <w:rFonts w:ascii="Arial" w:hAnsi="Arial" w:eastAsia="Arial" w:cs="Arial"/>
        </w:rPr>
      </w:pPr>
      <w:r w:rsidRPr="00737D68">
        <w:rPr>
          <w:rFonts w:ascii="Arial" w:hAnsi="Arial" w:eastAsia="Arial" w:cs="Arial"/>
        </w:rPr>
        <w:t xml:space="preserve">Příjemce, jehož projekt je financován zálohově (v tzv. režimu ex ante), je povinen dotaci finančně vypořádat v souladu s rozpočtovými pravidly a </w:t>
      </w:r>
      <w:r w:rsidRPr="00737D68">
        <w:rPr>
          <w:rFonts w:ascii="Arial" w:hAnsi="Arial" w:eastAsia="Arial" w:cs="Times New Roman"/>
        </w:rPr>
        <w:t xml:space="preserve">aktuálně platnou </w:t>
      </w:r>
      <w:r w:rsidRPr="00737D68">
        <w:rPr>
          <w:rFonts w:ascii="Arial" w:hAnsi="Arial" w:eastAsia="Arial" w:cs="Arial"/>
        </w:rPr>
        <w:t>vyhláškou upravující zásady a lhůty finančního vypořádání vztahů se státním rozpočtem.</w:t>
      </w:r>
      <w:r w:rsidRPr="00737D68">
        <w:rPr>
          <w:rFonts w:ascii="Arial" w:hAnsi="Arial" w:eastAsia="Arial" w:cs="Arial"/>
          <w:vertAlign w:val="superscript"/>
        </w:rPr>
        <w:footnoteReference w:id="6"/>
      </w:r>
    </w:p>
    <w:p w:rsidRPr="00737D68" w:rsidR="00737D68" w:rsidP="00737D68" w:rsidRDefault="00737D68" w14:paraId="44306D0C" w14:textId="77777777">
      <w:pPr>
        <w:numPr>
          <w:ilvl w:val="0"/>
          <w:numId w:val="15"/>
        </w:numPr>
        <w:spacing w:before="240" w:after="120" w:line="240" w:lineRule="auto"/>
        <w:ind w:left="357" w:hanging="357"/>
        <w:jc w:val="both"/>
        <w:rPr>
          <w:rFonts w:ascii="Arial" w:hAnsi="Arial" w:eastAsia="Times New Roman" w:cs="Arial"/>
          <w:b/>
          <w:bCs/>
          <w:lang w:eastAsia="cs-CZ"/>
        </w:rPr>
      </w:pPr>
      <w:r w:rsidRPr="00737D68">
        <w:rPr>
          <w:rFonts w:ascii="Arial" w:hAnsi="Arial" w:eastAsia="Times New Roman" w:cs="Arial"/>
          <w:b/>
          <w:bCs/>
          <w:lang w:eastAsia="cs-CZ"/>
        </w:rPr>
        <w:t>Uchovávání dokumentů</w:t>
      </w:r>
    </w:p>
    <w:p w:rsidRPr="00737D68" w:rsidR="00737D68" w:rsidP="00737D68" w:rsidRDefault="00737D68" w14:paraId="10D442B9" w14:textId="77777777">
      <w:pPr>
        <w:spacing w:after="240" w:line="240" w:lineRule="auto"/>
        <w:jc w:val="both"/>
        <w:rPr>
          <w:rFonts w:ascii="Arial" w:hAnsi="Arial" w:eastAsia="Arial" w:cs="Arial"/>
        </w:rPr>
      </w:pPr>
      <w:r w:rsidRPr="00737D68">
        <w:rPr>
          <w:rFonts w:ascii="Arial" w:hAnsi="Arial" w:eastAsia="Arial" w:cs="Arial"/>
        </w:rPr>
        <w:t>Příjemce je povinen uchovat veškeré dokumenty související s realizací projektu v souladu s platnými právními předpisy ČR, zejména v souladu s § 44a odst. 11 rozpočtových pravidel</w:t>
      </w:r>
      <w:r w:rsidRPr="00737D68">
        <w:rPr>
          <w:rFonts w:ascii="Arial" w:hAnsi="Arial" w:eastAsia="Arial" w:cs="Arial"/>
          <w:vertAlign w:val="superscript"/>
        </w:rPr>
        <w:footnoteReference w:id="7"/>
      </w:r>
      <w:r w:rsidRPr="00737D68">
        <w:rPr>
          <w:rFonts w:ascii="Arial" w:hAnsi="Arial" w:eastAsia="Arial" w:cs="Arial"/>
        </w:rPr>
        <w:t xml:space="preserve"> a Pravidly OPZ.</w:t>
      </w:r>
    </w:p>
    <w:p w:rsidRPr="00737D68" w:rsidR="00737D68" w:rsidP="00737D68" w:rsidRDefault="00737D68" w14:paraId="3A10731F" w14:textId="77777777">
      <w:pPr>
        <w:numPr>
          <w:ilvl w:val="0"/>
          <w:numId w:val="15"/>
        </w:numPr>
        <w:spacing w:before="240" w:after="120" w:line="240" w:lineRule="auto"/>
        <w:ind w:left="357" w:hanging="357"/>
        <w:jc w:val="both"/>
        <w:rPr>
          <w:rFonts w:ascii="Arial" w:hAnsi="Arial" w:eastAsia="Times New Roman" w:cs="Arial"/>
          <w:b/>
          <w:bCs/>
          <w:lang w:eastAsia="cs-CZ"/>
        </w:rPr>
      </w:pPr>
      <w:r w:rsidRPr="00737D68">
        <w:rPr>
          <w:rFonts w:ascii="Arial" w:hAnsi="Arial" w:eastAsia="Times New Roman" w:cs="Arial"/>
          <w:b/>
          <w:bCs/>
          <w:lang w:eastAsia="cs-CZ"/>
        </w:rPr>
        <w:t xml:space="preserve">Péče o majetek </w:t>
      </w:r>
    </w:p>
    <w:p w:rsidRPr="00737D68" w:rsidR="00737D68" w:rsidP="00737D68" w:rsidRDefault="00737D68" w14:paraId="241D43C8" w14:textId="77777777">
      <w:pPr>
        <w:spacing w:after="240" w:line="240" w:lineRule="auto"/>
        <w:jc w:val="both"/>
        <w:rPr>
          <w:rFonts w:ascii="Arial" w:hAnsi="Arial" w:eastAsia="Arial" w:cs="Arial"/>
        </w:rPr>
      </w:pPr>
      <w:r w:rsidRPr="00737D68">
        <w:rPr>
          <w:rFonts w:ascii="Arial" w:hAnsi="Arial" w:eastAsia="Arial" w:cs="Arial"/>
        </w:rPr>
        <w:t>Příjemce je povinen po dobu realizace projektu zacházet s majetkem spolufinancovaným z dotace s péčí řádného hospodáře, zejména jej zabezpečit proti poškození, ztrátě nebo odcizení a nezatěžovat takový majetek žádnými věcnými právy třetích osob, včetně zástavního práva. Povinnost podle předchozí věty se netýká spotřebního materiálu.</w:t>
      </w:r>
    </w:p>
    <w:p w:rsidRPr="00737D68" w:rsidR="00737D68" w:rsidP="00737D68" w:rsidRDefault="00737D68" w14:paraId="11BE0921" w14:textId="77777777">
      <w:pPr>
        <w:numPr>
          <w:ilvl w:val="0"/>
          <w:numId w:val="15"/>
        </w:numPr>
        <w:spacing w:before="240" w:after="120" w:line="240" w:lineRule="auto"/>
        <w:ind w:left="357" w:hanging="357"/>
        <w:jc w:val="both"/>
        <w:rPr>
          <w:rFonts w:ascii="Arial" w:hAnsi="Arial" w:eastAsia="Times New Roman" w:cs="Arial"/>
          <w:b/>
          <w:bCs/>
          <w:lang w:eastAsia="cs-CZ"/>
        </w:rPr>
      </w:pPr>
      <w:r w:rsidRPr="00737D68">
        <w:rPr>
          <w:rFonts w:ascii="Arial" w:hAnsi="Arial" w:eastAsia="Times New Roman" w:cs="Arial"/>
          <w:b/>
          <w:bCs/>
          <w:lang w:eastAsia="cs-CZ"/>
        </w:rPr>
        <w:t>Práva duševního vlastnictví</w:t>
      </w:r>
    </w:p>
    <w:p w:rsidRPr="00737D68" w:rsidR="00737D68" w:rsidP="00737D68" w:rsidRDefault="00737D68" w14:paraId="4270F6AD" w14:textId="77777777">
      <w:pPr>
        <w:spacing w:after="240" w:line="240" w:lineRule="auto"/>
        <w:jc w:val="both"/>
        <w:rPr>
          <w:rFonts w:ascii="Arial" w:hAnsi="Arial" w:eastAsia="Arial" w:cs="Arial"/>
        </w:rPr>
      </w:pPr>
      <w:r w:rsidRPr="00737D68">
        <w:rPr>
          <w:rFonts w:ascii="Arial" w:hAnsi="Arial" w:eastAsia="Arial" w:cs="Arial"/>
        </w:rPr>
        <w:t>Příjemce je povinen poskytovateli poskytnout neomezenou bezplatnou licenci k užití práv duševního vlastnictví včetně možnosti zcela nebo zčásti poskytnout třetí osobě oprávnění tvořící součást licence, jestliže byly při vzniku práv duševního vlastnictví použity prostředky této dotace, a to bez zbytečného odkladu po vzniku takových práv. Pokud je držitelem takových práv duševního vlastnictví vzniklých na základě zakázky jiná osoba než příjemce, je příjemce povinen ve smlouvě uzavřené s dodavatelem zajistit pro poskytovatele neomezenou bezplatnou licenci k užití těchto práv včetně možnosti zcela nebo zčásti poskytnout třetí osobě oprávnění tvořící součást licence.</w:t>
      </w:r>
    </w:p>
    <w:p w:rsidRPr="00737D68" w:rsidR="00737D68" w:rsidP="00737D68" w:rsidRDefault="00737D68" w14:paraId="02B433D4" w14:textId="77777777">
      <w:pPr>
        <w:keepNext/>
        <w:numPr>
          <w:ilvl w:val="0"/>
          <w:numId w:val="15"/>
        </w:numPr>
        <w:spacing w:before="240" w:after="120" w:line="240" w:lineRule="auto"/>
        <w:ind w:left="357" w:hanging="357"/>
        <w:jc w:val="both"/>
        <w:rPr>
          <w:rFonts w:ascii="Arial" w:hAnsi="Arial" w:eastAsia="Times New Roman" w:cs="Arial"/>
          <w:b/>
          <w:bCs/>
          <w:lang w:eastAsia="cs-CZ"/>
        </w:rPr>
      </w:pPr>
      <w:r w:rsidRPr="00737D68">
        <w:rPr>
          <w:rFonts w:ascii="Arial" w:hAnsi="Arial" w:eastAsia="Times New Roman" w:cs="Arial"/>
          <w:b/>
          <w:bCs/>
          <w:lang w:eastAsia="cs-CZ"/>
        </w:rPr>
        <w:t>Partnerství</w:t>
      </w:r>
      <w:r w:rsidRPr="00737D68">
        <w:rPr>
          <w:rFonts w:ascii="Arial" w:hAnsi="Arial" w:eastAsia="Times New Roman" w:cs="Arial"/>
          <w:bCs/>
          <w:vertAlign w:val="superscript"/>
          <w:lang w:eastAsia="cs-CZ"/>
        </w:rPr>
        <w:footnoteReference w:id="8"/>
      </w:r>
    </w:p>
    <w:p w:rsidRPr="00737D68" w:rsidR="00737D68" w:rsidP="00737D68" w:rsidRDefault="00737D68" w14:paraId="5634EB7C" w14:textId="77777777">
      <w:pPr>
        <w:keepNext/>
        <w:numPr>
          <w:ilvl w:val="1"/>
          <w:numId w:val="15"/>
        </w:numPr>
        <w:spacing w:after="0" w:line="240" w:lineRule="auto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>Příjemce je povinen zajistit, aby vztahy mezi příjemcem a jeho partnery, jejichž seznam je součástí Informace o projektu v příloze č. 1 tohoto Rozhodnutí, po celou dobu realizace projektu odpovídaly podmínkám partnerství uvedeným v Pravidlech OPZ.</w:t>
      </w:r>
    </w:p>
    <w:p w:rsidRPr="00737D68" w:rsidR="00737D68" w:rsidP="00737D68" w:rsidRDefault="00737D68" w14:paraId="473AD8FA" w14:textId="77777777">
      <w:pPr>
        <w:numPr>
          <w:ilvl w:val="1"/>
          <w:numId w:val="15"/>
        </w:numPr>
        <w:spacing w:after="0" w:line="240" w:lineRule="auto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 xml:space="preserve">Příjemce je povinen uzavřít s partnery s finančním příspěvkem smlouvu, která vymezuje vzájemné vztahy a role jednotlivých partnerů s finančním příspěvkem v projektu. Smlouva podle předchozí věty může být nahrazena jednostranným písemným prohlášením partnera se stejným obsahem, </w:t>
      </w:r>
    </w:p>
    <w:p w:rsidRPr="00737D68" w:rsidR="00737D68" w:rsidP="00737D68" w:rsidRDefault="00737D68" w14:paraId="37A2D300" w14:textId="77777777">
      <w:pPr>
        <w:numPr>
          <w:ilvl w:val="1"/>
          <w:numId w:val="15"/>
        </w:numPr>
        <w:spacing w:after="0" w:line="240" w:lineRule="auto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>Ve smlouvě s partnery s finančním příspěvkem je příjemce povinen zavázat partnery povinnostmi podle části II Rozhodnutí. To se netýká bodů 3.3, 11.1, 13 a 17. Pokud smlouvu nahrazuje jednostranné písemné prohlášení partnera, musí být součástí prohlášení závazek partnera dodržovat v tomto bodě uvedené povinnosti části II Rozhodnutí (netýká se bodů 3.3, 11.1, 13 a 17).</w:t>
      </w:r>
    </w:p>
    <w:p w:rsidRPr="00737D68" w:rsidR="00737D68" w:rsidP="00737D68" w:rsidRDefault="00737D68" w14:paraId="7C857B37" w14:textId="77777777">
      <w:pPr>
        <w:numPr>
          <w:ilvl w:val="1"/>
          <w:numId w:val="15"/>
        </w:numPr>
        <w:spacing w:after="0" w:line="240" w:lineRule="auto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>Příjemce odpovídá za splnění všech povinností partnerů s finančním příspěvkem podle části II uvedených v bodě 17.3. Pokud některý z partnerů poruší některou z těchto povinností, odpovídá příjemce podle části V tohoto Rozhodnutí, jako by tuto povinnost porušil sám.</w:t>
      </w:r>
    </w:p>
    <w:p w:rsidRPr="00737D68" w:rsidR="00737D68" w:rsidP="00737D68" w:rsidRDefault="00737D68" w14:paraId="27D4F37B" w14:textId="77777777">
      <w:pPr>
        <w:numPr>
          <w:ilvl w:val="1"/>
          <w:numId w:val="15"/>
        </w:numPr>
        <w:spacing w:after="220" w:line="240" w:lineRule="auto"/>
        <w:jc w:val="both"/>
        <w:rPr>
          <w:rFonts w:ascii="Arial" w:hAnsi="Arial" w:eastAsia="Times New Roman" w:cs="Arial"/>
          <w:szCs w:val="24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 xml:space="preserve">Příjemce není oprávněn se svými partnery uzavírat v rámci tohoto projektu smluvní vztahy, jejichž předmětem je poskytování služeb, zboží nebo stavebních prací za úplatu. </w:t>
      </w:r>
    </w:p>
    <w:p w:rsidRPr="00737D68" w:rsidR="00737D68" w:rsidP="00737D68" w:rsidRDefault="00737D68" w14:paraId="2F8D6AF5" w14:textId="77777777">
      <w:pPr>
        <w:spacing w:after="220" w:line="240" w:lineRule="auto"/>
        <w:jc w:val="both"/>
        <w:rPr>
          <w:rFonts w:ascii="Arial" w:hAnsi="Arial" w:eastAsia="Times New Roman" w:cs="Arial"/>
          <w:sz w:val="24"/>
          <w:szCs w:val="24"/>
          <w:lang w:eastAsia="cs-CZ"/>
        </w:rPr>
      </w:pPr>
    </w:p>
    <w:p w:rsidRPr="00737D68" w:rsidR="00737D68" w:rsidP="00737D68" w:rsidRDefault="00737D68" w14:paraId="5F4D1876" w14:textId="77777777">
      <w:pPr>
        <w:keepNext/>
        <w:shd w:val="clear" w:color="auto" w:fill="F2F2F2"/>
        <w:spacing w:after="220" w:line="240" w:lineRule="auto"/>
        <w:jc w:val="both"/>
        <w:rPr>
          <w:rFonts w:ascii="Arial" w:hAnsi="Arial" w:eastAsia="Arial" w:cs="Arial"/>
          <w:b/>
        </w:rPr>
      </w:pPr>
      <w:r w:rsidRPr="00737D68">
        <w:rPr>
          <w:rFonts w:ascii="Arial" w:hAnsi="Arial" w:eastAsia="Arial" w:cs="Arial"/>
          <w:b/>
        </w:rPr>
        <w:t xml:space="preserve">Část III – Specifické povinnosti příjemce týkající se realizace projektu </w:t>
      </w:r>
    </w:p>
    <w:p w:rsidRPr="00737D68" w:rsidR="00737D68" w:rsidP="00737D68" w:rsidRDefault="00737D68" w14:paraId="2BB05071" w14:textId="77777777">
      <w:pPr>
        <w:keepNext/>
        <w:numPr>
          <w:ilvl w:val="0"/>
          <w:numId w:val="16"/>
        </w:numPr>
        <w:spacing w:before="240" w:after="120" w:line="240" w:lineRule="auto"/>
        <w:jc w:val="both"/>
        <w:rPr>
          <w:rFonts w:ascii="Arial" w:hAnsi="Arial" w:eastAsia="Times New Roman" w:cs="Arial"/>
          <w:b/>
          <w:bCs/>
          <w:lang w:eastAsia="cs-CZ"/>
        </w:rPr>
      </w:pPr>
      <w:r w:rsidRPr="00737D68">
        <w:rPr>
          <w:rFonts w:ascii="Arial" w:hAnsi="Arial" w:eastAsia="Times New Roman" w:cs="Arial"/>
          <w:b/>
          <w:bCs/>
          <w:lang w:eastAsia="cs-CZ"/>
        </w:rPr>
        <w:t>Vazba na výzvu k předkládání žádostí o podporu</w:t>
      </w:r>
    </w:p>
    <w:p w:rsidRPr="00737D68" w:rsidR="00737D68" w:rsidP="00737D68" w:rsidRDefault="00737D68" w14:paraId="260AD645" w14:textId="77777777">
      <w:pPr>
        <w:widowControl w:val="false"/>
        <w:tabs>
          <w:tab w:val="num" w:pos="720"/>
        </w:tabs>
        <w:overflowPunct w:val="false"/>
        <w:autoSpaceDE w:val="false"/>
        <w:autoSpaceDN w:val="false"/>
        <w:adjustRightInd w:val="false"/>
        <w:spacing w:after="60" w:line="240" w:lineRule="auto"/>
        <w:contextualSpacing/>
        <w:jc w:val="both"/>
        <w:textAlignment w:val="baseline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>Příjemce je povinen během realizace projektu dodržovat tyto podmínky, jež vycházejí z výzvy k předkládání žádostí o podporu, na základě které byl projekt vybrán k poskytnutí dotace:</w:t>
      </w:r>
    </w:p>
    <w:p w:rsidRPr="00737D68" w:rsidR="00737D68" w:rsidP="00737D68" w:rsidRDefault="00737D68" w14:paraId="08CAD908" w14:textId="77777777">
      <w:pPr>
        <w:widowControl w:val="false"/>
        <w:tabs>
          <w:tab w:val="num" w:pos="720"/>
        </w:tabs>
        <w:overflowPunct w:val="false"/>
        <w:autoSpaceDE w:val="false"/>
        <w:autoSpaceDN w:val="false"/>
        <w:adjustRightInd w:val="false"/>
        <w:spacing w:after="60" w:line="240" w:lineRule="auto"/>
        <w:contextualSpacing/>
        <w:jc w:val="both"/>
        <w:textAlignment w:val="baseline"/>
        <w:rPr>
          <w:rFonts w:ascii="Arial" w:hAnsi="Arial" w:eastAsia="Times New Roman" w:cs="Arial"/>
          <w:lang w:eastAsia="cs-CZ"/>
        </w:rPr>
      </w:pPr>
    </w:p>
    <w:p w:rsidRPr="00737D68" w:rsidR="00737D68" w:rsidP="00737D68" w:rsidRDefault="00737D68" w14:paraId="68F4B1B7" w14:textId="77777777">
      <w:pPr>
        <w:widowControl w:val="false"/>
        <w:overflowPunct w:val="false"/>
        <w:autoSpaceDE w:val="false"/>
        <w:autoSpaceDN w:val="false"/>
        <w:adjustRightInd w:val="false"/>
        <w:spacing w:after="220" w:line="240" w:lineRule="auto"/>
        <w:contextualSpacing/>
        <w:jc w:val="both"/>
        <w:textAlignment w:val="baseline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 xml:space="preserve">Územní vymezení: </w:t>
      </w:r>
    </w:p>
    <w:p w:rsidRPr="00737D68" w:rsidR="00737D68" w:rsidP="00737D68" w:rsidRDefault="00737D68" w14:paraId="0E52A0F6" w14:textId="77777777">
      <w:pPr>
        <w:widowControl w:val="false"/>
        <w:numPr>
          <w:ilvl w:val="0"/>
          <w:numId w:val="12"/>
        </w:numPr>
        <w:overflowPunct w:val="false"/>
        <w:autoSpaceDE w:val="false"/>
        <w:autoSpaceDN w:val="false"/>
        <w:adjustRightInd w:val="false"/>
        <w:spacing w:after="220" w:line="240" w:lineRule="auto"/>
        <w:contextualSpacing/>
        <w:jc w:val="both"/>
        <w:textAlignment w:val="baseline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>Programová oblast a území dopadu: ČR bez hl. m. Prahy</w:t>
      </w:r>
    </w:p>
    <w:p w:rsidRPr="00737D68" w:rsidR="00737D68" w:rsidP="00737D68" w:rsidRDefault="00737D68" w14:paraId="12F5AAED" w14:textId="77777777">
      <w:pPr>
        <w:widowControl w:val="false"/>
        <w:numPr>
          <w:ilvl w:val="0"/>
          <w:numId w:val="12"/>
        </w:numPr>
        <w:overflowPunct w:val="false"/>
        <w:autoSpaceDE w:val="false"/>
        <w:autoSpaceDN w:val="false"/>
        <w:adjustRightInd w:val="false"/>
        <w:spacing w:after="220" w:line="240" w:lineRule="auto"/>
        <w:contextualSpacing/>
        <w:jc w:val="both"/>
        <w:textAlignment w:val="baseline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>Místo realizace: ČR bez hl. m. Prahy</w:t>
      </w:r>
    </w:p>
    <w:p w:rsidRPr="00737D68" w:rsidR="00737D68" w:rsidP="00737D68" w:rsidRDefault="00737D68" w14:paraId="75AB0A5B" w14:textId="77777777">
      <w:pPr>
        <w:widowControl w:val="false"/>
        <w:overflowPunct w:val="false"/>
        <w:autoSpaceDE w:val="false"/>
        <w:autoSpaceDN w:val="false"/>
        <w:adjustRightInd w:val="false"/>
        <w:spacing w:after="0" w:line="240" w:lineRule="auto"/>
        <w:ind w:left="207"/>
        <w:contextualSpacing/>
        <w:jc w:val="both"/>
        <w:textAlignment w:val="baseline"/>
        <w:rPr>
          <w:rFonts w:ascii="Arial" w:hAnsi="Arial" w:eastAsia="Times New Roman" w:cs="Arial"/>
          <w:lang w:eastAsia="cs-CZ"/>
        </w:rPr>
      </w:pPr>
    </w:p>
    <w:p w:rsidRPr="00737D68" w:rsidR="00737D68" w:rsidP="00737D68" w:rsidRDefault="00737D68" w14:paraId="3DB9311B" w14:textId="77777777">
      <w:pPr>
        <w:numPr>
          <w:ilvl w:val="0"/>
          <w:numId w:val="16"/>
        </w:numPr>
        <w:spacing w:after="220" w:line="240" w:lineRule="auto"/>
        <w:ind w:left="357" w:hanging="357"/>
        <w:jc w:val="both"/>
        <w:rPr>
          <w:rFonts w:ascii="Arial" w:hAnsi="Arial" w:eastAsia="Times New Roman" w:cs="Arial"/>
          <w:b/>
          <w:bCs/>
          <w:lang w:eastAsia="cs-CZ"/>
        </w:rPr>
      </w:pPr>
      <w:r w:rsidRPr="00737D68">
        <w:rPr>
          <w:rFonts w:ascii="Arial" w:hAnsi="Arial" w:eastAsia="Times New Roman" w:cs="Arial"/>
          <w:b/>
          <w:bCs/>
          <w:lang w:eastAsia="cs-CZ"/>
        </w:rPr>
        <w:t xml:space="preserve">Podmínky monitorování projektu </w:t>
      </w:r>
    </w:p>
    <w:p w:rsidRPr="00737D68" w:rsidR="00737D68" w:rsidP="00737D68" w:rsidRDefault="00737D68" w14:paraId="049DAFF4" w14:textId="77777777">
      <w:pPr>
        <w:numPr>
          <w:ilvl w:val="1"/>
          <w:numId w:val="16"/>
        </w:numPr>
        <w:spacing w:after="0" w:line="240" w:lineRule="auto"/>
        <w:ind w:left="567" w:hanging="567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>Příjemce je povinen naplnit celkové cílové hodnoty indikátorů uvedených v Informaci o projektu v příloze č. 1 tohoto Rozhodnutí; definice indikátorů je obsažena v Pravidlech OPZ.</w:t>
      </w:r>
    </w:p>
    <w:p w:rsidRPr="00737D68" w:rsidR="00737D68" w:rsidP="00737D68" w:rsidRDefault="00737D68" w14:paraId="3073E0A2" w14:textId="77777777">
      <w:pPr>
        <w:spacing w:after="60" w:line="240" w:lineRule="auto"/>
        <w:ind w:left="567"/>
        <w:jc w:val="both"/>
        <w:rPr>
          <w:rFonts w:ascii="Arial" w:hAnsi="Arial" w:eastAsia="Arial" w:cs="Times New Roman"/>
        </w:rPr>
      </w:pPr>
      <w:r w:rsidRPr="00737D68">
        <w:rPr>
          <w:rFonts w:ascii="Arial" w:hAnsi="Arial" w:eastAsia="Arial" w:cs="Times New Roman"/>
        </w:rPr>
        <w:t>Celkovou cílovou hodnotu indikátorů výstupů, resp. výsledků příjemce naplní, pokud celková míra naplnění indikátorů výstupů, resp. výsledků dosáhne 100 %.</w:t>
      </w:r>
    </w:p>
    <w:p w:rsidRPr="00737D68" w:rsidR="00737D68" w:rsidP="00737D68" w:rsidRDefault="00737D68" w14:paraId="687D7B25" w14:textId="77777777">
      <w:pPr>
        <w:spacing w:after="60" w:line="240" w:lineRule="auto"/>
        <w:ind w:left="567"/>
        <w:jc w:val="both"/>
        <w:rPr>
          <w:rFonts w:ascii="Arial" w:hAnsi="Arial" w:eastAsia="Arial" w:cs="Times New Roman"/>
        </w:rPr>
      </w:pPr>
      <w:r w:rsidRPr="00737D68">
        <w:rPr>
          <w:rFonts w:ascii="Arial" w:hAnsi="Arial" w:eastAsia="Arial" w:cs="Times New Roman"/>
        </w:rPr>
        <w:t xml:space="preserve">Pro zjištění celkové míry naplnění indikátorů výstupů se sečtou procenta naplnění cílových hodnot uvedených v Informaci o projektu v příloze č. 1 tohoto Rozhodnutí u jednotlivých indikátorů výstupů a vydělí se počtem těchto indikátorů. Pokud nebyla vyčerpána celková maximální výše dotace, snižují se cílové hodnoty v Informaci o projektu v příloze č. 1 tohoto Rozhodnutí tak, že se vynásobí podílem skutečně vyčerpané částky dotace k celkové maximální výši dotace. Překročení cílové hodnoty jednotlivých indikátorů výstupů bude zohledněno maximálně v míře 120 %. Při zjištění celkové míry naplnění indikátorů výsledků se postupuje obdobně. </w:t>
      </w:r>
    </w:p>
    <w:p w:rsidRPr="00737D68" w:rsidR="00737D68" w:rsidP="00737D68" w:rsidRDefault="00737D68" w14:paraId="30EA218B" w14:textId="77777777">
      <w:pPr>
        <w:numPr>
          <w:ilvl w:val="1"/>
          <w:numId w:val="16"/>
        </w:numPr>
        <w:spacing w:after="0" w:line="240" w:lineRule="auto"/>
        <w:ind w:left="567" w:hanging="567"/>
        <w:jc w:val="both"/>
        <w:rPr>
          <w:rFonts w:ascii="Arial" w:hAnsi="Arial" w:eastAsia="Times New Roman" w:cs="Arial"/>
          <w:lang w:eastAsia="cs-CZ"/>
        </w:rPr>
      </w:pPr>
      <w:r w:rsidRPr="00737D68" w:rsidDel="008A1552">
        <w:rPr>
          <w:rFonts w:ascii="Arial" w:hAnsi="Arial" w:eastAsia="Times New Roman" w:cs="Arial"/>
          <w:lang w:eastAsia="cs-CZ"/>
        </w:rPr>
        <w:t>Příjemce je povinen předávat poskytovateli údaje nezbytné k průběžnému sledování přínosů projektu (monitorování projektu) a to zejména prostřednictvím předkládání zpráv o realizaci projektu</w:t>
      </w:r>
      <w:r w:rsidRPr="00737D68">
        <w:rPr>
          <w:rFonts w:ascii="Arial" w:hAnsi="Arial" w:eastAsia="Times New Roman" w:cs="Arial"/>
          <w:lang w:eastAsia="cs-CZ"/>
        </w:rPr>
        <w:t xml:space="preserve"> a aktualizace údajů v IS KP14+ o zakázkách a kontrolách/auditech týkajících se projektu (s výjimkou kontrol provedených poskytovatelem)</w:t>
      </w:r>
      <w:r w:rsidRPr="00737D68" w:rsidDel="008A1552">
        <w:rPr>
          <w:rFonts w:ascii="Arial" w:hAnsi="Arial" w:eastAsia="Times New Roman" w:cs="Arial"/>
          <w:lang w:eastAsia="cs-CZ"/>
        </w:rPr>
        <w:t>.</w:t>
      </w:r>
      <w:r w:rsidRPr="00737D68">
        <w:rPr>
          <w:rFonts w:ascii="Arial" w:hAnsi="Arial" w:eastAsia="Times New Roman" w:cs="Arial"/>
          <w:lang w:eastAsia="cs-CZ"/>
        </w:rPr>
        <w:t xml:space="preserve"> Průběžnou zprávu o realizaci projektu je příjemce povinen předložit do konce prvního měsíce následujícího po ukončení monitorovacího období a závěrečnou zprávu o realizaci projektu do konce druhého měsíce následujícího po ukončení posledního monitorovacího období. Pokud monitorovací období skončí v jiný než poslední den kalendářního měsíce, pak je příjemce povinen předložit příslušnou zprávu o realizaci ve lhůtě 30 dní, resp. 60 dní v případě závěrečné zprávy o realizaci ode dne skončení daného monitorovacího období.</w:t>
      </w:r>
      <w:r w:rsidRPr="00737D68">
        <w:rPr>
          <w:rFonts w:ascii="Arial" w:hAnsi="Arial" w:eastAsia="Times New Roman" w:cs="Arial"/>
          <w:vertAlign w:val="superscript"/>
          <w:lang w:eastAsia="cs-CZ"/>
        </w:rPr>
        <w:footnoteReference w:id="9"/>
      </w:r>
      <w:r w:rsidRPr="00737D68">
        <w:rPr>
          <w:rFonts w:ascii="Arial" w:hAnsi="Arial" w:eastAsia="Times New Roman" w:cs="Arial"/>
          <w:lang w:eastAsia="cs-CZ"/>
        </w:rPr>
        <w:t xml:space="preserve"> Aktualizaci údajů v IS KP14+ o zakázkách a kontrolách/auditech týkajících se projektu příjemce provádí minimálně k termínům pro předložení zpráv o realizaci projektu.</w:t>
      </w:r>
    </w:p>
    <w:p w:rsidRPr="00737D68" w:rsidR="00737D68" w:rsidP="00737D68" w:rsidRDefault="00737D68" w14:paraId="2115A8F1" w14:textId="77777777">
      <w:pPr>
        <w:widowControl w:val="false"/>
        <w:overflowPunct w:val="false"/>
        <w:autoSpaceDE w:val="false"/>
        <w:autoSpaceDN w:val="false"/>
        <w:adjustRightInd w:val="false"/>
        <w:spacing w:after="60" w:line="240" w:lineRule="auto"/>
        <w:ind w:left="567"/>
        <w:contextualSpacing/>
        <w:jc w:val="both"/>
        <w:textAlignment w:val="baseline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 xml:space="preserve">Vymezení monitorovacích období projektu, za které je příjemce povinen předložit zprávu o realizaci projektu: </w:t>
      </w:r>
    </w:p>
    <w:p w:rsidRPr="00737D68" w:rsidR="00737D68" w:rsidP="00737D68" w:rsidRDefault="00737D68" w14:paraId="56FED80D" w14:textId="77777777">
      <w:pPr>
        <w:widowControl w:val="false"/>
        <w:overflowPunct w:val="false"/>
        <w:autoSpaceDE w:val="false"/>
        <w:autoSpaceDN w:val="false"/>
        <w:adjustRightInd w:val="false"/>
        <w:spacing w:after="60" w:line="240" w:lineRule="auto"/>
        <w:ind w:left="567"/>
        <w:contextualSpacing/>
        <w:jc w:val="both"/>
        <w:textAlignment w:val="baseline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>zprávy o realizaci projektu budou předloženy vždy za šestiměsíční monitorovací období.</w:t>
      </w:r>
    </w:p>
    <w:p w:rsidRPr="00737D68" w:rsidR="00737D68" w:rsidP="00737D68" w:rsidRDefault="00737D68" w14:paraId="09B354E6" w14:textId="77777777">
      <w:pPr>
        <w:numPr>
          <w:ilvl w:val="1"/>
          <w:numId w:val="16"/>
        </w:numPr>
        <w:spacing w:after="60" w:line="240" w:lineRule="auto"/>
        <w:ind w:left="567" w:hanging="567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 xml:space="preserve">Příjemce je povinen předkládat zprávy o realizaci projektu ve formátu, který poskytovatel pro projekt nastaví v informačním systému MS2014+. </w:t>
      </w:r>
    </w:p>
    <w:p w:rsidRPr="00737D68" w:rsidR="00737D68" w:rsidP="00737D68" w:rsidRDefault="00737D68" w14:paraId="3FCCBDCB" w14:textId="77777777">
      <w:pPr>
        <w:widowControl w:val="false"/>
        <w:numPr>
          <w:ilvl w:val="1"/>
          <w:numId w:val="16"/>
        </w:numPr>
        <w:spacing w:before="40" w:after="220" w:line="240" w:lineRule="auto"/>
        <w:ind w:left="567" w:hanging="567"/>
        <w:jc w:val="both"/>
        <w:rPr>
          <w:rFonts w:ascii="Arial" w:hAnsi="Arial" w:eastAsia="Times New Roman" w:cs="Arial"/>
          <w:snapToGrid w:val="false"/>
          <w:sz w:val="20"/>
          <w:szCs w:val="24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>Nápravy nedostatků žádostí o změnu projektu, zpráv o realizaci projektu (včetně spolu s nimi předložených žádostí o platbu) a případně další související dokumentace vyžádané poskytovatelem je příjemce povinen předkládat v termínech stanovených poskytovatelem.</w:t>
      </w:r>
    </w:p>
    <w:p w:rsidRPr="00737D68" w:rsidR="00737D68" w:rsidP="00737D68" w:rsidRDefault="00737D68" w14:paraId="2C99DE1A" w14:textId="77777777">
      <w:pPr>
        <w:keepNext/>
        <w:numPr>
          <w:ilvl w:val="0"/>
          <w:numId w:val="16"/>
        </w:numPr>
        <w:spacing w:before="240" w:after="120" w:line="240" w:lineRule="auto"/>
        <w:jc w:val="both"/>
        <w:rPr>
          <w:rFonts w:ascii="Arial" w:hAnsi="Arial" w:eastAsia="Times New Roman" w:cs="Arial"/>
          <w:b/>
          <w:bCs/>
          <w:lang w:eastAsia="cs-CZ"/>
        </w:rPr>
      </w:pPr>
      <w:r w:rsidRPr="00737D68">
        <w:rPr>
          <w:rFonts w:ascii="Arial" w:hAnsi="Arial" w:eastAsia="Times New Roman" w:cs="Arial"/>
          <w:b/>
          <w:bCs/>
          <w:lang w:eastAsia="cs-CZ"/>
        </w:rPr>
        <w:t>Veřejná podpora a podpora de minimis</w:t>
      </w:r>
    </w:p>
    <w:p w:rsidRPr="00737D68" w:rsidR="00737D68" w:rsidP="00737D68" w:rsidRDefault="00737D68" w14:paraId="25EA5E9E" w14:textId="77777777">
      <w:pPr>
        <w:keepNext/>
        <w:spacing w:after="220" w:line="240" w:lineRule="auto"/>
        <w:jc w:val="both"/>
        <w:rPr>
          <w:rFonts w:ascii="Arial" w:hAnsi="Arial" w:eastAsia="Arial" w:cs="Arial"/>
          <w:b/>
        </w:rPr>
      </w:pPr>
      <w:r w:rsidRPr="00737D68">
        <w:rPr>
          <w:rFonts w:ascii="Arial" w:hAnsi="Arial" w:eastAsia="Arial" w:cs="Arial"/>
          <w:b/>
        </w:rPr>
        <w:t>Varianty</w:t>
      </w:r>
    </w:p>
    <w:p w:rsidRPr="00737D68" w:rsidR="00737D68" w:rsidP="00737D68" w:rsidRDefault="00737D68" w14:paraId="2B3C9EB4" w14:textId="77777777">
      <w:pPr>
        <w:keepNext/>
        <w:spacing w:before="40" w:after="40" w:line="240" w:lineRule="auto"/>
        <w:jc w:val="both"/>
        <w:rPr>
          <w:rFonts w:ascii="Arial" w:hAnsi="Arial" w:eastAsia="Arial" w:cs="Arial"/>
          <w:b/>
          <w:bCs/>
          <w:i/>
        </w:rPr>
      </w:pPr>
      <w:r w:rsidRPr="00737D68">
        <w:rPr>
          <w:rFonts w:ascii="Arial" w:hAnsi="Arial" w:eastAsia="Arial" w:cs="Arial"/>
          <w:b/>
          <w:bCs/>
          <w:i/>
        </w:rPr>
        <w:t>Možnost A</w:t>
      </w:r>
    </w:p>
    <w:p w:rsidRPr="00737D68" w:rsidR="00737D68" w:rsidP="00737D68" w:rsidRDefault="00737D68" w14:paraId="4FA127EC" w14:textId="77777777">
      <w:pPr>
        <w:keepNext/>
        <w:spacing w:before="40" w:after="40" w:line="240" w:lineRule="auto"/>
        <w:ind w:right="181"/>
        <w:jc w:val="both"/>
        <w:rPr>
          <w:rFonts w:ascii="Arial" w:hAnsi="Arial" w:eastAsia="Arial" w:cs="Arial"/>
          <w:i/>
        </w:rPr>
      </w:pPr>
      <w:r w:rsidRPr="00737D68">
        <w:rPr>
          <w:rFonts w:ascii="Arial" w:hAnsi="Arial" w:eastAsia="Arial" w:cs="Arial"/>
          <w:i/>
        </w:rPr>
        <w:t>(platí pro projekty, které nezakládají veřejnou podporu žádnému subjektu)</w:t>
      </w:r>
    </w:p>
    <w:p w:rsidRPr="00737D68" w:rsidR="00737D68" w:rsidP="00737D68" w:rsidRDefault="00737D68" w14:paraId="74855BFA" w14:textId="77777777">
      <w:pPr>
        <w:keepNext/>
        <w:spacing w:after="60" w:line="240" w:lineRule="auto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 xml:space="preserve">Dotace poskytnutá na realizaci projektu nezakládá veřejnou podporu. </w:t>
      </w:r>
    </w:p>
    <w:p w:rsidRPr="00737D68" w:rsidR="00737D68" w:rsidP="00737D68" w:rsidRDefault="00737D68" w14:paraId="3B267E75" w14:textId="77777777">
      <w:pPr>
        <w:spacing w:before="40" w:after="40" w:line="240" w:lineRule="auto"/>
        <w:ind w:right="181"/>
        <w:jc w:val="both"/>
        <w:rPr>
          <w:rFonts w:ascii="Arial" w:hAnsi="Arial" w:eastAsia="Arial" w:cs="Arial"/>
        </w:rPr>
      </w:pPr>
      <w:r w:rsidRPr="00737D68">
        <w:rPr>
          <w:rFonts w:ascii="Arial" w:hAnsi="Arial" w:eastAsia="Arial" w:cs="Arial"/>
        </w:rPr>
        <w:t>---------------------------</w:t>
      </w:r>
    </w:p>
    <w:p w:rsidRPr="00737D68" w:rsidR="00737D68" w:rsidP="00737D68" w:rsidRDefault="00737D68" w14:paraId="4ECE1310" w14:textId="77777777">
      <w:pPr>
        <w:spacing w:before="40" w:after="40" w:line="240" w:lineRule="auto"/>
        <w:jc w:val="both"/>
        <w:rPr>
          <w:rFonts w:ascii="Arial" w:hAnsi="Arial" w:eastAsia="Arial" w:cs="Arial"/>
          <w:b/>
          <w:bCs/>
          <w:i/>
        </w:rPr>
      </w:pPr>
      <w:r w:rsidRPr="00737D68">
        <w:rPr>
          <w:rFonts w:ascii="Arial" w:hAnsi="Arial" w:eastAsia="Arial" w:cs="Arial"/>
          <w:b/>
          <w:bCs/>
          <w:i/>
        </w:rPr>
        <w:t>Možnost B</w:t>
      </w:r>
    </w:p>
    <w:p w:rsidRPr="00737D68" w:rsidR="00737D68" w:rsidP="00737D68" w:rsidRDefault="00737D68" w14:paraId="52BE2E5E" w14:textId="77777777">
      <w:pPr>
        <w:spacing w:before="40" w:after="40" w:line="240" w:lineRule="auto"/>
        <w:ind w:right="181"/>
        <w:jc w:val="both"/>
        <w:rPr>
          <w:rFonts w:ascii="Arial" w:hAnsi="Arial" w:eastAsia="Arial" w:cs="Arial"/>
          <w:i/>
        </w:rPr>
      </w:pPr>
      <w:r w:rsidRPr="00737D68">
        <w:rPr>
          <w:rFonts w:ascii="Arial" w:hAnsi="Arial" w:eastAsia="Arial" w:cs="Arial"/>
          <w:i/>
        </w:rPr>
        <w:t>(platí pro projekty, které zakládají podporu de minimis)</w:t>
      </w:r>
    </w:p>
    <w:p w:rsidRPr="00737D68" w:rsidR="00737D68" w:rsidP="00737D68" w:rsidRDefault="00737D68" w14:paraId="6505B904" w14:textId="77777777">
      <w:pPr>
        <w:numPr>
          <w:ilvl w:val="1"/>
          <w:numId w:val="9"/>
        </w:numPr>
        <w:spacing w:before="120" w:after="220" w:line="240" w:lineRule="auto"/>
        <w:ind w:left="567" w:hanging="567"/>
        <w:jc w:val="both"/>
        <w:rPr>
          <w:rFonts w:ascii="Arial" w:hAnsi="Arial" w:eastAsia="Arial" w:cs="Times New Roman"/>
        </w:rPr>
      </w:pPr>
      <w:r w:rsidRPr="00737D68">
        <w:rPr>
          <w:rFonts w:ascii="Arial" w:hAnsi="Arial" w:eastAsia="Arial" w:cs="Times New Roman"/>
        </w:rPr>
        <w:t xml:space="preserve">Z poskytnuté dotace představuje částka […] Kč podporu de minimis v souladu s nařízením Komise (EU) č. 1407/2013 ze dne 18. prosince 2013 o použití článků 107 a 108 Smlouvy o fungování Evropské unie na podporu de </w:t>
      </w:r>
      <w:proofErr w:type="spellStart"/>
      <w:r w:rsidRPr="00737D68">
        <w:rPr>
          <w:rFonts w:ascii="Arial" w:hAnsi="Arial" w:eastAsia="Arial" w:cs="Times New Roman"/>
        </w:rPr>
        <w:t>minimis</w:t>
      </w:r>
      <w:proofErr w:type="spellEnd"/>
      <w:r w:rsidRPr="00737D68">
        <w:rPr>
          <w:rFonts w:ascii="Arial" w:hAnsi="Arial" w:eastAsia="Arial" w:cs="Times New Roman"/>
        </w:rPr>
        <w:t xml:space="preserve">, </w:t>
      </w:r>
      <w:proofErr w:type="spellStart"/>
      <w:r w:rsidRPr="00737D68">
        <w:rPr>
          <w:rFonts w:ascii="Arial" w:hAnsi="Arial" w:eastAsia="Arial" w:cs="Times New Roman"/>
        </w:rPr>
        <w:t>Úř</w:t>
      </w:r>
      <w:proofErr w:type="spellEnd"/>
      <w:r w:rsidRPr="00737D68">
        <w:rPr>
          <w:rFonts w:ascii="Arial" w:hAnsi="Arial" w:eastAsia="Arial" w:cs="Times New Roman"/>
        </w:rPr>
        <w:t xml:space="preserve">. </w:t>
      </w:r>
      <w:proofErr w:type="spellStart"/>
      <w:r w:rsidRPr="00737D68">
        <w:rPr>
          <w:rFonts w:ascii="Arial" w:hAnsi="Arial" w:eastAsia="Arial" w:cs="Times New Roman"/>
        </w:rPr>
        <w:t>věst</w:t>
      </w:r>
      <w:proofErr w:type="spellEnd"/>
      <w:r w:rsidRPr="00737D68">
        <w:rPr>
          <w:rFonts w:ascii="Arial" w:hAnsi="Arial" w:eastAsia="Arial" w:cs="Times New Roman"/>
        </w:rPr>
        <w:t>. L 352, 18. 12. 2013, s. 1—8.</w:t>
      </w:r>
    </w:p>
    <w:p w:rsidRPr="00737D68" w:rsidR="00737D68" w:rsidP="00737D68" w:rsidRDefault="00737D68" w14:paraId="2797CBBC" w14:textId="77777777">
      <w:pPr>
        <w:spacing w:after="220" w:line="240" w:lineRule="auto"/>
        <w:ind w:left="567"/>
        <w:jc w:val="both"/>
        <w:rPr>
          <w:rFonts w:ascii="Arial" w:hAnsi="Arial" w:eastAsia="Arial" w:cs="Times New Roman"/>
        </w:rPr>
      </w:pPr>
      <w:r w:rsidRPr="00737D68">
        <w:rPr>
          <w:rFonts w:ascii="Arial" w:hAnsi="Arial" w:eastAsia="Arial" w:cs="Times New Roman"/>
        </w:rPr>
        <w:t>nebo</w:t>
      </w:r>
    </w:p>
    <w:p w:rsidRPr="00737D68" w:rsidR="00737D68" w:rsidP="00737D68" w:rsidRDefault="00737D68" w14:paraId="056FB9C0" w14:textId="77777777">
      <w:pPr>
        <w:spacing w:after="220" w:line="240" w:lineRule="auto"/>
        <w:ind w:left="567"/>
        <w:jc w:val="both"/>
        <w:rPr>
          <w:rFonts w:ascii="Arial" w:hAnsi="Arial" w:eastAsia="Arial" w:cs="Times New Roman"/>
        </w:rPr>
      </w:pPr>
      <w:r w:rsidRPr="00737D68">
        <w:rPr>
          <w:rFonts w:ascii="Arial" w:hAnsi="Arial" w:eastAsia="Arial" w:cs="Times New Roman"/>
        </w:rPr>
        <w:t xml:space="preserve">Z poskytnuté dotace představuje částka […] Kč podporu de minimis v souladu s nařízením Komise (EU) č. 1408/2013 ze dne 18. prosince 2013 o použití článků 107 a 108 Smlouvy o fungování Evropské unie na podporu de minimis v odvětví zemědělství, </w:t>
      </w:r>
      <w:proofErr w:type="spellStart"/>
      <w:r w:rsidRPr="00737D68">
        <w:rPr>
          <w:rFonts w:ascii="Arial" w:hAnsi="Arial" w:eastAsia="Arial" w:cs="Times New Roman"/>
        </w:rPr>
        <w:t>Úř</w:t>
      </w:r>
      <w:proofErr w:type="spellEnd"/>
      <w:r w:rsidRPr="00737D68">
        <w:rPr>
          <w:rFonts w:ascii="Arial" w:hAnsi="Arial" w:eastAsia="Arial" w:cs="Times New Roman"/>
        </w:rPr>
        <w:t xml:space="preserve">. </w:t>
      </w:r>
      <w:proofErr w:type="spellStart"/>
      <w:r w:rsidRPr="00737D68">
        <w:rPr>
          <w:rFonts w:ascii="Arial" w:hAnsi="Arial" w:eastAsia="Arial" w:cs="Times New Roman"/>
        </w:rPr>
        <w:t>věst</w:t>
      </w:r>
      <w:proofErr w:type="spellEnd"/>
      <w:r w:rsidRPr="00737D68">
        <w:rPr>
          <w:rFonts w:ascii="Arial" w:hAnsi="Arial" w:eastAsia="Arial" w:cs="Times New Roman"/>
        </w:rPr>
        <w:t xml:space="preserve">. L 352, 24. 12. 2013, s. 9—17. </w:t>
      </w:r>
    </w:p>
    <w:p w:rsidRPr="00737D68" w:rsidR="00737D68" w:rsidP="00737D68" w:rsidRDefault="00737D68" w14:paraId="2A35B50C" w14:textId="77777777">
      <w:pPr>
        <w:spacing w:after="220" w:line="240" w:lineRule="auto"/>
        <w:ind w:left="567"/>
        <w:jc w:val="both"/>
        <w:rPr>
          <w:rFonts w:ascii="Arial" w:hAnsi="Arial" w:eastAsia="Arial" w:cs="Times New Roman"/>
        </w:rPr>
      </w:pPr>
      <w:r w:rsidRPr="00737D68">
        <w:rPr>
          <w:rFonts w:ascii="Arial" w:hAnsi="Arial" w:eastAsia="Arial" w:cs="Times New Roman"/>
        </w:rPr>
        <w:t>nebo</w:t>
      </w:r>
    </w:p>
    <w:p w:rsidRPr="00737D68" w:rsidR="00737D68" w:rsidP="00737D68" w:rsidRDefault="00737D68" w14:paraId="696F4CF9" w14:textId="77777777">
      <w:pPr>
        <w:spacing w:after="220" w:line="240" w:lineRule="auto"/>
        <w:ind w:left="567"/>
        <w:jc w:val="both"/>
        <w:rPr>
          <w:rFonts w:ascii="Arial" w:hAnsi="Arial" w:eastAsia="Arial" w:cs="Times New Roman"/>
        </w:rPr>
      </w:pPr>
      <w:r w:rsidRPr="00737D68">
        <w:rPr>
          <w:rFonts w:ascii="Arial" w:hAnsi="Arial" w:eastAsia="Arial" w:cs="Times New Roman"/>
        </w:rPr>
        <w:t xml:space="preserve">Z poskytnuté dotace představuje částka […] Kč podporu de minimis v souladu s nařízením Komise (EU) č. 717/2014 ze dne 27. června 2014 o použití článků 107 a 108 Smlouvy o fungování Evropské unie na podporu de minimis v odvětví rybolovu a akvakultury, </w:t>
      </w:r>
      <w:proofErr w:type="spellStart"/>
      <w:r w:rsidRPr="00737D68">
        <w:rPr>
          <w:rFonts w:ascii="Arial" w:hAnsi="Arial" w:eastAsia="Arial" w:cs="Times New Roman"/>
        </w:rPr>
        <w:t>Úř</w:t>
      </w:r>
      <w:proofErr w:type="spellEnd"/>
      <w:r w:rsidRPr="00737D68">
        <w:rPr>
          <w:rFonts w:ascii="Arial" w:hAnsi="Arial" w:eastAsia="Arial" w:cs="Times New Roman"/>
        </w:rPr>
        <w:t xml:space="preserve">. </w:t>
      </w:r>
      <w:proofErr w:type="spellStart"/>
      <w:r w:rsidRPr="00737D68">
        <w:rPr>
          <w:rFonts w:ascii="Arial" w:hAnsi="Arial" w:eastAsia="Arial" w:cs="Times New Roman"/>
        </w:rPr>
        <w:t>věst</w:t>
      </w:r>
      <w:proofErr w:type="spellEnd"/>
      <w:r w:rsidRPr="00737D68">
        <w:rPr>
          <w:rFonts w:ascii="Arial" w:hAnsi="Arial" w:eastAsia="Arial" w:cs="Times New Roman"/>
        </w:rPr>
        <w:t>. L 190, 28. 6. 2014, s. 45—54.</w:t>
      </w:r>
    </w:p>
    <w:p w:rsidRPr="00737D68" w:rsidR="00737D68" w:rsidP="00737D68" w:rsidRDefault="00737D68" w14:paraId="6DE8CE76" w14:textId="77777777">
      <w:pPr>
        <w:spacing w:after="220" w:line="240" w:lineRule="auto"/>
        <w:jc w:val="both"/>
        <w:rPr>
          <w:rFonts w:ascii="Arial" w:hAnsi="Arial" w:eastAsia="Arial" w:cs="Times New Roman"/>
        </w:rPr>
      </w:pPr>
      <w:r w:rsidRPr="00737D68">
        <w:rPr>
          <w:rFonts w:ascii="Arial" w:hAnsi="Arial" w:eastAsia="Arial" w:cs="Times New Roman"/>
        </w:rPr>
        <w:t>---------------------------</w:t>
      </w:r>
    </w:p>
    <w:p w:rsidRPr="00737D68" w:rsidR="00737D68" w:rsidP="00737D68" w:rsidRDefault="00737D68" w14:paraId="17457530" w14:textId="77777777">
      <w:pPr>
        <w:spacing w:after="220" w:line="240" w:lineRule="auto"/>
        <w:jc w:val="both"/>
        <w:rPr>
          <w:rFonts w:ascii="Arial" w:hAnsi="Arial" w:eastAsia="Arial" w:cs="Times New Roman"/>
          <w:b/>
          <w:bCs/>
          <w:i/>
        </w:rPr>
      </w:pPr>
      <w:r w:rsidRPr="00737D68">
        <w:rPr>
          <w:rFonts w:ascii="Arial" w:hAnsi="Arial" w:eastAsia="Arial" w:cs="Times New Roman"/>
          <w:b/>
          <w:bCs/>
          <w:i/>
        </w:rPr>
        <w:t>Možnost C</w:t>
      </w:r>
    </w:p>
    <w:p w:rsidRPr="00737D68" w:rsidR="00737D68" w:rsidP="00737D68" w:rsidRDefault="00737D68" w14:paraId="5EAD70B4" w14:textId="77777777">
      <w:pPr>
        <w:spacing w:after="220" w:line="240" w:lineRule="auto"/>
        <w:jc w:val="both"/>
        <w:rPr>
          <w:rFonts w:ascii="Arial" w:hAnsi="Arial" w:eastAsia="Arial" w:cs="Times New Roman"/>
          <w:i/>
        </w:rPr>
      </w:pPr>
      <w:r w:rsidRPr="00737D68">
        <w:rPr>
          <w:rFonts w:ascii="Arial" w:hAnsi="Arial" w:eastAsia="Arial" w:cs="Times New Roman"/>
          <w:i/>
        </w:rPr>
        <w:t>(platí pro projekty, které zakládají příjemci veřejnou podporu podle blokové výjimky)</w:t>
      </w:r>
    </w:p>
    <w:p w:rsidRPr="00737D68" w:rsidR="00737D68" w:rsidP="00737D68" w:rsidRDefault="00737D68" w14:paraId="3EC9810F" w14:textId="77777777">
      <w:pPr>
        <w:numPr>
          <w:ilvl w:val="1"/>
          <w:numId w:val="16"/>
        </w:numPr>
        <w:spacing w:after="220" w:line="240" w:lineRule="auto"/>
        <w:jc w:val="both"/>
        <w:rPr>
          <w:rFonts w:ascii="Arial" w:hAnsi="Arial" w:eastAsia="Arial" w:cs="Times New Roman"/>
        </w:rPr>
      </w:pPr>
      <w:r w:rsidRPr="00737D68">
        <w:rPr>
          <w:rFonts w:ascii="Arial" w:hAnsi="Arial" w:eastAsia="Arial" w:cs="Times New Roman"/>
        </w:rPr>
        <w:t xml:space="preserve">Projekt je z hlediska veřejné podpory následujícího charakteru: </w:t>
      </w:r>
    </w:p>
    <w:tbl>
      <w:tblPr>
        <w:tblW w:w="9072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960"/>
        <w:gridCol w:w="2844"/>
        <w:gridCol w:w="2268"/>
      </w:tblGrid>
      <w:tr w:rsidRPr="00737D68" w:rsidR="00737D68" w:rsidTr="00945A28" w14:paraId="434CC93D" w14:textId="77777777">
        <w:tc>
          <w:tcPr>
            <w:tcW w:w="3960" w:type="dxa"/>
            <w:vAlign w:val="center"/>
          </w:tcPr>
          <w:p w:rsidRPr="00737D68" w:rsidR="00737D68" w:rsidP="00737D68" w:rsidRDefault="00737D68" w14:paraId="5368E3DB" w14:textId="77777777">
            <w:pPr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:rsidRPr="00737D68" w:rsidR="00737D68" w:rsidP="00737D68" w:rsidRDefault="00737D68" w14:paraId="79FA265E" w14:textId="77777777">
            <w:pPr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Částka v Kč</w:t>
            </w:r>
          </w:p>
        </w:tc>
        <w:tc>
          <w:tcPr>
            <w:tcW w:w="2268" w:type="dxa"/>
            <w:vAlign w:val="center"/>
          </w:tcPr>
          <w:p w:rsidRPr="00737D68" w:rsidR="00737D68" w:rsidP="00737D68" w:rsidRDefault="00737D68" w14:paraId="0C9ECDE0" w14:textId="77777777">
            <w:pPr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Podíl v %</w:t>
            </w:r>
            <w:r w:rsidRPr="00737D68">
              <w:rPr>
                <w:rFonts w:ascii="Arial" w:hAnsi="Arial" w:eastAsia="Arial" w:cs="Times New Roman"/>
                <w:snapToGrid w:val="false"/>
                <w:vertAlign w:val="superscript"/>
              </w:rPr>
              <w:footnoteReference w:id="10"/>
            </w:r>
          </w:p>
        </w:tc>
      </w:tr>
      <w:tr w:rsidRPr="00737D68" w:rsidR="00737D68" w:rsidTr="00945A28" w14:paraId="7A20C3A1" w14:textId="77777777">
        <w:tc>
          <w:tcPr>
            <w:tcW w:w="3960" w:type="dxa"/>
            <w:tcBorders>
              <w:top w:val="single" w:color="auto" w:sz="12" w:space="0"/>
            </w:tcBorders>
            <w:vAlign w:val="center"/>
          </w:tcPr>
          <w:p w:rsidRPr="00737D68" w:rsidR="00737D68" w:rsidP="00737D68" w:rsidRDefault="00737D68" w14:paraId="73D11235" w14:textId="77777777">
            <w:pPr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Část projektu zakládající veřejnou podporu</w:t>
            </w:r>
          </w:p>
        </w:tc>
        <w:tc>
          <w:tcPr>
            <w:tcW w:w="2844" w:type="dxa"/>
            <w:tcBorders>
              <w:top w:val="single" w:color="auto" w:sz="12" w:space="0"/>
            </w:tcBorders>
            <w:vAlign w:val="center"/>
          </w:tcPr>
          <w:p w:rsidRPr="00737D68" w:rsidR="00737D68" w:rsidP="00737D68" w:rsidRDefault="00737D68" w14:paraId="36B46E6B" w14:textId="77777777">
            <w:pPr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[…]</w:t>
            </w:r>
          </w:p>
        </w:tc>
        <w:tc>
          <w:tcPr>
            <w:tcW w:w="2268" w:type="dxa"/>
            <w:tcBorders>
              <w:top w:val="single" w:color="auto" w:sz="12" w:space="0"/>
            </w:tcBorders>
            <w:vAlign w:val="center"/>
          </w:tcPr>
          <w:p w:rsidRPr="00737D68" w:rsidR="00737D68" w:rsidP="00737D68" w:rsidRDefault="00737D68" w14:paraId="42FCDFC1" w14:textId="77777777">
            <w:pPr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100</w:t>
            </w:r>
          </w:p>
        </w:tc>
      </w:tr>
      <w:tr w:rsidRPr="00737D68" w:rsidR="00737D68" w:rsidTr="00945A28" w14:paraId="161D3899" w14:textId="77777777">
        <w:tc>
          <w:tcPr>
            <w:tcW w:w="3960" w:type="dxa"/>
            <w:vAlign w:val="center"/>
          </w:tcPr>
          <w:p w:rsidRPr="00737D68" w:rsidR="00737D68" w:rsidP="00737D68" w:rsidRDefault="00737D68" w14:paraId="55FDF37E" w14:textId="77777777">
            <w:pPr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Vlastní financování</w:t>
            </w:r>
          </w:p>
        </w:tc>
        <w:tc>
          <w:tcPr>
            <w:tcW w:w="2844" w:type="dxa"/>
            <w:vAlign w:val="center"/>
          </w:tcPr>
          <w:p w:rsidRPr="00737D68" w:rsidR="00737D68" w:rsidP="00737D68" w:rsidRDefault="00737D68" w14:paraId="0A731A4B" w14:textId="77777777">
            <w:pPr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[…]</w:t>
            </w:r>
          </w:p>
        </w:tc>
        <w:tc>
          <w:tcPr>
            <w:tcW w:w="2268" w:type="dxa"/>
            <w:vAlign w:val="center"/>
          </w:tcPr>
          <w:p w:rsidRPr="00737D68" w:rsidR="00737D68" w:rsidP="00737D68" w:rsidRDefault="00737D68" w14:paraId="7CC469D6" w14:textId="77777777">
            <w:pPr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[…]</w:t>
            </w:r>
          </w:p>
        </w:tc>
      </w:tr>
      <w:tr w:rsidRPr="00737D68" w:rsidR="00737D68" w:rsidTr="00945A28" w14:paraId="0BA85AAB" w14:textId="77777777">
        <w:tc>
          <w:tcPr>
            <w:tcW w:w="3960" w:type="dxa"/>
            <w:vAlign w:val="center"/>
          </w:tcPr>
          <w:p w:rsidRPr="00737D68" w:rsidR="00737D68" w:rsidP="00737D68" w:rsidRDefault="00737D68" w14:paraId="7A10F0D0" w14:textId="77777777">
            <w:pPr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Částka veřejné podpory</w:t>
            </w:r>
          </w:p>
        </w:tc>
        <w:tc>
          <w:tcPr>
            <w:tcW w:w="2844" w:type="dxa"/>
            <w:vAlign w:val="center"/>
          </w:tcPr>
          <w:p w:rsidRPr="00737D68" w:rsidR="00737D68" w:rsidP="00737D68" w:rsidRDefault="00737D68" w14:paraId="76F35458" w14:textId="77777777">
            <w:pPr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[…]</w:t>
            </w:r>
          </w:p>
        </w:tc>
        <w:tc>
          <w:tcPr>
            <w:tcW w:w="2268" w:type="dxa"/>
            <w:vAlign w:val="center"/>
          </w:tcPr>
          <w:p w:rsidRPr="00737D68" w:rsidR="00737D68" w:rsidP="00737D68" w:rsidRDefault="00737D68" w14:paraId="6FF7ACAD" w14:textId="77777777">
            <w:pPr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[…]</w:t>
            </w:r>
          </w:p>
        </w:tc>
      </w:tr>
    </w:tbl>
    <w:p w:rsidRPr="00737D68" w:rsidR="00737D68" w:rsidP="00737D68" w:rsidRDefault="00737D68" w14:paraId="54AB024D" w14:textId="77777777">
      <w:pPr>
        <w:spacing w:before="120" w:after="220" w:line="240" w:lineRule="auto"/>
        <w:jc w:val="both"/>
        <w:rPr>
          <w:rFonts w:ascii="Arial" w:hAnsi="Arial" w:eastAsia="Arial" w:cs="Times New Roman"/>
        </w:rPr>
      </w:pPr>
      <w:r w:rsidRPr="00737D68">
        <w:rPr>
          <w:rFonts w:ascii="Arial" w:hAnsi="Arial" w:eastAsia="Arial" w:cs="Times New Roman"/>
        </w:rPr>
        <w:t xml:space="preserve">Z poskytnuté dotace představuje částka […] Kč podporu v režimu tzv. blokové výjimky vymezené v článku 31 (Podpora na vzdělávání) nařízení Komise (EU) č. 651/2014 ze dne 17. června 2014, kterým se v souladu s články 107 a 108 Smlouvy prohlašují určité kategorie podpory za slučitelné s vnitřním trhem, </w:t>
      </w:r>
      <w:proofErr w:type="spellStart"/>
      <w:r w:rsidRPr="00737D68">
        <w:rPr>
          <w:rFonts w:ascii="Arial" w:hAnsi="Arial" w:eastAsia="Arial" w:cs="Times New Roman"/>
        </w:rPr>
        <w:t>Úř</w:t>
      </w:r>
      <w:proofErr w:type="spellEnd"/>
      <w:r w:rsidRPr="00737D68">
        <w:rPr>
          <w:rFonts w:ascii="Arial" w:hAnsi="Arial" w:eastAsia="Arial" w:cs="Times New Roman"/>
        </w:rPr>
        <w:t xml:space="preserve">. </w:t>
      </w:r>
      <w:proofErr w:type="spellStart"/>
      <w:r w:rsidRPr="00737D68">
        <w:rPr>
          <w:rFonts w:ascii="Arial" w:hAnsi="Arial" w:eastAsia="Arial" w:cs="Times New Roman"/>
        </w:rPr>
        <w:t>věst</w:t>
      </w:r>
      <w:proofErr w:type="spellEnd"/>
      <w:r w:rsidRPr="00737D68">
        <w:rPr>
          <w:rFonts w:ascii="Arial" w:hAnsi="Arial" w:eastAsia="Arial" w:cs="Times New Roman"/>
        </w:rPr>
        <w:t xml:space="preserve">. L 187, 26. 6. 2014, s. 1—78. (Opatření podpory, v rámci něhož je podpora poskytována, se v návaznosti na výše uvedené nařízení rozumí OPZ, jehož plné znění je k dispozici na webovém portálu </w:t>
      </w:r>
      <w:hyperlink w:history="true" r:id="rId14">
        <w:r w:rsidRPr="00737D68">
          <w:rPr>
            <w:rFonts w:ascii="Arial" w:hAnsi="Arial" w:eastAsia="Arial" w:cs="Times New Roman"/>
            <w:color w:val="084A8B"/>
            <w:u w:val="single"/>
          </w:rPr>
          <w:t>www.esfcr.cz</w:t>
        </w:r>
      </w:hyperlink>
      <w:r w:rsidRPr="00737D68">
        <w:rPr>
          <w:rFonts w:ascii="Arial" w:hAnsi="Arial" w:eastAsia="Arial" w:cs="Times New Roman"/>
        </w:rPr>
        <w:t>.)</w:t>
      </w:r>
    </w:p>
    <w:p w:rsidRPr="00737D68" w:rsidR="00737D68" w:rsidP="00737D68" w:rsidRDefault="00737D68" w14:paraId="3F8415F2" w14:textId="77777777">
      <w:pPr>
        <w:spacing w:after="220" w:line="240" w:lineRule="auto"/>
        <w:jc w:val="both"/>
        <w:rPr>
          <w:rFonts w:ascii="Arial" w:hAnsi="Arial" w:eastAsia="Arial" w:cs="Times New Roman"/>
        </w:rPr>
      </w:pPr>
      <w:r w:rsidRPr="00737D68">
        <w:rPr>
          <w:rFonts w:ascii="Arial" w:hAnsi="Arial" w:eastAsia="Arial" w:cs="Times New Roman"/>
        </w:rPr>
        <w:t>---------------------------</w:t>
      </w:r>
    </w:p>
    <w:p w:rsidRPr="00737D68" w:rsidR="00737D68" w:rsidP="00737D68" w:rsidRDefault="00737D68" w14:paraId="494AB3D0" w14:textId="77777777">
      <w:pPr>
        <w:keepNext/>
        <w:spacing w:after="220" w:line="240" w:lineRule="auto"/>
        <w:jc w:val="both"/>
        <w:rPr>
          <w:rFonts w:ascii="Arial" w:hAnsi="Arial" w:eastAsia="Arial" w:cs="Times New Roman"/>
          <w:b/>
          <w:bCs/>
          <w:i/>
        </w:rPr>
      </w:pPr>
      <w:r w:rsidRPr="00737D68">
        <w:rPr>
          <w:rFonts w:ascii="Arial" w:hAnsi="Arial" w:eastAsia="Arial" w:cs="Times New Roman"/>
          <w:b/>
          <w:bCs/>
          <w:i/>
        </w:rPr>
        <w:t>Možnost D</w:t>
      </w:r>
    </w:p>
    <w:p w:rsidRPr="00737D68" w:rsidR="00737D68" w:rsidP="00737D68" w:rsidRDefault="00737D68" w14:paraId="51E116AA" w14:textId="77777777">
      <w:pPr>
        <w:keepNext/>
        <w:spacing w:after="220" w:line="240" w:lineRule="auto"/>
        <w:jc w:val="both"/>
        <w:rPr>
          <w:rFonts w:ascii="Arial" w:hAnsi="Arial" w:eastAsia="Arial" w:cs="Times New Roman"/>
          <w:i/>
        </w:rPr>
      </w:pPr>
      <w:r w:rsidRPr="00737D68">
        <w:rPr>
          <w:rFonts w:ascii="Arial" w:hAnsi="Arial" w:eastAsia="Arial" w:cs="Times New Roman"/>
          <w:i/>
        </w:rPr>
        <w:t>(platí pro projekty, které zakládají příjemci a partnerovi(</w:t>
      </w:r>
      <w:proofErr w:type="spellStart"/>
      <w:r w:rsidRPr="00737D68">
        <w:rPr>
          <w:rFonts w:ascii="Arial" w:hAnsi="Arial" w:eastAsia="Arial" w:cs="Times New Roman"/>
          <w:i/>
        </w:rPr>
        <w:t>ům</w:t>
      </w:r>
      <w:proofErr w:type="spellEnd"/>
      <w:r w:rsidRPr="00737D68">
        <w:rPr>
          <w:rFonts w:ascii="Arial" w:hAnsi="Arial" w:eastAsia="Arial" w:cs="Times New Roman"/>
          <w:i/>
        </w:rPr>
        <w:t>) s finančním příspěvkem veřejnou podporu, bez dalších zapojených subjektů)</w:t>
      </w:r>
    </w:p>
    <w:p w:rsidRPr="00737D68" w:rsidR="00737D68" w:rsidP="00737D68" w:rsidRDefault="00737D68" w14:paraId="432F6B5F" w14:textId="77777777">
      <w:pPr>
        <w:numPr>
          <w:ilvl w:val="1"/>
          <w:numId w:val="10"/>
        </w:numPr>
        <w:spacing w:after="220" w:line="240" w:lineRule="auto"/>
        <w:jc w:val="both"/>
        <w:rPr>
          <w:rFonts w:ascii="Arial" w:hAnsi="Arial" w:eastAsia="Arial" w:cs="Times New Roman"/>
        </w:rPr>
      </w:pPr>
      <w:r w:rsidRPr="00737D68">
        <w:rPr>
          <w:rFonts w:ascii="Arial" w:hAnsi="Arial" w:eastAsia="Arial" w:cs="Times New Roman"/>
        </w:rPr>
        <w:t xml:space="preserve">Projekt je z hlediska veřejné podpory následujícího charakteru: </w:t>
      </w:r>
    </w:p>
    <w:tbl>
      <w:tblPr>
        <w:tblW w:w="9072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127"/>
        <w:gridCol w:w="3118"/>
        <w:gridCol w:w="3827"/>
      </w:tblGrid>
      <w:tr w:rsidRPr="00737D68" w:rsidR="00737D68" w:rsidTr="00945A28" w14:paraId="438BE28B" w14:textId="77777777"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737D68" w:rsidR="00737D68" w:rsidP="00737D68" w:rsidRDefault="00737D68" w14:paraId="0D36FFC5" w14:textId="77777777">
            <w:pPr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7D68" w:rsidR="00737D68" w:rsidP="00737D68" w:rsidRDefault="00737D68" w14:paraId="11FEDD65" w14:textId="77777777">
            <w:pPr>
              <w:spacing w:before="60" w:after="60" w:line="240" w:lineRule="auto"/>
              <w:rPr>
                <w:rFonts w:ascii="Arial" w:hAnsi="Arial" w:eastAsia="Arial" w:cs="Times New Roman"/>
                <w:b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b/>
                <w:sz w:val="20"/>
                <w:szCs w:val="20"/>
              </w:rPr>
              <w:t>Část projektu zakládající veřejnou podporu příjemci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7D68" w:rsidR="00737D68" w:rsidP="00737D68" w:rsidRDefault="00737D68" w14:paraId="79802156" w14:textId="77777777">
            <w:pPr>
              <w:spacing w:before="60" w:after="60" w:line="240" w:lineRule="auto"/>
              <w:rPr>
                <w:rFonts w:ascii="Arial" w:hAnsi="Arial" w:eastAsia="Arial" w:cs="Times New Roman"/>
                <w:b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b/>
                <w:sz w:val="20"/>
                <w:szCs w:val="20"/>
              </w:rPr>
              <w:t>Část projektu zakládající veřejnou podporu partnerovi/</w:t>
            </w:r>
            <w:proofErr w:type="spellStart"/>
            <w:r w:rsidRPr="00737D68">
              <w:rPr>
                <w:rFonts w:ascii="Arial" w:hAnsi="Arial" w:eastAsia="Arial" w:cs="Times New Roman"/>
                <w:b/>
                <w:sz w:val="20"/>
                <w:szCs w:val="20"/>
              </w:rPr>
              <w:t>ům</w:t>
            </w:r>
            <w:proofErr w:type="spellEnd"/>
            <w:r w:rsidRPr="00737D68">
              <w:rPr>
                <w:rFonts w:ascii="Arial" w:hAnsi="Arial" w:eastAsia="Arial" w:cs="Times New Roman"/>
                <w:b/>
                <w:sz w:val="20"/>
                <w:szCs w:val="20"/>
              </w:rPr>
              <w:t xml:space="preserve"> s </w:t>
            </w:r>
            <w:proofErr w:type="spellStart"/>
            <w:r w:rsidRPr="00737D68">
              <w:rPr>
                <w:rFonts w:ascii="Arial" w:hAnsi="Arial" w:eastAsia="Arial" w:cs="Times New Roman"/>
                <w:b/>
                <w:sz w:val="20"/>
                <w:szCs w:val="20"/>
              </w:rPr>
              <w:t>fin</w:t>
            </w:r>
            <w:proofErr w:type="spellEnd"/>
            <w:r w:rsidRPr="00737D68">
              <w:rPr>
                <w:rFonts w:ascii="Arial" w:hAnsi="Arial" w:eastAsia="Arial" w:cs="Times New Roman"/>
                <w:b/>
                <w:sz w:val="20"/>
                <w:szCs w:val="20"/>
              </w:rPr>
              <w:t>. příspěvkem</w:t>
            </w:r>
          </w:p>
        </w:tc>
      </w:tr>
      <w:tr w:rsidRPr="00737D68" w:rsidR="00737D68" w:rsidTr="00945A28" w14:paraId="40F8484E" w14:textId="77777777">
        <w:tc>
          <w:tcPr>
            <w:tcW w:w="2127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37D68" w:rsidR="00737D68" w:rsidP="00737D68" w:rsidRDefault="00737D68" w14:paraId="687EC38A" w14:textId="77777777">
            <w:pPr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color="auto" w:sz="4" w:space="0"/>
            </w:tcBorders>
            <w:vAlign w:val="center"/>
          </w:tcPr>
          <w:p w:rsidRPr="00737D68" w:rsidR="00737D68" w:rsidP="00737D68" w:rsidRDefault="00737D68" w14:paraId="62206530" w14:textId="77777777">
            <w:pPr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v Kč</w:t>
            </w:r>
          </w:p>
        </w:tc>
        <w:tc>
          <w:tcPr>
            <w:tcW w:w="3827" w:type="dxa"/>
            <w:vAlign w:val="center"/>
          </w:tcPr>
          <w:p w:rsidRPr="00737D68" w:rsidR="00737D68" w:rsidP="00737D68" w:rsidRDefault="00737D68" w14:paraId="0FD6DD66" w14:textId="77777777">
            <w:pPr>
              <w:spacing w:before="60" w:after="60" w:line="240" w:lineRule="auto"/>
              <w:jc w:val="both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v Kč</w:t>
            </w:r>
          </w:p>
        </w:tc>
      </w:tr>
      <w:tr w:rsidRPr="00737D68" w:rsidR="00737D68" w:rsidTr="00945A28" w14:paraId="393DEB62" w14:textId="77777777">
        <w:tc>
          <w:tcPr>
            <w:tcW w:w="2127" w:type="dxa"/>
            <w:tcBorders>
              <w:top w:val="single" w:color="auto" w:sz="12" w:space="0"/>
            </w:tcBorders>
            <w:vAlign w:val="center"/>
          </w:tcPr>
          <w:p w:rsidRPr="00737D68" w:rsidR="00737D68" w:rsidP="00737D68" w:rsidRDefault="00737D68" w14:paraId="0FFA9F4C" w14:textId="77777777">
            <w:pPr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 xml:space="preserve">Částka </w:t>
            </w:r>
            <w:proofErr w:type="spellStart"/>
            <w:r w:rsidRPr="00737D68">
              <w:rPr>
                <w:rFonts w:ascii="Arial" w:hAnsi="Arial" w:eastAsia="Arial" w:cs="Times New Roman"/>
                <w:sz w:val="20"/>
                <w:szCs w:val="20"/>
              </w:rPr>
              <w:t>způs</w:t>
            </w:r>
            <w:proofErr w:type="spellEnd"/>
            <w:r w:rsidRPr="00737D68">
              <w:rPr>
                <w:rFonts w:ascii="Arial" w:hAnsi="Arial" w:eastAsia="Arial" w:cs="Times New Roman"/>
                <w:sz w:val="20"/>
                <w:szCs w:val="20"/>
              </w:rPr>
              <w:t>. výdajů očištěných o příjmy</w:t>
            </w:r>
          </w:p>
        </w:tc>
        <w:tc>
          <w:tcPr>
            <w:tcW w:w="3118" w:type="dxa"/>
            <w:tcBorders>
              <w:top w:val="single" w:color="auto" w:sz="12" w:space="0"/>
            </w:tcBorders>
            <w:vAlign w:val="center"/>
          </w:tcPr>
          <w:p w:rsidRPr="00737D68" w:rsidR="00737D68" w:rsidP="00737D68" w:rsidRDefault="00737D68" w14:paraId="1CBDDA9D" w14:textId="77777777">
            <w:pPr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[…]</w:t>
            </w:r>
          </w:p>
        </w:tc>
        <w:tc>
          <w:tcPr>
            <w:tcW w:w="3827" w:type="dxa"/>
            <w:tcBorders>
              <w:top w:val="single" w:color="auto" w:sz="12" w:space="0"/>
            </w:tcBorders>
            <w:vAlign w:val="center"/>
          </w:tcPr>
          <w:p w:rsidRPr="00737D68" w:rsidR="00737D68" w:rsidP="00737D68" w:rsidRDefault="00737D68" w14:paraId="3A786EC2" w14:textId="77777777">
            <w:pPr>
              <w:spacing w:before="60" w:after="60" w:line="240" w:lineRule="auto"/>
              <w:jc w:val="both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[…]</w:t>
            </w:r>
          </w:p>
        </w:tc>
      </w:tr>
    </w:tbl>
    <w:p w:rsidRPr="00737D68" w:rsidR="00737D68" w:rsidP="00737D68" w:rsidRDefault="00737D68" w14:paraId="177BDF74" w14:textId="77777777">
      <w:pPr>
        <w:spacing w:before="120" w:after="220" w:line="240" w:lineRule="auto"/>
        <w:jc w:val="both"/>
        <w:rPr>
          <w:rFonts w:ascii="Arial" w:hAnsi="Arial" w:eastAsia="Arial" w:cs="Times New Roman"/>
        </w:rPr>
      </w:pPr>
      <w:r w:rsidRPr="00737D68">
        <w:rPr>
          <w:rFonts w:ascii="Arial" w:hAnsi="Arial" w:eastAsia="Arial" w:cs="Times New Roman"/>
        </w:rPr>
        <w:t>Přičemž podpora de minimis / veřejná podpora je poskytnuta příjemci dotace v následující výši:</w:t>
      </w:r>
      <w:r w:rsidRPr="00737D68">
        <w:rPr>
          <w:rFonts w:ascii="Arial" w:hAnsi="Arial" w:eastAsia="Arial" w:cs="Times New Roman"/>
          <w:b/>
        </w:rPr>
        <w:t xml:space="preserve"> </w:t>
      </w:r>
    </w:p>
    <w:tbl>
      <w:tblPr>
        <w:tblW w:w="9072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820"/>
        <w:gridCol w:w="1984"/>
        <w:gridCol w:w="2268"/>
      </w:tblGrid>
      <w:tr w:rsidRPr="00737D68" w:rsidR="00737D68" w:rsidTr="00945A28" w14:paraId="6A3D95AC" w14:textId="77777777">
        <w:tc>
          <w:tcPr>
            <w:tcW w:w="4820" w:type="dxa"/>
            <w:vAlign w:val="center"/>
          </w:tcPr>
          <w:p w:rsidRPr="00737D68" w:rsidR="00737D68" w:rsidP="00737D68" w:rsidRDefault="00737D68" w14:paraId="0638183F" w14:textId="77777777">
            <w:pPr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b/>
                <w:sz w:val="20"/>
                <w:szCs w:val="20"/>
              </w:rPr>
              <w:t>Podpora de minimis / veřejná podpora určená pro příjemce (příjemce dotace)</w:t>
            </w:r>
          </w:p>
        </w:tc>
        <w:tc>
          <w:tcPr>
            <w:tcW w:w="1984" w:type="dxa"/>
            <w:vAlign w:val="center"/>
          </w:tcPr>
          <w:p w:rsidRPr="00737D68" w:rsidR="00737D68" w:rsidP="00737D68" w:rsidRDefault="00737D68" w14:paraId="3106D7B8" w14:textId="77777777">
            <w:pPr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Částka v Kč</w:t>
            </w:r>
          </w:p>
        </w:tc>
        <w:tc>
          <w:tcPr>
            <w:tcW w:w="2268" w:type="dxa"/>
            <w:vAlign w:val="center"/>
          </w:tcPr>
          <w:p w:rsidRPr="00737D68" w:rsidR="00737D68" w:rsidP="00737D68" w:rsidRDefault="00737D68" w14:paraId="6E8E7579" w14:textId="77777777">
            <w:pPr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Podíl v %</w:t>
            </w:r>
            <w:r w:rsidRPr="00737D68">
              <w:rPr>
                <w:rFonts w:ascii="Arial" w:hAnsi="Arial" w:eastAsia="Arial" w:cs="Times New Roman"/>
                <w:snapToGrid w:val="false"/>
                <w:vertAlign w:val="superscript"/>
              </w:rPr>
              <w:footnoteReference w:id="11"/>
            </w:r>
          </w:p>
        </w:tc>
      </w:tr>
      <w:tr w:rsidRPr="00737D68" w:rsidR="00737D68" w:rsidTr="00945A28" w14:paraId="5520E3F4" w14:textId="77777777">
        <w:tc>
          <w:tcPr>
            <w:tcW w:w="4820" w:type="dxa"/>
            <w:tcBorders>
              <w:top w:val="single" w:color="auto" w:sz="12" w:space="0"/>
            </w:tcBorders>
            <w:vAlign w:val="center"/>
          </w:tcPr>
          <w:p w:rsidRPr="00737D68" w:rsidR="00737D68" w:rsidP="00737D68" w:rsidRDefault="00737D68" w14:paraId="57A3C4EB" w14:textId="77777777">
            <w:pPr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Část projektu zakládající veřejnou podporu</w:t>
            </w:r>
          </w:p>
        </w:tc>
        <w:tc>
          <w:tcPr>
            <w:tcW w:w="1984" w:type="dxa"/>
            <w:tcBorders>
              <w:top w:val="single" w:color="auto" w:sz="12" w:space="0"/>
            </w:tcBorders>
            <w:vAlign w:val="center"/>
          </w:tcPr>
          <w:p w:rsidRPr="00737D68" w:rsidR="00737D68" w:rsidP="00737D68" w:rsidRDefault="00737D68" w14:paraId="40C6589E" w14:textId="77777777">
            <w:pPr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[…]</w:t>
            </w:r>
          </w:p>
        </w:tc>
        <w:tc>
          <w:tcPr>
            <w:tcW w:w="2268" w:type="dxa"/>
            <w:tcBorders>
              <w:top w:val="single" w:color="auto" w:sz="12" w:space="0"/>
            </w:tcBorders>
            <w:vAlign w:val="center"/>
          </w:tcPr>
          <w:p w:rsidRPr="00737D68" w:rsidR="00737D68" w:rsidP="00737D68" w:rsidRDefault="00737D68" w14:paraId="144278CC" w14:textId="77777777">
            <w:pPr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100</w:t>
            </w:r>
          </w:p>
        </w:tc>
      </w:tr>
      <w:tr w:rsidRPr="00737D68" w:rsidR="00737D68" w:rsidTr="00945A28" w14:paraId="1A781287" w14:textId="77777777">
        <w:tc>
          <w:tcPr>
            <w:tcW w:w="4820" w:type="dxa"/>
            <w:vAlign w:val="center"/>
          </w:tcPr>
          <w:p w:rsidRPr="00737D68" w:rsidR="00737D68" w:rsidP="00737D68" w:rsidRDefault="00737D68" w14:paraId="69D5EA2B" w14:textId="77777777">
            <w:pPr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Vlastní financování</w:t>
            </w:r>
          </w:p>
        </w:tc>
        <w:tc>
          <w:tcPr>
            <w:tcW w:w="1984" w:type="dxa"/>
            <w:vAlign w:val="center"/>
          </w:tcPr>
          <w:p w:rsidRPr="00737D68" w:rsidR="00737D68" w:rsidP="00737D68" w:rsidRDefault="00737D68" w14:paraId="4E856E5A" w14:textId="77777777">
            <w:pPr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[…]</w:t>
            </w:r>
          </w:p>
        </w:tc>
        <w:tc>
          <w:tcPr>
            <w:tcW w:w="2268" w:type="dxa"/>
            <w:vAlign w:val="center"/>
          </w:tcPr>
          <w:p w:rsidRPr="00737D68" w:rsidR="00737D68" w:rsidP="00737D68" w:rsidRDefault="00737D68" w14:paraId="6FE760C3" w14:textId="77777777">
            <w:pPr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[…]</w:t>
            </w:r>
          </w:p>
        </w:tc>
      </w:tr>
      <w:tr w:rsidRPr="00737D68" w:rsidR="00737D68" w:rsidTr="00945A28" w14:paraId="7CAAFC93" w14:textId="77777777">
        <w:tc>
          <w:tcPr>
            <w:tcW w:w="4820" w:type="dxa"/>
            <w:vAlign w:val="center"/>
          </w:tcPr>
          <w:p w:rsidRPr="00737D68" w:rsidR="00737D68" w:rsidP="00737D68" w:rsidRDefault="00737D68" w14:paraId="0B6B77EC" w14:textId="77777777">
            <w:pPr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Částka veřejné podpory</w:t>
            </w:r>
          </w:p>
        </w:tc>
        <w:tc>
          <w:tcPr>
            <w:tcW w:w="1984" w:type="dxa"/>
            <w:vAlign w:val="center"/>
          </w:tcPr>
          <w:p w:rsidRPr="00737D68" w:rsidR="00737D68" w:rsidP="00737D68" w:rsidRDefault="00737D68" w14:paraId="34E45906" w14:textId="77777777">
            <w:pPr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[…]</w:t>
            </w:r>
          </w:p>
        </w:tc>
        <w:tc>
          <w:tcPr>
            <w:tcW w:w="2268" w:type="dxa"/>
            <w:vAlign w:val="center"/>
          </w:tcPr>
          <w:p w:rsidRPr="00737D68" w:rsidR="00737D68" w:rsidP="00737D68" w:rsidRDefault="00737D68" w14:paraId="37380F2D" w14:textId="77777777">
            <w:pPr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[…]</w:t>
            </w:r>
          </w:p>
        </w:tc>
      </w:tr>
    </w:tbl>
    <w:p w:rsidRPr="00737D68" w:rsidR="00737D68" w:rsidP="00737D68" w:rsidRDefault="00737D68" w14:paraId="46A87B54" w14:textId="77777777">
      <w:pPr>
        <w:spacing w:before="120" w:after="220" w:line="240" w:lineRule="auto"/>
        <w:jc w:val="both"/>
        <w:rPr>
          <w:rFonts w:ascii="Arial" w:hAnsi="Arial" w:eastAsia="Arial" w:cs="Times New Roman"/>
        </w:rPr>
      </w:pPr>
      <w:r w:rsidRPr="00737D68">
        <w:rPr>
          <w:rFonts w:ascii="Arial" w:hAnsi="Arial" w:eastAsia="Arial" w:cs="Times New Roman"/>
        </w:rPr>
        <w:t xml:space="preserve">Z poskytnuté dotace představuje částka […] Kč podporu de minimis v souladu s nařízením Komise (EU) č. 1407/2013 ze dne 18. prosince 2013 o použití článků 107 a 108 Smlouvy o fungování Evropské unie na podporu de </w:t>
      </w:r>
      <w:proofErr w:type="spellStart"/>
      <w:r w:rsidRPr="00737D68">
        <w:rPr>
          <w:rFonts w:ascii="Arial" w:hAnsi="Arial" w:eastAsia="Arial" w:cs="Times New Roman"/>
        </w:rPr>
        <w:t>minimis</w:t>
      </w:r>
      <w:proofErr w:type="spellEnd"/>
      <w:r w:rsidRPr="00737D68">
        <w:rPr>
          <w:rFonts w:ascii="Arial" w:hAnsi="Arial" w:eastAsia="Arial" w:cs="Times New Roman"/>
        </w:rPr>
        <w:t xml:space="preserve">, </w:t>
      </w:r>
      <w:proofErr w:type="spellStart"/>
      <w:r w:rsidRPr="00737D68">
        <w:rPr>
          <w:rFonts w:ascii="Arial" w:hAnsi="Arial" w:eastAsia="Arial" w:cs="Times New Roman"/>
        </w:rPr>
        <w:t>Úř</w:t>
      </w:r>
      <w:proofErr w:type="spellEnd"/>
      <w:r w:rsidRPr="00737D68">
        <w:rPr>
          <w:rFonts w:ascii="Arial" w:hAnsi="Arial" w:eastAsia="Arial" w:cs="Times New Roman"/>
        </w:rPr>
        <w:t xml:space="preserve">. </w:t>
      </w:r>
      <w:proofErr w:type="spellStart"/>
      <w:r w:rsidRPr="00737D68">
        <w:rPr>
          <w:rFonts w:ascii="Arial" w:hAnsi="Arial" w:eastAsia="Arial" w:cs="Times New Roman"/>
        </w:rPr>
        <w:t>věst</w:t>
      </w:r>
      <w:proofErr w:type="spellEnd"/>
      <w:r w:rsidRPr="00737D68">
        <w:rPr>
          <w:rFonts w:ascii="Arial" w:hAnsi="Arial" w:eastAsia="Arial" w:cs="Times New Roman"/>
        </w:rPr>
        <w:t xml:space="preserve">. L 352, 18. 12. 2013, s. 1—8. </w:t>
      </w:r>
    </w:p>
    <w:p w:rsidRPr="00737D68" w:rsidR="00737D68" w:rsidP="00737D68" w:rsidRDefault="00737D68" w14:paraId="48901CF5" w14:textId="77777777">
      <w:pPr>
        <w:spacing w:after="220" w:line="240" w:lineRule="auto"/>
        <w:jc w:val="both"/>
        <w:rPr>
          <w:rFonts w:ascii="Arial" w:hAnsi="Arial" w:eastAsia="Arial" w:cs="Times New Roman"/>
        </w:rPr>
      </w:pPr>
      <w:r w:rsidRPr="00737D68">
        <w:rPr>
          <w:rFonts w:ascii="Arial" w:hAnsi="Arial" w:eastAsia="Arial" w:cs="Times New Roman"/>
        </w:rPr>
        <w:t>nebo</w:t>
      </w:r>
    </w:p>
    <w:p w:rsidRPr="00737D68" w:rsidR="00737D68" w:rsidP="00737D68" w:rsidRDefault="00737D68" w14:paraId="5BB3BBDE" w14:textId="77777777">
      <w:pPr>
        <w:spacing w:after="220" w:line="240" w:lineRule="auto"/>
        <w:jc w:val="both"/>
        <w:rPr>
          <w:rFonts w:ascii="Arial" w:hAnsi="Arial" w:eastAsia="Arial" w:cs="Times New Roman"/>
        </w:rPr>
      </w:pPr>
      <w:r w:rsidRPr="00737D68">
        <w:rPr>
          <w:rFonts w:ascii="Arial" w:hAnsi="Arial" w:eastAsia="Arial" w:cs="Times New Roman"/>
        </w:rPr>
        <w:t xml:space="preserve">Z poskytnuté dotace představuje částka […] Kč podporu de minimis v souladu s nařízením Komise (EU) č. 1408/2013 ze dne 18. prosince 2013 o použití článků 107 a 108 Smlouvy o fungování Evropské unie na podporu de minimis v odvětví zemědělství, </w:t>
      </w:r>
      <w:proofErr w:type="spellStart"/>
      <w:r w:rsidRPr="00737D68">
        <w:rPr>
          <w:rFonts w:ascii="Arial" w:hAnsi="Arial" w:eastAsia="Arial" w:cs="Times New Roman"/>
        </w:rPr>
        <w:t>Úř</w:t>
      </w:r>
      <w:proofErr w:type="spellEnd"/>
      <w:r w:rsidRPr="00737D68">
        <w:rPr>
          <w:rFonts w:ascii="Arial" w:hAnsi="Arial" w:eastAsia="Arial" w:cs="Times New Roman"/>
        </w:rPr>
        <w:t xml:space="preserve">. </w:t>
      </w:r>
      <w:proofErr w:type="spellStart"/>
      <w:r w:rsidRPr="00737D68">
        <w:rPr>
          <w:rFonts w:ascii="Arial" w:hAnsi="Arial" w:eastAsia="Arial" w:cs="Times New Roman"/>
        </w:rPr>
        <w:t>věst</w:t>
      </w:r>
      <w:proofErr w:type="spellEnd"/>
      <w:r w:rsidRPr="00737D68">
        <w:rPr>
          <w:rFonts w:ascii="Arial" w:hAnsi="Arial" w:eastAsia="Arial" w:cs="Times New Roman"/>
        </w:rPr>
        <w:t xml:space="preserve">. L 352, 24. 12. 2013, s. 9—17. </w:t>
      </w:r>
    </w:p>
    <w:p w:rsidRPr="00737D68" w:rsidR="00737D68" w:rsidP="00737D68" w:rsidRDefault="00737D68" w14:paraId="193B1DD3" w14:textId="77777777">
      <w:pPr>
        <w:spacing w:after="220" w:line="240" w:lineRule="auto"/>
        <w:jc w:val="both"/>
        <w:rPr>
          <w:rFonts w:ascii="Arial" w:hAnsi="Arial" w:eastAsia="Arial" w:cs="Times New Roman"/>
        </w:rPr>
      </w:pPr>
      <w:r w:rsidRPr="00737D68">
        <w:rPr>
          <w:rFonts w:ascii="Arial" w:hAnsi="Arial" w:eastAsia="Arial" w:cs="Times New Roman"/>
        </w:rPr>
        <w:t>nebo</w:t>
      </w:r>
    </w:p>
    <w:p w:rsidRPr="00737D68" w:rsidR="00737D68" w:rsidP="00737D68" w:rsidRDefault="00737D68" w14:paraId="0BF3E9E4" w14:textId="77777777">
      <w:pPr>
        <w:spacing w:after="220" w:line="240" w:lineRule="auto"/>
        <w:jc w:val="both"/>
        <w:rPr>
          <w:rFonts w:ascii="Arial" w:hAnsi="Arial" w:eastAsia="Arial" w:cs="Times New Roman"/>
        </w:rPr>
      </w:pPr>
      <w:r w:rsidRPr="00737D68">
        <w:rPr>
          <w:rFonts w:ascii="Arial" w:hAnsi="Arial" w:eastAsia="Arial" w:cs="Times New Roman"/>
        </w:rPr>
        <w:t xml:space="preserve">Z poskytnuté dotace představuje částka […] Kč podporu de minimis v souladu s nařízením Komise (EU) č. 717/2014 ze dne 27. června 2014 o použití článků 107 a 108 Smlouvy o fungování Evropské unie na podporu de minimis v odvětví rybolovu a akvakultury, </w:t>
      </w:r>
      <w:proofErr w:type="spellStart"/>
      <w:r w:rsidRPr="00737D68">
        <w:rPr>
          <w:rFonts w:ascii="Arial" w:hAnsi="Arial" w:eastAsia="Arial" w:cs="Times New Roman"/>
        </w:rPr>
        <w:t>Úř</w:t>
      </w:r>
      <w:proofErr w:type="spellEnd"/>
      <w:r w:rsidRPr="00737D68">
        <w:rPr>
          <w:rFonts w:ascii="Arial" w:hAnsi="Arial" w:eastAsia="Arial" w:cs="Times New Roman"/>
        </w:rPr>
        <w:t xml:space="preserve">. </w:t>
      </w:r>
      <w:proofErr w:type="spellStart"/>
      <w:r w:rsidRPr="00737D68">
        <w:rPr>
          <w:rFonts w:ascii="Arial" w:hAnsi="Arial" w:eastAsia="Arial" w:cs="Times New Roman"/>
        </w:rPr>
        <w:t>věst</w:t>
      </w:r>
      <w:proofErr w:type="spellEnd"/>
      <w:r w:rsidRPr="00737D68">
        <w:rPr>
          <w:rFonts w:ascii="Arial" w:hAnsi="Arial" w:eastAsia="Arial" w:cs="Times New Roman"/>
        </w:rPr>
        <w:t>. L 190, 28. 6. 2014, s. 45—54.</w:t>
      </w:r>
    </w:p>
    <w:p w:rsidRPr="00737D68" w:rsidR="00737D68" w:rsidP="00737D68" w:rsidRDefault="00737D68" w14:paraId="2760992F" w14:textId="77777777">
      <w:pPr>
        <w:spacing w:after="220" w:line="240" w:lineRule="auto"/>
        <w:jc w:val="both"/>
        <w:rPr>
          <w:rFonts w:ascii="Arial" w:hAnsi="Arial" w:eastAsia="Arial" w:cs="Times New Roman"/>
        </w:rPr>
      </w:pPr>
      <w:r w:rsidRPr="00737D68">
        <w:rPr>
          <w:rFonts w:ascii="Arial" w:hAnsi="Arial" w:eastAsia="Arial" w:cs="Times New Roman"/>
        </w:rPr>
        <w:t>nebo</w:t>
      </w:r>
    </w:p>
    <w:p w:rsidRPr="00737D68" w:rsidR="00737D68" w:rsidP="00737D68" w:rsidRDefault="00737D68" w14:paraId="3FE1733F" w14:textId="77777777">
      <w:pPr>
        <w:spacing w:after="220" w:line="240" w:lineRule="auto"/>
        <w:jc w:val="both"/>
        <w:rPr>
          <w:rFonts w:ascii="Arial" w:hAnsi="Arial" w:eastAsia="Arial" w:cs="Times New Roman"/>
        </w:rPr>
      </w:pPr>
      <w:r w:rsidRPr="00737D68">
        <w:rPr>
          <w:rFonts w:ascii="Arial" w:hAnsi="Arial" w:eastAsia="Arial" w:cs="Times New Roman"/>
        </w:rPr>
        <w:t xml:space="preserve">Z poskytnuté dotace představuje částka […] Kč podporu v režimu tzv. blokové výjimky vymezené v článku 31 (Podpora na vzdělávání) nařízení Komise (EU) č. 651/2014 ze dne 17. června 2014, kterým se v souladu s články 107 a 108 Smlouvy prohlašují určité kategorie podpory za slučitelné s vnitřním trhem, </w:t>
      </w:r>
      <w:proofErr w:type="spellStart"/>
      <w:r w:rsidRPr="00737D68">
        <w:rPr>
          <w:rFonts w:ascii="Arial" w:hAnsi="Arial" w:eastAsia="Arial" w:cs="Times New Roman"/>
        </w:rPr>
        <w:t>Úř</w:t>
      </w:r>
      <w:proofErr w:type="spellEnd"/>
      <w:r w:rsidRPr="00737D68">
        <w:rPr>
          <w:rFonts w:ascii="Arial" w:hAnsi="Arial" w:eastAsia="Arial" w:cs="Times New Roman"/>
        </w:rPr>
        <w:t xml:space="preserve">. </w:t>
      </w:r>
      <w:proofErr w:type="spellStart"/>
      <w:r w:rsidRPr="00737D68">
        <w:rPr>
          <w:rFonts w:ascii="Arial" w:hAnsi="Arial" w:eastAsia="Arial" w:cs="Times New Roman"/>
        </w:rPr>
        <w:t>věst</w:t>
      </w:r>
      <w:proofErr w:type="spellEnd"/>
      <w:r w:rsidRPr="00737D68">
        <w:rPr>
          <w:rFonts w:ascii="Arial" w:hAnsi="Arial" w:eastAsia="Arial" w:cs="Times New Roman"/>
        </w:rPr>
        <w:t xml:space="preserve">. L 187, 26. 6. 2014, s. 1—78. (Opatření podpory, v rámci něhož je podpora poskytována, se v návaznosti na výše uvedené nařízení rozumí OPZ, jehož plné znění je k dispozici na webovém portálu </w:t>
      </w:r>
      <w:hyperlink w:history="true" r:id="rId15">
        <w:r w:rsidRPr="00737D68">
          <w:rPr>
            <w:rFonts w:ascii="Arial" w:hAnsi="Arial" w:eastAsia="Arial" w:cs="Times New Roman"/>
            <w:color w:val="084A8B"/>
            <w:u w:val="single"/>
          </w:rPr>
          <w:t>www.esfcr.cz</w:t>
        </w:r>
      </w:hyperlink>
      <w:r w:rsidRPr="00737D68">
        <w:rPr>
          <w:rFonts w:ascii="Arial" w:hAnsi="Arial" w:eastAsia="Arial" w:cs="Times New Roman"/>
        </w:rPr>
        <w:t>.)</w:t>
      </w:r>
    </w:p>
    <w:p w:rsidRPr="00737D68" w:rsidR="00737D68" w:rsidP="00737D68" w:rsidRDefault="00737D68" w14:paraId="470F0331" w14:textId="77777777">
      <w:pPr>
        <w:spacing w:after="220" w:line="240" w:lineRule="auto"/>
        <w:jc w:val="both"/>
        <w:rPr>
          <w:rFonts w:ascii="Arial" w:hAnsi="Arial" w:eastAsia="Arial" w:cs="Times New Roman"/>
        </w:rPr>
      </w:pPr>
      <w:r w:rsidRPr="00737D68">
        <w:rPr>
          <w:rFonts w:ascii="Arial" w:hAnsi="Arial" w:eastAsia="Arial" w:cs="Times New Roman"/>
        </w:rPr>
        <w:t xml:space="preserve">A dále je podpora de minimis / veřejná podpora poskytnuta následujícím partnerům </w:t>
      </w:r>
      <w:r w:rsidRPr="00737D68">
        <w:rPr>
          <w:rFonts w:ascii="Arial" w:hAnsi="Arial" w:eastAsia="Arial" w:cs="Times New Roman"/>
        </w:rPr>
        <w:br/>
        <w:t>s finančním příspěvkem ve výši:</w:t>
      </w:r>
      <w:r w:rsidRPr="00737D68">
        <w:rPr>
          <w:rFonts w:ascii="Arial" w:hAnsi="Arial" w:eastAsia="Arial" w:cs="Times New Roman"/>
          <w:b/>
        </w:rPr>
        <w:t xml:space="preserve"> </w:t>
      </w:r>
    </w:p>
    <w:tbl>
      <w:tblPr>
        <w:tblW w:w="9072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960"/>
        <w:gridCol w:w="2561"/>
        <w:gridCol w:w="2551"/>
      </w:tblGrid>
      <w:tr w:rsidRPr="00737D68" w:rsidR="00737D68" w:rsidTr="00945A28" w14:paraId="322067F7" w14:textId="77777777">
        <w:tc>
          <w:tcPr>
            <w:tcW w:w="3960" w:type="dxa"/>
            <w:vAlign w:val="center"/>
          </w:tcPr>
          <w:p w:rsidRPr="00737D68" w:rsidR="00737D68" w:rsidP="00737D68" w:rsidRDefault="00737D68" w14:paraId="25FA3755" w14:textId="77777777">
            <w:pPr>
              <w:keepNext/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b/>
                <w:sz w:val="20"/>
                <w:szCs w:val="20"/>
              </w:rPr>
              <w:t>Podpora de minimis / veřejná podpora určená pro …. (doplnit název Partnera s finančním příspěvkem I)</w:t>
            </w:r>
          </w:p>
        </w:tc>
        <w:tc>
          <w:tcPr>
            <w:tcW w:w="2561" w:type="dxa"/>
            <w:vAlign w:val="center"/>
          </w:tcPr>
          <w:p w:rsidRPr="00737D68" w:rsidR="00737D68" w:rsidP="00737D68" w:rsidRDefault="00737D68" w14:paraId="0B298B21" w14:textId="77777777">
            <w:pPr>
              <w:keepNext/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Částka v Kč</w:t>
            </w:r>
          </w:p>
        </w:tc>
        <w:tc>
          <w:tcPr>
            <w:tcW w:w="2551" w:type="dxa"/>
            <w:vAlign w:val="center"/>
          </w:tcPr>
          <w:p w:rsidRPr="00737D68" w:rsidR="00737D68" w:rsidP="00737D68" w:rsidRDefault="00737D68" w14:paraId="53CB1CE5" w14:textId="77777777">
            <w:pPr>
              <w:keepNext/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Podíl v %</w:t>
            </w:r>
            <w:r w:rsidRPr="00737D68">
              <w:rPr>
                <w:rFonts w:ascii="Arial" w:hAnsi="Arial" w:eastAsia="Arial" w:cs="Times New Roman"/>
                <w:snapToGrid w:val="false"/>
                <w:vertAlign w:val="superscript"/>
              </w:rPr>
              <w:footnoteReference w:id="12"/>
            </w:r>
          </w:p>
        </w:tc>
      </w:tr>
      <w:tr w:rsidRPr="00737D68" w:rsidR="00737D68" w:rsidTr="00945A28" w14:paraId="0EBDB5A1" w14:textId="77777777">
        <w:tc>
          <w:tcPr>
            <w:tcW w:w="3960" w:type="dxa"/>
            <w:tcBorders>
              <w:top w:val="single" w:color="auto" w:sz="12" w:space="0"/>
            </w:tcBorders>
            <w:vAlign w:val="center"/>
          </w:tcPr>
          <w:p w:rsidRPr="00737D68" w:rsidR="00737D68" w:rsidP="00737D68" w:rsidRDefault="00737D68" w14:paraId="2041425A" w14:textId="77777777">
            <w:pPr>
              <w:keepNext/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Část projektu zakládající veřejnou podporu</w:t>
            </w:r>
          </w:p>
        </w:tc>
        <w:tc>
          <w:tcPr>
            <w:tcW w:w="2561" w:type="dxa"/>
            <w:tcBorders>
              <w:top w:val="single" w:color="auto" w:sz="12" w:space="0"/>
            </w:tcBorders>
            <w:vAlign w:val="center"/>
          </w:tcPr>
          <w:p w:rsidRPr="00737D68" w:rsidR="00737D68" w:rsidP="00737D68" w:rsidRDefault="00737D68" w14:paraId="029B4573" w14:textId="77777777">
            <w:pPr>
              <w:keepNext/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[…]</w:t>
            </w:r>
          </w:p>
        </w:tc>
        <w:tc>
          <w:tcPr>
            <w:tcW w:w="2551" w:type="dxa"/>
            <w:tcBorders>
              <w:top w:val="single" w:color="auto" w:sz="12" w:space="0"/>
            </w:tcBorders>
            <w:vAlign w:val="center"/>
          </w:tcPr>
          <w:p w:rsidRPr="00737D68" w:rsidR="00737D68" w:rsidP="00737D68" w:rsidRDefault="00737D68" w14:paraId="19C3FC96" w14:textId="77777777">
            <w:pPr>
              <w:keepNext/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100</w:t>
            </w:r>
          </w:p>
        </w:tc>
      </w:tr>
      <w:tr w:rsidRPr="00737D68" w:rsidR="00737D68" w:rsidTr="00945A28" w14:paraId="6E1F4D03" w14:textId="77777777">
        <w:tc>
          <w:tcPr>
            <w:tcW w:w="3960" w:type="dxa"/>
            <w:vAlign w:val="center"/>
          </w:tcPr>
          <w:p w:rsidRPr="00737D68" w:rsidR="00737D68" w:rsidP="00737D68" w:rsidRDefault="00737D68" w14:paraId="1EED8F46" w14:textId="77777777">
            <w:pPr>
              <w:keepNext/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Vlastní financování</w:t>
            </w:r>
          </w:p>
        </w:tc>
        <w:tc>
          <w:tcPr>
            <w:tcW w:w="2561" w:type="dxa"/>
            <w:vAlign w:val="center"/>
          </w:tcPr>
          <w:p w:rsidRPr="00737D68" w:rsidR="00737D68" w:rsidP="00737D68" w:rsidRDefault="00737D68" w14:paraId="1A9E233C" w14:textId="77777777">
            <w:pPr>
              <w:keepNext/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[…]</w:t>
            </w:r>
          </w:p>
        </w:tc>
        <w:tc>
          <w:tcPr>
            <w:tcW w:w="2551" w:type="dxa"/>
            <w:vAlign w:val="center"/>
          </w:tcPr>
          <w:p w:rsidRPr="00737D68" w:rsidR="00737D68" w:rsidP="00737D68" w:rsidRDefault="00737D68" w14:paraId="3FBA6E1E" w14:textId="77777777">
            <w:pPr>
              <w:keepNext/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[…]</w:t>
            </w:r>
          </w:p>
        </w:tc>
      </w:tr>
      <w:tr w:rsidRPr="00737D68" w:rsidR="00737D68" w:rsidTr="00945A28" w14:paraId="6484B28D" w14:textId="77777777">
        <w:tc>
          <w:tcPr>
            <w:tcW w:w="3960" w:type="dxa"/>
            <w:vAlign w:val="center"/>
          </w:tcPr>
          <w:p w:rsidRPr="00737D68" w:rsidR="00737D68" w:rsidP="00737D68" w:rsidRDefault="00737D68" w14:paraId="41DA5D4F" w14:textId="77777777">
            <w:pPr>
              <w:keepNext/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Částka veřejné podpory</w:t>
            </w:r>
          </w:p>
        </w:tc>
        <w:tc>
          <w:tcPr>
            <w:tcW w:w="2561" w:type="dxa"/>
            <w:vAlign w:val="center"/>
          </w:tcPr>
          <w:p w:rsidRPr="00737D68" w:rsidR="00737D68" w:rsidP="00737D68" w:rsidRDefault="00737D68" w14:paraId="713A64DB" w14:textId="77777777">
            <w:pPr>
              <w:keepNext/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[…]</w:t>
            </w:r>
          </w:p>
        </w:tc>
        <w:tc>
          <w:tcPr>
            <w:tcW w:w="2551" w:type="dxa"/>
            <w:vAlign w:val="center"/>
          </w:tcPr>
          <w:p w:rsidRPr="00737D68" w:rsidR="00737D68" w:rsidP="00737D68" w:rsidRDefault="00737D68" w14:paraId="683C187F" w14:textId="77777777">
            <w:pPr>
              <w:keepNext/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[…]</w:t>
            </w:r>
          </w:p>
        </w:tc>
      </w:tr>
    </w:tbl>
    <w:p w:rsidRPr="00737D68" w:rsidR="00737D68" w:rsidP="00737D68" w:rsidRDefault="00737D68" w14:paraId="51C2B313" w14:textId="77777777">
      <w:pPr>
        <w:spacing w:after="220" w:line="240" w:lineRule="auto"/>
        <w:jc w:val="both"/>
        <w:rPr>
          <w:rFonts w:ascii="Arial" w:hAnsi="Arial" w:eastAsia="Arial" w:cs="Times New Roman"/>
          <w:i/>
        </w:rPr>
      </w:pPr>
      <w:r w:rsidRPr="00737D68">
        <w:rPr>
          <w:rFonts w:ascii="Arial" w:hAnsi="Arial" w:eastAsia="Arial" w:cs="Times New Roman"/>
          <w:i/>
        </w:rPr>
        <w:t>Zde musí být doplněna specifikace režimu de minimis / veřejné podpory včetně odkazu na nařízení (viz formulace výše u příjemce dotace).</w:t>
      </w:r>
    </w:p>
    <w:tbl>
      <w:tblPr>
        <w:tblW w:w="9072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960"/>
        <w:gridCol w:w="2561"/>
        <w:gridCol w:w="2551"/>
      </w:tblGrid>
      <w:tr w:rsidRPr="00737D68" w:rsidR="00737D68" w:rsidTr="00945A28" w14:paraId="3223D2C4" w14:textId="77777777">
        <w:tc>
          <w:tcPr>
            <w:tcW w:w="3960" w:type="dxa"/>
            <w:vAlign w:val="center"/>
          </w:tcPr>
          <w:p w:rsidRPr="00737D68" w:rsidR="00737D68" w:rsidP="00737D68" w:rsidRDefault="00737D68" w14:paraId="355CB04D" w14:textId="77777777">
            <w:pPr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b/>
                <w:sz w:val="20"/>
                <w:szCs w:val="20"/>
              </w:rPr>
              <w:t>Podpora de minimis / veřejná podpora určená pro …. (doplnit název Partnera s finančním příspěvkem II)</w:t>
            </w:r>
          </w:p>
        </w:tc>
        <w:tc>
          <w:tcPr>
            <w:tcW w:w="2561" w:type="dxa"/>
            <w:vAlign w:val="center"/>
          </w:tcPr>
          <w:p w:rsidRPr="00737D68" w:rsidR="00737D68" w:rsidP="00737D68" w:rsidRDefault="00737D68" w14:paraId="3FE44FFE" w14:textId="77777777">
            <w:pPr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Částka v Kč</w:t>
            </w:r>
          </w:p>
        </w:tc>
        <w:tc>
          <w:tcPr>
            <w:tcW w:w="2551" w:type="dxa"/>
            <w:vAlign w:val="center"/>
          </w:tcPr>
          <w:p w:rsidRPr="00737D68" w:rsidR="00737D68" w:rsidP="00737D68" w:rsidRDefault="00737D68" w14:paraId="34DD8AD5" w14:textId="77777777">
            <w:pPr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Podíl v %</w:t>
            </w:r>
            <w:r w:rsidRPr="00737D68">
              <w:rPr>
                <w:rFonts w:ascii="Arial" w:hAnsi="Arial" w:eastAsia="Arial" w:cs="Times New Roman"/>
                <w:snapToGrid w:val="false"/>
                <w:vertAlign w:val="superscript"/>
              </w:rPr>
              <w:footnoteReference w:id="13"/>
            </w:r>
          </w:p>
        </w:tc>
      </w:tr>
      <w:tr w:rsidRPr="00737D68" w:rsidR="00737D68" w:rsidTr="00945A28" w14:paraId="3325EFAF" w14:textId="77777777">
        <w:tc>
          <w:tcPr>
            <w:tcW w:w="3960" w:type="dxa"/>
            <w:tcBorders>
              <w:top w:val="single" w:color="auto" w:sz="12" w:space="0"/>
            </w:tcBorders>
            <w:vAlign w:val="center"/>
          </w:tcPr>
          <w:p w:rsidRPr="00737D68" w:rsidR="00737D68" w:rsidP="00737D68" w:rsidRDefault="00737D68" w14:paraId="23596453" w14:textId="77777777">
            <w:pPr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Část projektu zakládající veřejnou podporu</w:t>
            </w:r>
          </w:p>
        </w:tc>
        <w:tc>
          <w:tcPr>
            <w:tcW w:w="2561" w:type="dxa"/>
            <w:tcBorders>
              <w:top w:val="single" w:color="auto" w:sz="12" w:space="0"/>
            </w:tcBorders>
            <w:vAlign w:val="center"/>
          </w:tcPr>
          <w:p w:rsidRPr="00737D68" w:rsidR="00737D68" w:rsidP="00737D68" w:rsidRDefault="00737D68" w14:paraId="376A83B1" w14:textId="77777777">
            <w:pPr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[…]</w:t>
            </w:r>
          </w:p>
        </w:tc>
        <w:tc>
          <w:tcPr>
            <w:tcW w:w="2551" w:type="dxa"/>
            <w:tcBorders>
              <w:top w:val="single" w:color="auto" w:sz="12" w:space="0"/>
            </w:tcBorders>
            <w:vAlign w:val="center"/>
          </w:tcPr>
          <w:p w:rsidRPr="00737D68" w:rsidR="00737D68" w:rsidP="00737D68" w:rsidRDefault="00737D68" w14:paraId="0C4AF858" w14:textId="77777777">
            <w:pPr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100</w:t>
            </w:r>
          </w:p>
        </w:tc>
      </w:tr>
      <w:tr w:rsidRPr="00737D68" w:rsidR="00737D68" w:rsidTr="00945A28" w14:paraId="711D5FD5" w14:textId="77777777">
        <w:tc>
          <w:tcPr>
            <w:tcW w:w="3960" w:type="dxa"/>
            <w:vAlign w:val="center"/>
          </w:tcPr>
          <w:p w:rsidRPr="00737D68" w:rsidR="00737D68" w:rsidP="00737D68" w:rsidRDefault="00737D68" w14:paraId="5168CA64" w14:textId="77777777">
            <w:pPr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Vlastní financování</w:t>
            </w:r>
          </w:p>
        </w:tc>
        <w:tc>
          <w:tcPr>
            <w:tcW w:w="2561" w:type="dxa"/>
            <w:vAlign w:val="center"/>
          </w:tcPr>
          <w:p w:rsidRPr="00737D68" w:rsidR="00737D68" w:rsidP="00737D68" w:rsidRDefault="00737D68" w14:paraId="3C29328C" w14:textId="77777777">
            <w:pPr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[…]</w:t>
            </w:r>
          </w:p>
        </w:tc>
        <w:tc>
          <w:tcPr>
            <w:tcW w:w="2551" w:type="dxa"/>
            <w:vAlign w:val="center"/>
          </w:tcPr>
          <w:p w:rsidRPr="00737D68" w:rsidR="00737D68" w:rsidP="00737D68" w:rsidRDefault="00737D68" w14:paraId="138504FF" w14:textId="77777777">
            <w:pPr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[…]</w:t>
            </w:r>
          </w:p>
        </w:tc>
      </w:tr>
      <w:tr w:rsidRPr="00737D68" w:rsidR="00737D68" w:rsidTr="00945A28" w14:paraId="5B0592C0" w14:textId="77777777">
        <w:tc>
          <w:tcPr>
            <w:tcW w:w="3960" w:type="dxa"/>
            <w:vAlign w:val="center"/>
          </w:tcPr>
          <w:p w:rsidRPr="00737D68" w:rsidR="00737D68" w:rsidP="00737D68" w:rsidRDefault="00737D68" w14:paraId="0EF26D3C" w14:textId="77777777">
            <w:pPr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Částka veřejné podpory</w:t>
            </w:r>
          </w:p>
        </w:tc>
        <w:tc>
          <w:tcPr>
            <w:tcW w:w="2561" w:type="dxa"/>
            <w:vAlign w:val="center"/>
          </w:tcPr>
          <w:p w:rsidRPr="00737D68" w:rsidR="00737D68" w:rsidP="00737D68" w:rsidRDefault="00737D68" w14:paraId="05555E35" w14:textId="77777777">
            <w:pPr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[…]</w:t>
            </w:r>
          </w:p>
        </w:tc>
        <w:tc>
          <w:tcPr>
            <w:tcW w:w="2551" w:type="dxa"/>
            <w:vAlign w:val="center"/>
          </w:tcPr>
          <w:p w:rsidRPr="00737D68" w:rsidR="00737D68" w:rsidP="00737D68" w:rsidRDefault="00737D68" w14:paraId="370BCEB4" w14:textId="77777777">
            <w:pPr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[…]</w:t>
            </w:r>
          </w:p>
        </w:tc>
      </w:tr>
    </w:tbl>
    <w:p w:rsidRPr="00737D68" w:rsidR="00737D68" w:rsidP="00737D68" w:rsidRDefault="00737D68" w14:paraId="7FDBB4E6" w14:textId="77777777">
      <w:pPr>
        <w:spacing w:after="220" w:line="240" w:lineRule="auto"/>
        <w:jc w:val="both"/>
        <w:rPr>
          <w:rFonts w:ascii="Arial" w:hAnsi="Arial" w:eastAsia="Arial" w:cs="Times New Roman"/>
          <w:i/>
        </w:rPr>
      </w:pPr>
      <w:r w:rsidRPr="00737D68">
        <w:rPr>
          <w:rFonts w:ascii="Arial" w:hAnsi="Arial" w:eastAsia="Arial" w:cs="Times New Roman"/>
          <w:i/>
        </w:rPr>
        <w:t>Zde musí být doplněna specifikace režimu de minimis / veřejné podpory včetně odkazu na nařízení (viz formulace výše u příjemce dotace).</w:t>
      </w:r>
    </w:p>
    <w:p w:rsidRPr="00737D68" w:rsidR="00737D68" w:rsidP="00737D68" w:rsidRDefault="00737D68" w14:paraId="2AB7E400" w14:textId="77777777">
      <w:pPr>
        <w:spacing w:after="220" w:line="240" w:lineRule="auto"/>
        <w:jc w:val="both"/>
        <w:rPr>
          <w:rFonts w:ascii="Arial" w:hAnsi="Arial" w:eastAsia="Arial" w:cs="Times New Roman"/>
          <w:i/>
        </w:rPr>
      </w:pPr>
      <w:r w:rsidRPr="00737D68">
        <w:rPr>
          <w:rFonts w:ascii="Arial" w:hAnsi="Arial" w:eastAsia="Arial" w:cs="Times New Roman"/>
          <w:i/>
        </w:rPr>
        <w:t>Dále bude případně nakopírována další tabulka tak, aby byla pro každého partnera s finančním příspěvkem v Rozhodnutí uvedena samostatná pasáž. V případě podpory malého rozsahu (varianta de minimis) je nezbytné informaci o přidělené podpoře zaevidovat do rejstříku podpor malého rozsahu ve lhůtě 5 dnů od vydání Rozhodnutí.</w:t>
      </w:r>
    </w:p>
    <w:p w:rsidRPr="00737D68" w:rsidR="00737D68" w:rsidP="00737D68" w:rsidRDefault="00737D68" w14:paraId="6BB2A4FF" w14:textId="77777777">
      <w:pPr>
        <w:spacing w:after="220" w:line="240" w:lineRule="auto"/>
        <w:jc w:val="both"/>
        <w:rPr>
          <w:rFonts w:ascii="Arial" w:hAnsi="Arial" w:eastAsia="Arial" w:cs="Times New Roman"/>
        </w:rPr>
      </w:pPr>
      <w:r w:rsidRPr="00737D68">
        <w:rPr>
          <w:rFonts w:ascii="Arial" w:hAnsi="Arial" w:eastAsia="Arial" w:cs="Times New Roman"/>
        </w:rPr>
        <w:t>---------------------------</w:t>
      </w:r>
    </w:p>
    <w:p w:rsidRPr="00737D68" w:rsidR="00737D68" w:rsidP="00737D68" w:rsidRDefault="00737D68" w14:paraId="3F70B20A" w14:textId="77777777">
      <w:pPr>
        <w:spacing w:after="220" w:line="240" w:lineRule="auto"/>
        <w:jc w:val="both"/>
        <w:rPr>
          <w:rFonts w:ascii="Arial" w:hAnsi="Arial" w:eastAsia="Arial" w:cs="Times New Roman"/>
          <w:b/>
          <w:bCs/>
          <w:i/>
        </w:rPr>
      </w:pPr>
      <w:r w:rsidRPr="00737D68">
        <w:rPr>
          <w:rFonts w:ascii="Arial" w:hAnsi="Arial" w:eastAsia="Arial" w:cs="Times New Roman"/>
          <w:b/>
          <w:bCs/>
          <w:i/>
        </w:rPr>
        <w:t>Možnost E</w:t>
      </w:r>
    </w:p>
    <w:p w:rsidRPr="00737D68" w:rsidR="00737D68" w:rsidP="00737D68" w:rsidRDefault="00737D68" w14:paraId="616AF695" w14:textId="77777777">
      <w:pPr>
        <w:spacing w:after="220" w:line="240" w:lineRule="auto"/>
        <w:jc w:val="both"/>
        <w:rPr>
          <w:rFonts w:ascii="Arial" w:hAnsi="Arial" w:eastAsia="Arial" w:cs="Times New Roman"/>
          <w:i/>
        </w:rPr>
      </w:pPr>
      <w:r w:rsidRPr="00737D68">
        <w:rPr>
          <w:rFonts w:ascii="Arial" w:hAnsi="Arial" w:eastAsia="Arial" w:cs="Times New Roman"/>
          <w:i/>
        </w:rPr>
        <w:t>(platí pro projekty, které zakládají příjemci veřejnou podporu a dále je část prostředků vyhrazena na zapojení dalších subjektů)</w:t>
      </w:r>
    </w:p>
    <w:p w:rsidRPr="00737D68" w:rsidR="00737D68" w:rsidP="00737D68" w:rsidRDefault="00737D68" w14:paraId="5F82A0DF" w14:textId="77777777">
      <w:pPr>
        <w:numPr>
          <w:ilvl w:val="1"/>
          <w:numId w:val="11"/>
        </w:numPr>
        <w:spacing w:after="220" w:line="240" w:lineRule="auto"/>
        <w:jc w:val="both"/>
        <w:rPr>
          <w:rFonts w:ascii="Arial" w:hAnsi="Arial" w:eastAsia="Arial" w:cs="Times New Roman"/>
        </w:rPr>
      </w:pPr>
      <w:r w:rsidRPr="00737D68">
        <w:rPr>
          <w:rFonts w:ascii="Arial" w:hAnsi="Arial" w:eastAsia="Arial" w:cs="Times New Roman"/>
        </w:rPr>
        <w:t xml:space="preserve">Projekt je z hlediska veřejné podpory následujícího charakteru: </w:t>
      </w:r>
    </w:p>
    <w:tbl>
      <w:tblPr>
        <w:tblW w:w="9072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552"/>
        <w:gridCol w:w="3260"/>
        <w:gridCol w:w="3260"/>
      </w:tblGrid>
      <w:tr w:rsidRPr="00737D68" w:rsidR="00737D68" w:rsidTr="00945A28" w14:paraId="1484141F" w14:textId="77777777"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737D68" w:rsidR="00737D68" w:rsidP="00737D68" w:rsidRDefault="00737D68" w14:paraId="316276AF" w14:textId="77777777">
            <w:pPr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7D68" w:rsidR="00737D68" w:rsidP="00737D68" w:rsidRDefault="00737D68" w14:paraId="296FF217" w14:textId="77777777">
            <w:pPr>
              <w:spacing w:before="60" w:after="60" w:line="240" w:lineRule="auto"/>
              <w:rPr>
                <w:rFonts w:ascii="Arial" w:hAnsi="Arial" w:eastAsia="Arial" w:cs="Times New Roman"/>
                <w:b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b/>
                <w:sz w:val="20"/>
                <w:szCs w:val="20"/>
              </w:rPr>
              <w:t>Část projektu zakládající veřejnou podporu příjemci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7D68" w:rsidR="00737D68" w:rsidP="00737D68" w:rsidRDefault="00737D68" w14:paraId="46A72004" w14:textId="77777777">
            <w:pPr>
              <w:spacing w:before="60" w:after="60" w:line="240" w:lineRule="auto"/>
              <w:rPr>
                <w:rFonts w:ascii="Arial" w:hAnsi="Arial" w:eastAsia="Arial" w:cs="Times New Roman"/>
                <w:b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b/>
                <w:sz w:val="20"/>
                <w:szCs w:val="20"/>
              </w:rPr>
              <w:t>Část projektu na zapojení dalších subjektů</w:t>
            </w:r>
            <w:r w:rsidRPr="00737D68">
              <w:rPr>
                <w:rFonts w:ascii="Arial" w:hAnsi="Arial" w:eastAsia="Arial" w:cs="Times New Roman"/>
                <w:b/>
                <w:sz w:val="20"/>
                <w:szCs w:val="20"/>
                <w:vertAlign w:val="superscript"/>
              </w:rPr>
              <w:footnoteReference w:id="14"/>
            </w:r>
          </w:p>
        </w:tc>
      </w:tr>
      <w:tr w:rsidRPr="00737D68" w:rsidR="00737D68" w:rsidTr="00945A28" w14:paraId="63B47CFC" w14:textId="77777777">
        <w:tc>
          <w:tcPr>
            <w:tcW w:w="2552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37D68" w:rsidR="00737D68" w:rsidP="00737D68" w:rsidRDefault="00737D68" w14:paraId="2A04947F" w14:textId="77777777">
            <w:pPr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color="auto" w:sz="4" w:space="0"/>
            </w:tcBorders>
            <w:vAlign w:val="center"/>
          </w:tcPr>
          <w:p w:rsidRPr="00737D68" w:rsidR="00737D68" w:rsidP="00737D68" w:rsidRDefault="00737D68" w14:paraId="0CC19E90" w14:textId="77777777">
            <w:pPr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v Kč</w:t>
            </w:r>
          </w:p>
        </w:tc>
        <w:tc>
          <w:tcPr>
            <w:tcW w:w="3260" w:type="dxa"/>
          </w:tcPr>
          <w:p w:rsidRPr="00737D68" w:rsidR="00737D68" w:rsidP="00737D68" w:rsidRDefault="00737D68" w14:paraId="7AECA64B" w14:textId="77777777">
            <w:pPr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v Kč</w:t>
            </w:r>
          </w:p>
        </w:tc>
      </w:tr>
      <w:tr w:rsidRPr="00737D68" w:rsidR="00737D68" w:rsidTr="00945A28" w14:paraId="220BAEC7" w14:textId="77777777">
        <w:tc>
          <w:tcPr>
            <w:tcW w:w="2552" w:type="dxa"/>
            <w:tcBorders>
              <w:top w:val="single" w:color="auto" w:sz="12" w:space="0"/>
            </w:tcBorders>
            <w:vAlign w:val="center"/>
          </w:tcPr>
          <w:p w:rsidRPr="00737D68" w:rsidR="00737D68" w:rsidP="00737D68" w:rsidRDefault="00737D68" w14:paraId="1E2BC590" w14:textId="77777777">
            <w:pPr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 xml:space="preserve">Částka </w:t>
            </w:r>
            <w:proofErr w:type="spellStart"/>
            <w:r w:rsidRPr="00737D68">
              <w:rPr>
                <w:rFonts w:ascii="Arial" w:hAnsi="Arial" w:eastAsia="Arial" w:cs="Times New Roman"/>
                <w:sz w:val="20"/>
                <w:szCs w:val="20"/>
              </w:rPr>
              <w:t>způs</w:t>
            </w:r>
            <w:proofErr w:type="spellEnd"/>
            <w:r w:rsidRPr="00737D68">
              <w:rPr>
                <w:rFonts w:ascii="Arial" w:hAnsi="Arial" w:eastAsia="Arial" w:cs="Times New Roman"/>
                <w:sz w:val="20"/>
                <w:szCs w:val="20"/>
              </w:rPr>
              <w:t>. výdajů očištěných o příjmy</w:t>
            </w:r>
          </w:p>
        </w:tc>
        <w:tc>
          <w:tcPr>
            <w:tcW w:w="3260" w:type="dxa"/>
            <w:tcBorders>
              <w:top w:val="single" w:color="auto" w:sz="12" w:space="0"/>
            </w:tcBorders>
            <w:vAlign w:val="center"/>
          </w:tcPr>
          <w:p w:rsidRPr="00737D68" w:rsidR="00737D68" w:rsidP="00737D68" w:rsidRDefault="00737D68" w14:paraId="1046DC03" w14:textId="77777777">
            <w:pPr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[…]</w:t>
            </w:r>
          </w:p>
        </w:tc>
        <w:tc>
          <w:tcPr>
            <w:tcW w:w="3260" w:type="dxa"/>
            <w:tcBorders>
              <w:top w:val="single" w:color="auto" w:sz="12" w:space="0"/>
            </w:tcBorders>
            <w:vAlign w:val="center"/>
          </w:tcPr>
          <w:p w:rsidRPr="00737D68" w:rsidR="00737D68" w:rsidP="00737D68" w:rsidRDefault="00737D68" w14:paraId="0973297F" w14:textId="77777777">
            <w:pPr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[…]</w:t>
            </w:r>
          </w:p>
        </w:tc>
      </w:tr>
    </w:tbl>
    <w:p w:rsidRPr="00737D68" w:rsidR="00737D68" w:rsidP="00737D68" w:rsidRDefault="00737D68" w14:paraId="353CC044" w14:textId="77777777">
      <w:pPr>
        <w:spacing w:before="120" w:after="220" w:line="240" w:lineRule="auto"/>
        <w:jc w:val="both"/>
        <w:rPr>
          <w:rFonts w:ascii="Arial" w:hAnsi="Arial" w:eastAsia="Arial" w:cs="Times New Roman"/>
        </w:rPr>
      </w:pPr>
      <w:r w:rsidRPr="00737D68">
        <w:rPr>
          <w:rFonts w:ascii="Arial" w:hAnsi="Arial" w:eastAsia="Arial" w:cs="Times New Roman"/>
        </w:rPr>
        <w:t>Přičemž podpora de minimis / veřejná podpora je poskytnuta příjemci dotace v následující výši:</w:t>
      </w:r>
      <w:r w:rsidRPr="00737D68">
        <w:rPr>
          <w:rFonts w:ascii="Arial" w:hAnsi="Arial" w:eastAsia="Arial" w:cs="Times New Roman"/>
          <w:b/>
        </w:rPr>
        <w:t xml:space="preserve"> </w:t>
      </w:r>
    </w:p>
    <w:tbl>
      <w:tblPr>
        <w:tblW w:w="4925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5018"/>
        <w:gridCol w:w="2093"/>
        <w:gridCol w:w="1813"/>
      </w:tblGrid>
      <w:tr w:rsidRPr="00737D68" w:rsidR="00737D68" w:rsidTr="00945A28" w14:paraId="674B378A" w14:textId="77777777">
        <w:tc>
          <w:tcPr>
            <w:tcW w:w="5103" w:type="dxa"/>
            <w:vAlign w:val="center"/>
          </w:tcPr>
          <w:p w:rsidRPr="00737D68" w:rsidR="00737D68" w:rsidP="00737D68" w:rsidRDefault="00737D68" w14:paraId="76A8BE7A" w14:textId="77777777">
            <w:pPr>
              <w:keepNext/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b/>
                <w:sz w:val="20"/>
                <w:szCs w:val="20"/>
              </w:rPr>
              <w:t>Podpora de minimis / veřejná podpora určená pro příjemce (příjemce dotace)</w:t>
            </w:r>
          </w:p>
        </w:tc>
        <w:tc>
          <w:tcPr>
            <w:tcW w:w="2127" w:type="dxa"/>
            <w:vAlign w:val="center"/>
          </w:tcPr>
          <w:p w:rsidRPr="00737D68" w:rsidR="00737D68" w:rsidP="00737D68" w:rsidRDefault="00737D68" w14:paraId="42A03CFD" w14:textId="77777777">
            <w:pPr>
              <w:keepNext/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Částka v Kč</w:t>
            </w:r>
          </w:p>
        </w:tc>
        <w:tc>
          <w:tcPr>
            <w:tcW w:w="1842" w:type="dxa"/>
            <w:vAlign w:val="center"/>
          </w:tcPr>
          <w:p w:rsidRPr="00737D68" w:rsidR="00737D68" w:rsidP="00737D68" w:rsidRDefault="00737D68" w14:paraId="18509AB1" w14:textId="77777777">
            <w:pPr>
              <w:keepNext/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Podíl v %</w:t>
            </w:r>
            <w:r w:rsidRPr="00737D68">
              <w:rPr>
                <w:rFonts w:ascii="Arial" w:hAnsi="Arial" w:eastAsia="Arial" w:cs="Times New Roman"/>
                <w:snapToGrid w:val="false"/>
                <w:vertAlign w:val="superscript"/>
              </w:rPr>
              <w:footnoteReference w:id="15"/>
            </w:r>
          </w:p>
        </w:tc>
      </w:tr>
      <w:tr w:rsidRPr="00737D68" w:rsidR="00737D68" w:rsidTr="00945A28" w14:paraId="48543218" w14:textId="77777777">
        <w:tc>
          <w:tcPr>
            <w:tcW w:w="5103" w:type="dxa"/>
            <w:tcBorders>
              <w:top w:val="single" w:color="auto" w:sz="12" w:space="0"/>
            </w:tcBorders>
            <w:vAlign w:val="center"/>
          </w:tcPr>
          <w:p w:rsidRPr="00737D68" w:rsidR="00737D68" w:rsidP="00737D68" w:rsidRDefault="00737D68" w14:paraId="4B9E8EA9" w14:textId="77777777">
            <w:pPr>
              <w:keepNext/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napToGrid w:val="false"/>
                <w:sz w:val="20"/>
                <w:szCs w:val="20"/>
              </w:rPr>
              <w:t>Část projektu zakládající veřejnou podporu</w:t>
            </w:r>
          </w:p>
        </w:tc>
        <w:tc>
          <w:tcPr>
            <w:tcW w:w="2127" w:type="dxa"/>
            <w:tcBorders>
              <w:top w:val="single" w:color="auto" w:sz="12" w:space="0"/>
            </w:tcBorders>
            <w:vAlign w:val="center"/>
          </w:tcPr>
          <w:p w:rsidRPr="00737D68" w:rsidR="00737D68" w:rsidP="00737D68" w:rsidRDefault="00737D68" w14:paraId="1CD3C7F5" w14:textId="77777777">
            <w:pPr>
              <w:keepNext/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[…]</w:t>
            </w:r>
          </w:p>
        </w:tc>
        <w:tc>
          <w:tcPr>
            <w:tcW w:w="1842" w:type="dxa"/>
            <w:tcBorders>
              <w:top w:val="single" w:color="auto" w:sz="12" w:space="0"/>
            </w:tcBorders>
            <w:vAlign w:val="center"/>
          </w:tcPr>
          <w:p w:rsidRPr="00737D68" w:rsidR="00737D68" w:rsidP="00737D68" w:rsidRDefault="00737D68" w14:paraId="03AABE53" w14:textId="77777777">
            <w:pPr>
              <w:keepNext/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100</w:t>
            </w:r>
          </w:p>
        </w:tc>
      </w:tr>
      <w:tr w:rsidRPr="00737D68" w:rsidR="00737D68" w:rsidTr="00945A28" w14:paraId="136922D7" w14:textId="77777777">
        <w:tc>
          <w:tcPr>
            <w:tcW w:w="5103" w:type="dxa"/>
            <w:vAlign w:val="center"/>
          </w:tcPr>
          <w:p w:rsidRPr="00737D68" w:rsidR="00737D68" w:rsidP="00737D68" w:rsidRDefault="00737D68" w14:paraId="6112A88B" w14:textId="77777777">
            <w:pPr>
              <w:keepNext/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napToGrid w:val="false"/>
                <w:sz w:val="20"/>
                <w:szCs w:val="20"/>
              </w:rPr>
              <w:t>Vlastní financování</w:t>
            </w:r>
          </w:p>
        </w:tc>
        <w:tc>
          <w:tcPr>
            <w:tcW w:w="2127" w:type="dxa"/>
            <w:vAlign w:val="center"/>
          </w:tcPr>
          <w:p w:rsidRPr="00737D68" w:rsidR="00737D68" w:rsidP="00737D68" w:rsidRDefault="00737D68" w14:paraId="23D8D6EE" w14:textId="77777777">
            <w:pPr>
              <w:keepNext/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[…]</w:t>
            </w:r>
          </w:p>
        </w:tc>
        <w:tc>
          <w:tcPr>
            <w:tcW w:w="1842" w:type="dxa"/>
            <w:vAlign w:val="center"/>
          </w:tcPr>
          <w:p w:rsidRPr="00737D68" w:rsidR="00737D68" w:rsidP="00737D68" w:rsidRDefault="00737D68" w14:paraId="50BA3AA8" w14:textId="77777777">
            <w:pPr>
              <w:keepNext/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[…]</w:t>
            </w:r>
          </w:p>
        </w:tc>
      </w:tr>
      <w:tr w:rsidRPr="00737D68" w:rsidR="00737D68" w:rsidTr="00945A28" w14:paraId="271339D6" w14:textId="77777777">
        <w:tc>
          <w:tcPr>
            <w:tcW w:w="5103" w:type="dxa"/>
            <w:vAlign w:val="center"/>
          </w:tcPr>
          <w:p w:rsidRPr="00737D68" w:rsidR="00737D68" w:rsidP="00737D68" w:rsidRDefault="00737D68" w14:paraId="436A437C" w14:textId="77777777">
            <w:pPr>
              <w:keepNext/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napToGrid w:val="false"/>
                <w:sz w:val="20"/>
                <w:szCs w:val="20"/>
              </w:rPr>
              <w:t>Částka veřejné podpory</w:t>
            </w:r>
          </w:p>
        </w:tc>
        <w:tc>
          <w:tcPr>
            <w:tcW w:w="2127" w:type="dxa"/>
            <w:vAlign w:val="center"/>
          </w:tcPr>
          <w:p w:rsidRPr="00737D68" w:rsidR="00737D68" w:rsidP="00737D68" w:rsidRDefault="00737D68" w14:paraId="5EABBA6C" w14:textId="77777777">
            <w:pPr>
              <w:keepNext/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[…]</w:t>
            </w:r>
          </w:p>
        </w:tc>
        <w:tc>
          <w:tcPr>
            <w:tcW w:w="1842" w:type="dxa"/>
            <w:vAlign w:val="center"/>
          </w:tcPr>
          <w:p w:rsidRPr="00737D68" w:rsidR="00737D68" w:rsidP="00737D68" w:rsidRDefault="00737D68" w14:paraId="7D1B9AEC" w14:textId="77777777">
            <w:pPr>
              <w:keepNext/>
              <w:spacing w:before="60" w:after="60" w:line="240" w:lineRule="auto"/>
              <w:rPr>
                <w:rFonts w:ascii="Arial" w:hAnsi="Arial" w:eastAsia="Arial" w:cs="Times New Roman"/>
                <w:sz w:val="20"/>
                <w:szCs w:val="20"/>
              </w:rPr>
            </w:pPr>
            <w:r w:rsidRPr="00737D68">
              <w:rPr>
                <w:rFonts w:ascii="Arial" w:hAnsi="Arial" w:eastAsia="Arial" w:cs="Times New Roman"/>
                <w:sz w:val="20"/>
                <w:szCs w:val="20"/>
              </w:rPr>
              <w:t>[…]</w:t>
            </w:r>
          </w:p>
        </w:tc>
      </w:tr>
    </w:tbl>
    <w:p w:rsidRPr="00737D68" w:rsidR="00737D68" w:rsidP="00737D68" w:rsidRDefault="00737D68" w14:paraId="279E8203" w14:textId="77777777">
      <w:pPr>
        <w:spacing w:before="120" w:after="220" w:line="240" w:lineRule="auto"/>
        <w:jc w:val="both"/>
        <w:rPr>
          <w:rFonts w:ascii="Arial" w:hAnsi="Arial" w:eastAsia="Arial" w:cs="Times New Roman"/>
        </w:rPr>
      </w:pPr>
      <w:r w:rsidRPr="00737D68">
        <w:rPr>
          <w:rFonts w:ascii="Arial" w:hAnsi="Arial" w:eastAsia="Arial" w:cs="Times New Roman"/>
        </w:rPr>
        <w:t xml:space="preserve">Z poskytnuté dotace představuje částka […] Kč podporu de minimis v souladu s nařízením Komise (EU) č. 1407/2013 ze dne 18. prosince 2013 o použití článků 107 a 108 Smlouvy o fungování Evropské unie na podporu de </w:t>
      </w:r>
      <w:proofErr w:type="spellStart"/>
      <w:r w:rsidRPr="00737D68">
        <w:rPr>
          <w:rFonts w:ascii="Arial" w:hAnsi="Arial" w:eastAsia="Arial" w:cs="Times New Roman"/>
        </w:rPr>
        <w:t>minimis</w:t>
      </w:r>
      <w:proofErr w:type="spellEnd"/>
      <w:r w:rsidRPr="00737D68">
        <w:rPr>
          <w:rFonts w:ascii="Arial" w:hAnsi="Arial" w:eastAsia="Arial" w:cs="Times New Roman"/>
        </w:rPr>
        <w:t xml:space="preserve">, </w:t>
      </w:r>
      <w:proofErr w:type="spellStart"/>
      <w:r w:rsidRPr="00737D68">
        <w:rPr>
          <w:rFonts w:ascii="Arial" w:hAnsi="Arial" w:eastAsia="Arial" w:cs="Times New Roman"/>
        </w:rPr>
        <w:t>Úř</w:t>
      </w:r>
      <w:proofErr w:type="spellEnd"/>
      <w:r w:rsidRPr="00737D68">
        <w:rPr>
          <w:rFonts w:ascii="Arial" w:hAnsi="Arial" w:eastAsia="Arial" w:cs="Times New Roman"/>
        </w:rPr>
        <w:t xml:space="preserve">. </w:t>
      </w:r>
      <w:proofErr w:type="spellStart"/>
      <w:r w:rsidRPr="00737D68">
        <w:rPr>
          <w:rFonts w:ascii="Arial" w:hAnsi="Arial" w:eastAsia="Arial" w:cs="Times New Roman"/>
        </w:rPr>
        <w:t>věst</w:t>
      </w:r>
      <w:proofErr w:type="spellEnd"/>
      <w:r w:rsidRPr="00737D68">
        <w:rPr>
          <w:rFonts w:ascii="Arial" w:hAnsi="Arial" w:eastAsia="Arial" w:cs="Times New Roman"/>
        </w:rPr>
        <w:t xml:space="preserve">. L 352, 18. 12. 2013, s. 1—8. </w:t>
      </w:r>
    </w:p>
    <w:p w:rsidRPr="00737D68" w:rsidR="00737D68" w:rsidP="00737D68" w:rsidRDefault="00737D68" w14:paraId="06EE7A92" w14:textId="77777777">
      <w:pPr>
        <w:spacing w:after="220" w:line="240" w:lineRule="auto"/>
        <w:jc w:val="both"/>
        <w:rPr>
          <w:rFonts w:ascii="Arial" w:hAnsi="Arial" w:eastAsia="Arial" w:cs="Times New Roman"/>
        </w:rPr>
      </w:pPr>
      <w:r w:rsidRPr="00737D68">
        <w:rPr>
          <w:rFonts w:ascii="Arial" w:hAnsi="Arial" w:eastAsia="Arial" w:cs="Times New Roman"/>
        </w:rPr>
        <w:t>nebo</w:t>
      </w:r>
    </w:p>
    <w:p w:rsidRPr="00737D68" w:rsidR="00737D68" w:rsidP="00737D68" w:rsidRDefault="00737D68" w14:paraId="05E0DF7A" w14:textId="77777777">
      <w:pPr>
        <w:spacing w:after="220" w:line="240" w:lineRule="auto"/>
        <w:jc w:val="both"/>
        <w:rPr>
          <w:rFonts w:ascii="Arial" w:hAnsi="Arial" w:eastAsia="Arial" w:cs="Times New Roman"/>
        </w:rPr>
      </w:pPr>
      <w:r w:rsidRPr="00737D68">
        <w:rPr>
          <w:rFonts w:ascii="Arial" w:hAnsi="Arial" w:eastAsia="Arial" w:cs="Times New Roman"/>
        </w:rPr>
        <w:t xml:space="preserve">Z poskytnuté dotace představuje částka […] Kč podporu de minimis v souladu s nařízením Komise (EU) č. 1408/2013 ze dne 18. prosince 2013 o použití článků 107 a 108 Smlouvy o fungování Evropské unie na podporu de minimis v odvětví zemědělství, </w:t>
      </w:r>
      <w:proofErr w:type="spellStart"/>
      <w:r w:rsidRPr="00737D68">
        <w:rPr>
          <w:rFonts w:ascii="Arial" w:hAnsi="Arial" w:eastAsia="Arial" w:cs="Times New Roman"/>
        </w:rPr>
        <w:t>Úř</w:t>
      </w:r>
      <w:proofErr w:type="spellEnd"/>
      <w:r w:rsidRPr="00737D68">
        <w:rPr>
          <w:rFonts w:ascii="Arial" w:hAnsi="Arial" w:eastAsia="Arial" w:cs="Times New Roman"/>
        </w:rPr>
        <w:t xml:space="preserve">. </w:t>
      </w:r>
      <w:proofErr w:type="spellStart"/>
      <w:r w:rsidRPr="00737D68">
        <w:rPr>
          <w:rFonts w:ascii="Arial" w:hAnsi="Arial" w:eastAsia="Arial" w:cs="Times New Roman"/>
        </w:rPr>
        <w:t>věst</w:t>
      </w:r>
      <w:proofErr w:type="spellEnd"/>
      <w:r w:rsidRPr="00737D68">
        <w:rPr>
          <w:rFonts w:ascii="Arial" w:hAnsi="Arial" w:eastAsia="Arial" w:cs="Times New Roman"/>
        </w:rPr>
        <w:t xml:space="preserve">. L 352, 24. 12. 2013, s. 9—17. </w:t>
      </w:r>
    </w:p>
    <w:p w:rsidRPr="00737D68" w:rsidR="00737D68" w:rsidP="00737D68" w:rsidRDefault="00737D68" w14:paraId="1EE9F3C9" w14:textId="77777777">
      <w:pPr>
        <w:spacing w:after="220" w:line="240" w:lineRule="auto"/>
        <w:jc w:val="both"/>
        <w:rPr>
          <w:rFonts w:ascii="Arial" w:hAnsi="Arial" w:eastAsia="Arial" w:cs="Times New Roman"/>
        </w:rPr>
      </w:pPr>
      <w:r w:rsidRPr="00737D68">
        <w:rPr>
          <w:rFonts w:ascii="Arial" w:hAnsi="Arial" w:eastAsia="Arial" w:cs="Times New Roman"/>
        </w:rPr>
        <w:t>nebo</w:t>
      </w:r>
    </w:p>
    <w:p w:rsidRPr="00737D68" w:rsidR="00737D68" w:rsidP="00737D68" w:rsidRDefault="00737D68" w14:paraId="103A1CCC" w14:textId="77777777">
      <w:pPr>
        <w:spacing w:after="220" w:line="240" w:lineRule="auto"/>
        <w:jc w:val="both"/>
        <w:rPr>
          <w:rFonts w:ascii="Arial" w:hAnsi="Arial" w:eastAsia="Arial" w:cs="Times New Roman"/>
        </w:rPr>
      </w:pPr>
      <w:r w:rsidRPr="00737D68">
        <w:rPr>
          <w:rFonts w:ascii="Arial" w:hAnsi="Arial" w:eastAsia="Arial" w:cs="Times New Roman"/>
        </w:rPr>
        <w:t xml:space="preserve">Z poskytnuté dotace představuje částka […] Kč podporu de minimis v souladu s nařízením Komise (EU) č. 717/2014 ze dne 27. června 2014 o použití článků 107 a 108 Smlouvy o fungování Evropské unie na podporu de minimis v odvětví rybolovu a akvakultury, </w:t>
      </w:r>
      <w:proofErr w:type="spellStart"/>
      <w:r w:rsidRPr="00737D68">
        <w:rPr>
          <w:rFonts w:ascii="Arial" w:hAnsi="Arial" w:eastAsia="Arial" w:cs="Times New Roman"/>
        </w:rPr>
        <w:t>Úř</w:t>
      </w:r>
      <w:proofErr w:type="spellEnd"/>
      <w:r w:rsidRPr="00737D68">
        <w:rPr>
          <w:rFonts w:ascii="Arial" w:hAnsi="Arial" w:eastAsia="Arial" w:cs="Times New Roman"/>
        </w:rPr>
        <w:t xml:space="preserve">. </w:t>
      </w:r>
      <w:proofErr w:type="spellStart"/>
      <w:r w:rsidRPr="00737D68">
        <w:rPr>
          <w:rFonts w:ascii="Arial" w:hAnsi="Arial" w:eastAsia="Arial" w:cs="Times New Roman"/>
        </w:rPr>
        <w:t>věst</w:t>
      </w:r>
      <w:proofErr w:type="spellEnd"/>
      <w:r w:rsidRPr="00737D68">
        <w:rPr>
          <w:rFonts w:ascii="Arial" w:hAnsi="Arial" w:eastAsia="Arial" w:cs="Times New Roman"/>
        </w:rPr>
        <w:t>. L 190, 28. 6. 2014, s. 45—54.</w:t>
      </w:r>
    </w:p>
    <w:p w:rsidRPr="00737D68" w:rsidR="00737D68" w:rsidP="00737D68" w:rsidRDefault="00737D68" w14:paraId="206F691F" w14:textId="77777777">
      <w:pPr>
        <w:spacing w:after="220" w:line="240" w:lineRule="auto"/>
        <w:jc w:val="both"/>
        <w:rPr>
          <w:rFonts w:ascii="Arial" w:hAnsi="Arial" w:eastAsia="Arial" w:cs="Times New Roman"/>
        </w:rPr>
      </w:pPr>
      <w:r w:rsidRPr="00737D68">
        <w:rPr>
          <w:rFonts w:ascii="Arial" w:hAnsi="Arial" w:eastAsia="Arial" w:cs="Times New Roman"/>
        </w:rPr>
        <w:t>nebo</w:t>
      </w:r>
    </w:p>
    <w:p w:rsidRPr="00737D68" w:rsidR="00737D68" w:rsidP="00737D68" w:rsidRDefault="00737D68" w14:paraId="6D2087C7" w14:textId="77777777">
      <w:pPr>
        <w:spacing w:after="220" w:line="240" w:lineRule="auto"/>
        <w:jc w:val="both"/>
        <w:rPr>
          <w:rFonts w:ascii="Arial" w:hAnsi="Arial" w:eastAsia="Arial" w:cs="Times New Roman"/>
        </w:rPr>
      </w:pPr>
      <w:r w:rsidRPr="00737D68">
        <w:rPr>
          <w:rFonts w:ascii="Arial" w:hAnsi="Arial" w:eastAsia="Arial" w:cs="Times New Roman"/>
        </w:rPr>
        <w:t xml:space="preserve">Z poskytnuté dotace představuje částka […] Kč podporu v režimu tzv. blokové výjimky vymezené v článku 31 (Podpora na vzdělávání) nařízení Komise (EU) č. 651/2014 ze dne 17. června 2014, kterým se v souladu s články 107 a 108 Smlouvy prohlašují určité kategorie podpory za slučitelné s vnitřním trhem, </w:t>
      </w:r>
      <w:proofErr w:type="spellStart"/>
      <w:r w:rsidRPr="00737D68">
        <w:rPr>
          <w:rFonts w:ascii="Arial" w:hAnsi="Arial" w:eastAsia="Arial" w:cs="Times New Roman"/>
        </w:rPr>
        <w:t>Úř</w:t>
      </w:r>
      <w:proofErr w:type="spellEnd"/>
      <w:r w:rsidRPr="00737D68">
        <w:rPr>
          <w:rFonts w:ascii="Arial" w:hAnsi="Arial" w:eastAsia="Arial" w:cs="Times New Roman"/>
        </w:rPr>
        <w:t xml:space="preserve">. </w:t>
      </w:r>
      <w:proofErr w:type="spellStart"/>
      <w:r w:rsidRPr="00737D68">
        <w:rPr>
          <w:rFonts w:ascii="Arial" w:hAnsi="Arial" w:eastAsia="Arial" w:cs="Times New Roman"/>
        </w:rPr>
        <w:t>věst</w:t>
      </w:r>
      <w:proofErr w:type="spellEnd"/>
      <w:r w:rsidRPr="00737D68">
        <w:rPr>
          <w:rFonts w:ascii="Arial" w:hAnsi="Arial" w:eastAsia="Arial" w:cs="Times New Roman"/>
        </w:rPr>
        <w:t xml:space="preserve">. L 187, 26. 6. 2014, s. 1—78. (Opatření podpory, v rámci něhož je podpora poskytována, se v návaznosti na výše uvedené nařízení rozumí OPZ, jehož plné znění je k dispozici na webovém portálu </w:t>
      </w:r>
      <w:hyperlink w:history="true" r:id="rId16">
        <w:r w:rsidRPr="00737D68">
          <w:rPr>
            <w:rFonts w:ascii="Arial" w:hAnsi="Arial" w:eastAsia="Arial" w:cs="Times New Roman"/>
            <w:color w:val="084A8B"/>
            <w:u w:val="single"/>
          </w:rPr>
          <w:t>www.esfcr.cz</w:t>
        </w:r>
      </w:hyperlink>
      <w:r w:rsidRPr="00737D68">
        <w:rPr>
          <w:rFonts w:ascii="Arial" w:hAnsi="Arial" w:eastAsia="Arial" w:cs="Times New Roman"/>
        </w:rPr>
        <w:t>.)</w:t>
      </w:r>
    </w:p>
    <w:p w:rsidRPr="00737D68" w:rsidR="00737D68" w:rsidP="00737D68" w:rsidRDefault="00737D68" w14:paraId="1405BC01" w14:textId="77777777">
      <w:pPr>
        <w:numPr>
          <w:ilvl w:val="1"/>
          <w:numId w:val="8"/>
        </w:numPr>
        <w:shd w:val="clear" w:color="auto" w:fill="D9D9D9"/>
        <w:spacing w:after="60" w:line="240" w:lineRule="auto"/>
        <w:ind w:left="567" w:hanging="567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>Poskytovatelem veřejné podpory či podpory de minimis v rámci projektu je poskytovatel.</w:t>
      </w:r>
      <w:r w:rsidRPr="00737D68">
        <w:rPr>
          <w:rFonts w:ascii="Arial" w:hAnsi="Arial" w:eastAsia="Times New Roman" w:cs="Arial"/>
          <w:vertAlign w:val="superscript"/>
          <w:lang w:eastAsia="cs-CZ"/>
        </w:rPr>
        <w:footnoteReference w:id="16"/>
      </w:r>
    </w:p>
    <w:p w:rsidRPr="00737D68" w:rsidR="00737D68" w:rsidP="00737D68" w:rsidRDefault="00737D68" w14:paraId="3B0A3C9E" w14:textId="77777777">
      <w:pPr>
        <w:numPr>
          <w:ilvl w:val="1"/>
          <w:numId w:val="8"/>
        </w:numPr>
        <w:shd w:val="clear" w:color="auto" w:fill="D9D9D9"/>
        <w:spacing w:after="60" w:line="240" w:lineRule="auto"/>
        <w:ind w:left="567" w:hanging="567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 xml:space="preserve">Příjemce je povinen v souvislosti s poskytováním veřejné podpory či podpory de minimis jiným subjektům (kromě příjemce) zajistit pro poskytovatele před poskytnutím veřejné podpory či podpory de </w:t>
      </w:r>
      <w:proofErr w:type="spellStart"/>
      <w:r w:rsidRPr="00737D68">
        <w:rPr>
          <w:rFonts w:ascii="Arial" w:hAnsi="Arial" w:eastAsia="Times New Roman" w:cs="Arial"/>
          <w:lang w:eastAsia="cs-CZ"/>
        </w:rPr>
        <w:t>minimis</w:t>
      </w:r>
      <w:proofErr w:type="spellEnd"/>
      <w:r w:rsidRPr="00737D68">
        <w:rPr>
          <w:rFonts w:ascii="Arial" w:hAnsi="Arial" w:eastAsia="Times New Roman" w:cs="Arial"/>
          <w:lang w:eastAsia="cs-CZ"/>
        </w:rPr>
        <w:t xml:space="preserve"> partnerovi(</w:t>
      </w:r>
      <w:proofErr w:type="spellStart"/>
      <w:r w:rsidRPr="00737D68">
        <w:rPr>
          <w:rFonts w:ascii="Arial" w:hAnsi="Arial" w:eastAsia="Times New Roman" w:cs="Arial"/>
          <w:lang w:eastAsia="cs-CZ"/>
        </w:rPr>
        <w:t>ům</w:t>
      </w:r>
      <w:proofErr w:type="spellEnd"/>
      <w:r w:rsidRPr="00737D68">
        <w:rPr>
          <w:rFonts w:ascii="Arial" w:hAnsi="Arial" w:eastAsia="Times New Roman" w:cs="Arial"/>
          <w:lang w:eastAsia="cs-CZ"/>
        </w:rPr>
        <w:t xml:space="preserve">) podklady k poskytnutí této podpory a také podklady k ověření, zda daný subjekt splňuje podmínky pro zvolený režim podpory dle platných právních předpisů, a to s využitím formulářů, které poskytovatel zveřejní na webovém portálu </w:t>
      </w:r>
      <w:hyperlink w:history="true" r:id="rId17">
        <w:r w:rsidRPr="00737D68">
          <w:rPr>
            <w:rFonts w:ascii="Arial" w:hAnsi="Arial" w:eastAsia="Times New Roman" w:cs="Arial"/>
            <w:color w:val="505050"/>
            <w:u w:val="single"/>
            <w:lang w:eastAsia="cs-CZ"/>
          </w:rPr>
          <w:t>www.esfcr.cz</w:t>
        </w:r>
      </w:hyperlink>
      <w:r w:rsidRPr="00737D68">
        <w:rPr>
          <w:rFonts w:ascii="Arial" w:hAnsi="Arial" w:eastAsia="Times New Roman" w:cs="Arial"/>
          <w:lang w:eastAsia="cs-CZ"/>
        </w:rPr>
        <w:t xml:space="preserve"> (používají se vždy aktuální formuláře).</w:t>
      </w:r>
    </w:p>
    <w:p w:rsidRPr="00737D68" w:rsidR="00737D68" w:rsidP="00737D68" w:rsidRDefault="00737D68" w14:paraId="12C45377" w14:textId="77777777">
      <w:pPr>
        <w:numPr>
          <w:ilvl w:val="1"/>
          <w:numId w:val="8"/>
        </w:numPr>
        <w:shd w:val="clear" w:color="auto" w:fill="D9D9D9"/>
        <w:spacing w:after="220" w:line="240" w:lineRule="auto"/>
        <w:ind w:left="567" w:hanging="567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>Pokud to aplikovaný režim veřejné podpory a rozhodnutí poskytovatele vyžaduje, příjemce je povinen od subjektů, kterým je veřejná podpora poskytnuta, zajistit spolufinancování z jejich zdrojů. Spolufinancování projektu ze zdrojů dalšího subjektu je příjmem projektu, který je příjemce povinen oznámit v rámci zprávy o realizaci projektu.</w:t>
      </w:r>
    </w:p>
    <w:p w:rsidRPr="00737D68" w:rsidR="00737D68" w:rsidP="00737D68" w:rsidRDefault="00737D68" w14:paraId="10C2BC72" w14:textId="77777777">
      <w:pPr>
        <w:spacing w:after="220" w:line="240" w:lineRule="auto"/>
        <w:jc w:val="both"/>
        <w:rPr>
          <w:rFonts w:ascii="Arial" w:hAnsi="Arial" w:eastAsia="Arial" w:cs="Times New Roman"/>
        </w:rPr>
      </w:pPr>
    </w:p>
    <w:p w:rsidRPr="00737D68" w:rsidR="00737D68" w:rsidP="00737D68" w:rsidRDefault="00737D68" w14:paraId="19C42E71" w14:textId="77777777">
      <w:pPr>
        <w:keepNext/>
        <w:shd w:val="clear" w:color="auto" w:fill="F2F2F2"/>
        <w:spacing w:after="220" w:line="240" w:lineRule="auto"/>
        <w:jc w:val="both"/>
        <w:rPr>
          <w:rFonts w:ascii="Arial" w:hAnsi="Arial" w:eastAsia="Arial" w:cs="Arial"/>
          <w:b/>
        </w:rPr>
      </w:pPr>
      <w:r w:rsidRPr="00737D68">
        <w:rPr>
          <w:rFonts w:ascii="Arial" w:hAnsi="Arial" w:eastAsia="Arial" w:cs="Arial"/>
          <w:b/>
        </w:rPr>
        <w:t xml:space="preserve">Část IV - Platební podmínky </w:t>
      </w:r>
    </w:p>
    <w:p w:rsidRPr="00737D68" w:rsidR="00737D68" w:rsidP="00737D68" w:rsidRDefault="00737D68" w14:paraId="16367467" w14:textId="77777777">
      <w:pPr>
        <w:numPr>
          <w:ilvl w:val="0"/>
          <w:numId w:val="17"/>
        </w:numPr>
        <w:spacing w:before="240" w:after="120" w:line="240" w:lineRule="auto"/>
        <w:jc w:val="both"/>
        <w:rPr>
          <w:rFonts w:ascii="Arial" w:hAnsi="Arial" w:eastAsia="Times New Roman" w:cs="Arial"/>
          <w:b/>
          <w:bCs/>
          <w:lang w:eastAsia="cs-CZ"/>
        </w:rPr>
      </w:pPr>
      <w:r w:rsidRPr="00737D68">
        <w:rPr>
          <w:rFonts w:ascii="Arial" w:hAnsi="Arial" w:eastAsia="Times New Roman" w:cs="Arial"/>
          <w:b/>
          <w:bCs/>
          <w:lang w:eastAsia="cs-CZ"/>
        </w:rPr>
        <w:t xml:space="preserve">Žádost o platbu </w:t>
      </w:r>
    </w:p>
    <w:p w:rsidRPr="00737D68" w:rsidR="00737D68" w:rsidP="00737D68" w:rsidRDefault="00737D68" w14:paraId="421C549B" w14:textId="77777777">
      <w:pPr>
        <w:numPr>
          <w:ilvl w:val="1"/>
          <w:numId w:val="17"/>
        </w:numPr>
        <w:spacing w:after="220" w:line="240" w:lineRule="auto"/>
        <w:ind w:left="567" w:hanging="567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 xml:space="preserve">Příjemce je povinen pro účely poskytnutí prostředků dotace předkládat poskytovateli spolu s každou zprávou o realizaci projektu řádně vyplněnou žádost o platbu podloženou příslušnými doklady dle Pravidel OPZ. </w:t>
      </w:r>
    </w:p>
    <w:p w:rsidRPr="00737D68" w:rsidR="00737D68" w:rsidP="00737D68" w:rsidRDefault="00737D68" w14:paraId="53E69932" w14:textId="77777777">
      <w:pPr>
        <w:numPr>
          <w:ilvl w:val="1"/>
          <w:numId w:val="17"/>
        </w:numPr>
        <w:spacing w:after="220" w:line="240" w:lineRule="auto"/>
        <w:ind w:left="567" w:hanging="567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 xml:space="preserve">Příjemce je povinen předkládat žádosti o platbu ve formátu, který poskytovatel pro projekt nastaví v informačním systému MS2014+. </w:t>
      </w:r>
    </w:p>
    <w:p w:rsidRPr="00737D68" w:rsidR="00737D68" w:rsidP="00737D68" w:rsidRDefault="00737D68" w14:paraId="508FF9AA" w14:textId="77777777">
      <w:pPr>
        <w:numPr>
          <w:ilvl w:val="0"/>
          <w:numId w:val="17"/>
        </w:numPr>
        <w:spacing w:before="240" w:after="120" w:line="240" w:lineRule="auto"/>
        <w:jc w:val="both"/>
        <w:rPr>
          <w:rFonts w:ascii="Arial" w:hAnsi="Arial" w:eastAsia="Times New Roman" w:cs="Arial"/>
          <w:b/>
          <w:bCs/>
          <w:lang w:eastAsia="cs-CZ"/>
        </w:rPr>
      </w:pPr>
      <w:r w:rsidRPr="00737D68">
        <w:rPr>
          <w:rFonts w:ascii="Arial" w:hAnsi="Arial" w:eastAsia="Times New Roman" w:cs="Arial"/>
          <w:b/>
          <w:bCs/>
          <w:lang w:eastAsia="cs-CZ"/>
        </w:rPr>
        <w:t xml:space="preserve">Převod prostředků dotace </w:t>
      </w:r>
    </w:p>
    <w:p w:rsidRPr="00737D68" w:rsidR="00737D68" w:rsidP="00737D68" w:rsidRDefault="00737D68" w14:paraId="3E69DB2E" w14:textId="77777777">
      <w:pPr>
        <w:spacing w:after="220" w:line="240" w:lineRule="auto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>Poskytovatel bude dotaci specifikovanou v části I tohoto Rozhodnutí příjemci poskytovat ve splátkách v závislosti na postupu realizace projektu. Dotace bude poskytována bezhotovostními bankovními převody na bankovní účet uvedený v části Specifikace příjemce dotace. Dnem poskytnutí se rozumí den odepsání částky z účtu poskytovatele. (Specifikace pro veřejné rozpočty: účelový znak OPZ: 13013.)</w:t>
      </w:r>
    </w:p>
    <w:p w:rsidRPr="00737D68" w:rsidR="00737D68" w:rsidP="00737D68" w:rsidRDefault="00737D68" w14:paraId="7E0A472D" w14:textId="77777777">
      <w:pPr>
        <w:numPr>
          <w:ilvl w:val="0"/>
          <w:numId w:val="17"/>
        </w:numPr>
        <w:spacing w:before="240" w:after="120" w:line="240" w:lineRule="auto"/>
        <w:jc w:val="both"/>
        <w:rPr>
          <w:rFonts w:ascii="Arial" w:hAnsi="Arial" w:eastAsia="Times New Roman" w:cs="Arial"/>
          <w:b/>
          <w:bCs/>
          <w:lang w:eastAsia="cs-CZ"/>
        </w:rPr>
      </w:pPr>
      <w:r w:rsidRPr="00737D68">
        <w:rPr>
          <w:rFonts w:ascii="Arial" w:hAnsi="Arial" w:eastAsia="Times New Roman" w:cs="Arial"/>
          <w:b/>
          <w:bCs/>
          <w:lang w:eastAsia="cs-CZ"/>
        </w:rPr>
        <w:t>Proplácení částí dotace</w:t>
      </w:r>
    </w:p>
    <w:p w:rsidRPr="00737D68" w:rsidR="00737D68" w:rsidP="00737D68" w:rsidRDefault="00737D68" w14:paraId="6B5996E3" w14:textId="77777777">
      <w:pPr>
        <w:keepNext/>
        <w:overflowPunct w:val="false"/>
        <w:autoSpaceDE w:val="false"/>
        <w:autoSpaceDN w:val="false"/>
        <w:adjustRightInd w:val="false"/>
        <w:spacing w:after="120" w:line="240" w:lineRule="auto"/>
        <w:contextualSpacing/>
        <w:jc w:val="both"/>
        <w:textAlignment w:val="baseline"/>
        <w:rPr>
          <w:rFonts w:ascii="Arial" w:hAnsi="Arial" w:eastAsia="Times New Roman" w:cs="Arial"/>
          <w:u w:val="single"/>
          <w:lang w:eastAsia="cs-CZ"/>
        </w:rPr>
      </w:pPr>
      <w:r w:rsidRPr="00737D68">
        <w:rPr>
          <w:rFonts w:ascii="Arial" w:hAnsi="Arial" w:eastAsia="Times New Roman" w:cs="Arial"/>
          <w:u w:val="single"/>
          <w:lang w:eastAsia="cs-CZ"/>
        </w:rPr>
        <w:t>Varianta pro ex-ante financování</w:t>
      </w:r>
    </w:p>
    <w:p w:rsidRPr="00737D68" w:rsidR="00737D68" w:rsidP="00737D68" w:rsidRDefault="00737D68" w14:paraId="66FE60F3" w14:textId="77777777">
      <w:pPr>
        <w:numPr>
          <w:ilvl w:val="1"/>
          <w:numId w:val="17"/>
        </w:numPr>
        <w:spacing w:after="60" w:line="240" w:lineRule="auto"/>
        <w:ind w:left="567" w:hanging="567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>První část dotace bude příjemci proplacena ve výši […],- Kč, všechny prostředky jsou poskytovány na neinvestiční výdaje projektu dle zákona č. 563/1991 Sb., o účetnictví.</w:t>
      </w:r>
    </w:p>
    <w:p w:rsidRPr="00737D68" w:rsidR="00737D68" w:rsidP="00737D68" w:rsidRDefault="00737D68" w14:paraId="47DA2610" w14:textId="77777777">
      <w:pPr>
        <w:numPr>
          <w:ilvl w:val="1"/>
          <w:numId w:val="17"/>
        </w:numPr>
        <w:spacing w:after="60" w:line="240" w:lineRule="auto"/>
        <w:ind w:left="567" w:hanging="567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 xml:space="preserve">Další části dotace budou propláceny až do maximální výše dotace </w:t>
      </w:r>
      <w:r w:rsidRPr="00737D68">
        <w:rPr>
          <w:rFonts w:ascii="Arial" w:hAnsi="Arial" w:eastAsia="Times New Roman" w:cs="Arial"/>
          <w:szCs w:val="24"/>
          <w:lang w:eastAsia="cs-CZ"/>
        </w:rPr>
        <w:t xml:space="preserve">snížené o část dotace neproplacenou podle § 14e rozpočtových pravidel, vrácenou podle § 14f odst. 3 rozpočtových pravidel a o provedený odvod za porušení rozpočtové kázně podle § 44a rozpočtových pravidel, a to </w:t>
      </w:r>
      <w:r w:rsidRPr="00737D68">
        <w:rPr>
          <w:rFonts w:ascii="Arial" w:hAnsi="Arial" w:eastAsia="Times New Roman" w:cs="Arial"/>
          <w:lang w:eastAsia="cs-CZ"/>
        </w:rPr>
        <w:t xml:space="preserve">na základě schválených žádostí o platbu. Výše splátek se stanovuje dle pravidel vymezených ve </w:t>
      </w:r>
      <w:r w:rsidRPr="00737D68">
        <w:rPr>
          <w:rFonts w:ascii="Arial" w:hAnsi="Arial" w:eastAsia="Times New Roman" w:cs="Arial"/>
          <w:i/>
          <w:lang w:eastAsia="cs-CZ"/>
        </w:rPr>
        <w:t>Specifických pravidlech</w:t>
      </w:r>
      <w:r w:rsidRPr="00737D68">
        <w:rPr>
          <w:rFonts w:ascii="Arial" w:hAnsi="Arial" w:eastAsia="Times New Roman" w:cs="Arial"/>
          <w:lang w:eastAsia="cs-CZ"/>
        </w:rPr>
        <w:t xml:space="preserve">. Další části dotace jsou určeny pouze na neinvestiční výdaje projektu. </w:t>
      </w:r>
    </w:p>
    <w:p w:rsidRPr="00737D68" w:rsidR="00737D68" w:rsidP="00737D68" w:rsidRDefault="00737D68" w14:paraId="16F32136" w14:textId="77777777">
      <w:pPr>
        <w:spacing w:after="60" w:line="240" w:lineRule="auto"/>
        <w:ind w:left="567"/>
        <w:jc w:val="both"/>
        <w:rPr>
          <w:rFonts w:ascii="Arial" w:hAnsi="Arial" w:eastAsia="Times New Roman" w:cs="Arial"/>
          <w:lang w:eastAsia="cs-CZ"/>
        </w:rPr>
      </w:pPr>
    </w:p>
    <w:p w:rsidRPr="00737D68" w:rsidR="00737D68" w:rsidP="00737D68" w:rsidRDefault="00737D68" w14:paraId="084DCF97" w14:textId="77777777">
      <w:pPr>
        <w:spacing w:after="60" w:line="240" w:lineRule="auto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u w:val="single"/>
          <w:lang w:eastAsia="cs-CZ"/>
        </w:rPr>
        <w:t>Varianta pro ex-post financování</w:t>
      </w:r>
    </w:p>
    <w:p w:rsidRPr="00737D68" w:rsidR="00737D68" w:rsidP="00737D68" w:rsidRDefault="00737D68" w14:paraId="2C218576" w14:textId="77777777">
      <w:pPr>
        <w:numPr>
          <w:ilvl w:val="1"/>
          <w:numId w:val="17"/>
        </w:numPr>
        <w:spacing w:after="60" w:line="240" w:lineRule="auto"/>
        <w:ind w:left="567" w:hanging="567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 xml:space="preserve">Splátky dotace jsou příjemci poskytovány na základě schválených žádostí o platbu. Výše jednotlivých splátek dosahuje částky způsobilých výdajů projektu, které jsou zařazeny do jednotlivých žádostí o platbu, přičemž přesnou výši každé platby stanoví na základě kontroly projektu poskytovatel. V případě, že příjemce projekt spolufinancuje z vlastních zdrojů, je platba poskytovatelem poskytnuta jen ve výši odpovídající podílu poskytovatele na financování projektu. </w:t>
      </w:r>
    </w:p>
    <w:p w:rsidRPr="00737D68" w:rsidR="00737D68" w:rsidP="00737D68" w:rsidRDefault="00737D68" w14:paraId="1D09BCC9" w14:textId="77777777">
      <w:pPr>
        <w:numPr>
          <w:ilvl w:val="1"/>
          <w:numId w:val="17"/>
        </w:numPr>
        <w:spacing w:after="60" w:line="240" w:lineRule="auto"/>
        <w:ind w:left="567" w:hanging="567"/>
        <w:jc w:val="both"/>
        <w:rPr>
          <w:rFonts w:ascii="Arial" w:hAnsi="Arial" w:eastAsia="Times New Roman" w:cs="Arial"/>
          <w:sz w:val="24"/>
          <w:szCs w:val="24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>Poskytovatelem proplácené způsobilé výdaje v součtu s:</w:t>
      </w:r>
    </w:p>
    <w:p w:rsidRPr="00737D68" w:rsidR="00737D68" w:rsidP="00737D68" w:rsidRDefault="00737D68" w14:paraId="199C3859" w14:textId="77777777">
      <w:pPr>
        <w:numPr>
          <w:ilvl w:val="0"/>
          <w:numId w:val="23"/>
        </w:numPr>
        <w:spacing w:after="220" w:line="240" w:lineRule="auto"/>
        <w:contextualSpacing/>
        <w:jc w:val="both"/>
        <w:rPr>
          <w:rFonts w:ascii="Arial" w:hAnsi="Arial" w:eastAsia="Arial" w:cs="Times New Roman"/>
        </w:rPr>
      </w:pPr>
      <w:r w:rsidRPr="00737D68">
        <w:rPr>
          <w:rFonts w:ascii="Arial" w:hAnsi="Arial" w:eastAsia="Arial" w:cs="Times New Roman"/>
        </w:rPr>
        <w:t xml:space="preserve">částí dotace neproplacenou podle § 14e rozpočtových pravidel, pokud je důvodem neproplacení výdaj schválený v některé z předchozích žádostí o platbu, </w:t>
      </w:r>
    </w:p>
    <w:p w:rsidRPr="00737D68" w:rsidR="00737D68" w:rsidP="00737D68" w:rsidRDefault="00737D68" w14:paraId="192A7332" w14:textId="77777777">
      <w:pPr>
        <w:numPr>
          <w:ilvl w:val="0"/>
          <w:numId w:val="23"/>
        </w:numPr>
        <w:spacing w:after="220" w:line="240" w:lineRule="auto"/>
        <w:contextualSpacing/>
        <w:jc w:val="both"/>
        <w:rPr>
          <w:rFonts w:ascii="Arial" w:hAnsi="Arial" w:eastAsia="Arial" w:cs="Times New Roman"/>
        </w:rPr>
      </w:pPr>
      <w:r w:rsidRPr="00737D68">
        <w:rPr>
          <w:rFonts w:ascii="Arial" w:hAnsi="Arial" w:eastAsia="Arial" w:cs="Times New Roman"/>
        </w:rPr>
        <w:t xml:space="preserve">částí dotace vrácenou podle § 14f odst. 3 rozpočtových pravidel a </w:t>
      </w:r>
    </w:p>
    <w:p w:rsidRPr="00737D68" w:rsidR="00737D68" w:rsidP="00737D68" w:rsidRDefault="00737D68" w14:paraId="0C91F5DF" w14:textId="77777777">
      <w:pPr>
        <w:numPr>
          <w:ilvl w:val="0"/>
          <w:numId w:val="23"/>
        </w:numPr>
        <w:spacing w:after="60" w:line="240" w:lineRule="auto"/>
        <w:contextualSpacing/>
        <w:jc w:val="both"/>
        <w:rPr>
          <w:rFonts w:ascii="Arial" w:hAnsi="Arial" w:eastAsia="Arial" w:cs="Times New Roman"/>
        </w:rPr>
      </w:pPr>
      <w:r w:rsidRPr="00737D68">
        <w:rPr>
          <w:rFonts w:ascii="Arial" w:hAnsi="Arial" w:eastAsia="Arial" w:cs="Times New Roman"/>
        </w:rPr>
        <w:t>odvodem za porušení rozpočtové kázně podle § 44a rozpočtových pravidel</w:t>
      </w:r>
    </w:p>
    <w:p w:rsidRPr="00737D68" w:rsidR="00737D68" w:rsidP="00737D68" w:rsidRDefault="00737D68" w14:paraId="56922209" w14:textId="77777777">
      <w:pPr>
        <w:spacing w:after="240" w:line="240" w:lineRule="auto"/>
        <w:ind w:left="567"/>
        <w:jc w:val="both"/>
        <w:rPr>
          <w:rFonts w:ascii="Arial" w:hAnsi="Arial" w:eastAsia="Arial" w:cs="Times New Roman"/>
        </w:rPr>
      </w:pPr>
      <w:r w:rsidRPr="00737D68">
        <w:rPr>
          <w:rFonts w:ascii="Arial" w:hAnsi="Arial" w:eastAsia="Arial" w:cs="Times New Roman"/>
        </w:rPr>
        <w:t>nepřekročí maximální částku dotace.</w:t>
      </w:r>
    </w:p>
    <w:p w:rsidRPr="00737D68" w:rsidR="00737D68" w:rsidP="00737D68" w:rsidRDefault="00737D68" w14:paraId="3F308BAF" w14:textId="77777777">
      <w:pPr>
        <w:numPr>
          <w:ilvl w:val="0"/>
          <w:numId w:val="17"/>
        </w:numPr>
        <w:spacing w:before="240" w:after="120" w:line="240" w:lineRule="auto"/>
        <w:jc w:val="both"/>
        <w:rPr>
          <w:rFonts w:ascii="Arial" w:hAnsi="Arial" w:eastAsia="Times New Roman" w:cs="Arial"/>
          <w:b/>
          <w:bCs/>
          <w:lang w:eastAsia="cs-CZ"/>
        </w:rPr>
      </w:pPr>
      <w:r w:rsidRPr="00737D68">
        <w:rPr>
          <w:rFonts w:ascii="Arial" w:hAnsi="Arial" w:eastAsia="Times New Roman" w:cs="Arial"/>
          <w:b/>
          <w:bCs/>
          <w:lang w:eastAsia="cs-CZ"/>
        </w:rPr>
        <w:t>Přeplatek dotace (pro ex ante režim)</w:t>
      </w:r>
    </w:p>
    <w:p w:rsidRPr="00737D68" w:rsidR="00737D68" w:rsidP="00737D68" w:rsidRDefault="00737D68" w14:paraId="446B9F4D" w14:textId="77777777">
      <w:pPr>
        <w:spacing w:after="220" w:line="240" w:lineRule="auto"/>
        <w:jc w:val="both"/>
        <w:rPr>
          <w:rFonts w:ascii="Arial" w:hAnsi="Arial" w:eastAsia="Arial" w:cs="Arial"/>
        </w:rPr>
      </w:pPr>
      <w:r w:rsidRPr="00737D68">
        <w:rPr>
          <w:rFonts w:ascii="Arial" w:hAnsi="Arial" w:eastAsia="Arial" w:cs="Arial"/>
        </w:rPr>
        <w:t>V případě, že celková dotace poukázaná ve prospěch účtu uvedeného v úvodu tohoto Rozhodnutí převyšuje částku, která by dle celkových způsobilých výdajů projektu stanovených na základě závěrečné žádosti o platbu měla být z dotace poskytnuta, musí být rozdíl vrácen poskytovateli. Příjemce je povinen navrátit tyto prostředky v termínu a způsobem stanovenými ve výzvě k vrácení přeplatku zaslané mu poskytovatelem.</w:t>
      </w:r>
    </w:p>
    <w:p w:rsidRPr="00737D68" w:rsidR="00737D68" w:rsidP="00737D68" w:rsidRDefault="00737D68" w14:paraId="6FCB27EF" w14:textId="77777777">
      <w:pPr>
        <w:spacing w:after="220" w:line="240" w:lineRule="auto"/>
        <w:jc w:val="both"/>
        <w:rPr>
          <w:rFonts w:ascii="Arial" w:hAnsi="Arial" w:eastAsia="Arial" w:cs="Arial"/>
        </w:rPr>
      </w:pPr>
    </w:p>
    <w:p w:rsidRPr="00737D68" w:rsidR="00737D68" w:rsidP="00737D68" w:rsidRDefault="00737D68" w14:paraId="5FC7E94B" w14:textId="77777777">
      <w:pPr>
        <w:keepNext/>
        <w:shd w:val="clear" w:color="auto" w:fill="F2F2F2"/>
        <w:spacing w:after="220" w:line="240" w:lineRule="auto"/>
        <w:jc w:val="both"/>
        <w:rPr>
          <w:rFonts w:ascii="Arial" w:hAnsi="Arial" w:eastAsia="Arial" w:cs="Arial"/>
          <w:b/>
        </w:rPr>
      </w:pPr>
      <w:r w:rsidRPr="00737D68">
        <w:rPr>
          <w:rFonts w:ascii="Arial" w:hAnsi="Arial" w:eastAsia="Arial" w:cs="Arial"/>
          <w:b/>
        </w:rPr>
        <w:t xml:space="preserve">Část V - Sankce </w:t>
      </w:r>
    </w:p>
    <w:p w:rsidRPr="00737D68" w:rsidR="00737D68" w:rsidP="00737D68" w:rsidRDefault="00737D68" w14:paraId="134DCAA0" w14:textId="77777777">
      <w:pPr>
        <w:numPr>
          <w:ilvl w:val="0"/>
          <w:numId w:val="18"/>
        </w:numPr>
        <w:spacing w:before="240" w:after="120" w:line="240" w:lineRule="auto"/>
        <w:jc w:val="both"/>
        <w:rPr>
          <w:rFonts w:ascii="Arial" w:hAnsi="Arial" w:eastAsia="Times New Roman" w:cs="Arial"/>
          <w:b/>
          <w:bCs/>
          <w:lang w:eastAsia="cs-CZ"/>
        </w:rPr>
      </w:pPr>
      <w:r w:rsidRPr="00737D68">
        <w:rPr>
          <w:rFonts w:ascii="Arial" w:hAnsi="Arial" w:eastAsia="Times New Roman" w:cs="Arial"/>
          <w:b/>
          <w:bCs/>
          <w:lang w:eastAsia="cs-CZ"/>
        </w:rPr>
        <w:t>Pozastavení proplácení prostředků dotace</w:t>
      </w:r>
    </w:p>
    <w:p w:rsidRPr="00737D68" w:rsidR="00737D68" w:rsidP="00737D68" w:rsidRDefault="00737D68" w14:paraId="2A631094" w14:textId="77777777">
      <w:pPr>
        <w:spacing w:after="220" w:line="240" w:lineRule="auto"/>
        <w:jc w:val="both"/>
        <w:rPr>
          <w:rFonts w:ascii="Arial" w:hAnsi="Arial" w:eastAsia="Arial" w:cs="Arial"/>
        </w:rPr>
      </w:pPr>
      <w:r w:rsidRPr="00737D68">
        <w:rPr>
          <w:rFonts w:ascii="Arial" w:hAnsi="Arial" w:eastAsia="Arial" w:cs="Arial"/>
        </w:rPr>
        <w:t>Pokud poskytovatel nebo jiná osoba oprávněná ke kontrole dodržování podmínek dle tohoto Rozhodnutí zjistí, že příjemce nesplnil nebo neplní některou z podmínek uvedených v tomto Rozhodnutí, je poskytovatel oprávněn pozastavit proplácení prostředků dotace a zahájit potřebné kroky vedoucí k identifikaci, zda nevzniklo podezření na porušení rozpočtové kázně podle rozpočtových pravidel.</w:t>
      </w:r>
    </w:p>
    <w:p w:rsidRPr="00737D68" w:rsidR="00737D68" w:rsidP="00737D68" w:rsidRDefault="00737D68" w14:paraId="357FB6F0" w14:textId="77777777">
      <w:pPr>
        <w:numPr>
          <w:ilvl w:val="0"/>
          <w:numId w:val="18"/>
        </w:numPr>
        <w:spacing w:before="240" w:after="120" w:line="240" w:lineRule="auto"/>
        <w:jc w:val="both"/>
        <w:rPr>
          <w:rFonts w:ascii="Arial" w:hAnsi="Arial" w:eastAsia="Times New Roman" w:cs="Arial"/>
          <w:b/>
          <w:bCs/>
          <w:lang w:eastAsia="cs-CZ"/>
        </w:rPr>
      </w:pPr>
      <w:r w:rsidRPr="00737D68">
        <w:rPr>
          <w:rFonts w:ascii="Arial" w:hAnsi="Arial" w:eastAsia="Times New Roman" w:cs="Arial"/>
          <w:b/>
          <w:bCs/>
          <w:lang w:eastAsia="cs-CZ"/>
        </w:rPr>
        <w:t xml:space="preserve">Neproplácení dotace na základě § 14e rozpočtových pravidel </w:t>
      </w:r>
    </w:p>
    <w:p w:rsidRPr="00737D68" w:rsidR="00737D68" w:rsidP="00737D68" w:rsidRDefault="00737D68" w14:paraId="7F99DF5D" w14:textId="77777777">
      <w:pPr>
        <w:widowControl w:val="false"/>
        <w:overflowPunct w:val="false"/>
        <w:autoSpaceDE w:val="false"/>
        <w:autoSpaceDN w:val="false"/>
        <w:adjustRightInd w:val="false"/>
        <w:spacing w:after="240" w:line="240" w:lineRule="auto"/>
        <w:ind w:left="-3"/>
        <w:contextualSpacing/>
        <w:jc w:val="both"/>
        <w:textAlignment w:val="baseline"/>
        <w:rPr>
          <w:rFonts w:ascii="Arial" w:hAnsi="Arial" w:eastAsia="Times New Roman" w:cs="Arial"/>
          <w:szCs w:val="24"/>
          <w:lang w:eastAsia="cs-CZ"/>
        </w:rPr>
      </w:pPr>
      <w:r w:rsidRPr="00737D68">
        <w:rPr>
          <w:rFonts w:ascii="Arial" w:hAnsi="Arial" w:eastAsia="Times New Roman" w:cs="Arial"/>
          <w:szCs w:val="24"/>
          <w:lang w:eastAsia="cs-CZ"/>
        </w:rPr>
        <w:t>Poskytovatel nemusí vyplatit část dotace, domnívá-li se, že došlo k porušení pravidel stanovených tímto Rozhodnutím.</w:t>
      </w:r>
      <w:r w:rsidRPr="00737D68">
        <w:rPr>
          <w:rFonts w:ascii="Arial" w:hAnsi="Arial" w:eastAsia="Times New Roman" w:cs="Arial"/>
          <w:lang w:eastAsia="cs-CZ"/>
        </w:rPr>
        <w:t xml:space="preserve"> Pokud poskytovatel odhalí porušení podmínek, je oprávněn neproplatit dotaci dle § 14e rozpočtových pravidel, a to maximálně do výše, která je stanovena v rozhodnutí o poskytnutí dotace, resp. ve výši stanovené za porušení dané povinnosti v tabulce sankcí pro oblast zadávání obsažené v Obecné části pravidel pro žadatele a příjemce v rámci OPZ jako nejvyšší možná výše odvodu za předmětné porušení podmínek. Při stanovení výše sankce přihlédne k závažnosti porušení a jeho vlivu na dodržení cíle dotace.</w:t>
      </w:r>
    </w:p>
    <w:p w:rsidRPr="00737D68" w:rsidR="00737D68" w:rsidP="00737D68" w:rsidRDefault="00737D68" w14:paraId="4D1AEC3E" w14:textId="77777777">
      <w:pPr>
        <w:widowControl w:val="false"/>
        <w:overflowPunct w:val="false"/>
        <w:autoSpaceDE w:val="false"/>
        <w:autoSpaceDN w:val="false"/>
        <w:adjustRightInd w:val="false"/>
        <w:spacing w:after="240" w:line="240" w:lineRule="auto"/>
        <w:ind w:left="-3"/>
        <w:contextualSpacing/>
        <w:jc w:val="both"/>
        <w:textAlignment w:val="baseline"/>
        <w:rPr>
          <w:rFonts w:ascii="Arial" w:hAnsi="Arial" w:eastAsia="Times New Roman" w:cs="Arial"/>
          <w:sz w:val="24"/>
          <w:szCs w:val="24"/>
          <w:lang w:eastAsia="cs-CZ"/>
        </w:rPr>
      </w:pPr>
    </w:p>
    <w:p w:rsidRPr="00737D68" w:rsidR="00737D68" w:rsidP="00737D68" w:rsidRDefault="00737D68" w14:paraId="1CE5F14C" w14:textId="77777777">
      <w:pPr>
        <w:numPr>
          <w:ilvl w:val="0"/>
          <w:numId w:val="18"/>
        </w:numPr>
        <w:spacing w:before="240" w:after="120" w:line="240" w:lineRule="auto"/>
        <w:jc w:val="both"/>
        <w:rPr>
          <w:rFonts w:ascii="Arial" w:hAnsi="Arial" w:eastAsia="Times New Roman" w:cs="Arial"/>
          <w:b/>
          <w:bCs/>
          <w:lang w:eastAsia="cs-CZ"/>
        </w:rPr>
      </w:pPr>
      <w:r w:rsidRPr="00737D68">
        <w:rPr>
          <w:rFonts w:ascii="Arial" w:hAnsi="Arial" w:eastAsia="Times New Roman" w:cs="Arial"/>
          <w:b/>
          <w:bCs/>
          <w:lang w:eastAsia="cs-CZ"/>
        </w:rPr>
        <w:t>Diferenciace odvodu za porušení rozpočtové kázně dle závažnosti porušení podmínek</w:t>
      </w:r>
      <w:r w:rsidRPr="00737D68">
        <w:rPr>
          <w:rFonts w:ascii="Arial" w:hAnsi="Arial" w:eastAsia="Times New Roman" w:cs="Arial"/>
          <w:b/>
          <w:bCs/>
          <w:vertAlign w:val="superscript"/>
          <w:lang w:eastAsia="cs-CZ"/>
        </w:rPr>
        <w:footnoteReference w:id="17"/>
      </w:r>
    </w:p>
    <w:p w:rsidRPr="00737D68" w:rsidR="00737D68" w:rsidP="00737D68" w:rsidRDefault="00737D68" w14:paraId="3C66C43B" w14:textId="77777777">
      <w:pPr>
        <w:numPr>
          <w:ilvl w:val="1"/>
          <w:numId w:val="18"/>
        </w:numPr>
        <w:spacing w:after="60" w:line="240" w:lineRule="auto"/>
        <w:ind w:left="567" w:hanging="567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>V případě porušení podmínek dotace týkajících se účelu dotace podle části II bodu 2.1 bude vyměřen odvod za porušení rozpočtové kázně ve výši celkové dosud vyplacené částky dotace podle § 44a odst. 4 písm. b) rozpočtových pravidel.</w:t>
      </w:r>
    </w:p>
    <w:p w:rsidRPr="00737D68" w:rsidR="00737D68" w:rsidP="00737D68" w:rsidRDefault="00737D68" w14:paraId="4D82DA2F" w14:textId="77777777">
      <w:pPr>
        <w:numPr>
          <w:ilvl w:val="1"/>
          <w:numId w:val="18"/>
        </w:numPr>
        <w:spacing w:after="60" w:line="240" w:lineRule="auto"/>
        <w:ind w:left="567" w:hanging="567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 xml:space="preserve">V případě porušení podmínek dotace neuvedených v části V bodech 3.1, 3.3 až 3.8, anebo 4, u kterých lze vyčíslit výši porušení rozpočtové kázně (tj. porušení má jednoznačnou vazbu na způsobilé výdaje, kterými jsou paušální výdaje na základě jednotkových nákladů), bude vyměřen odvod podle § 44a odst. 4 písm. b) rozpočtových pravidel ve výši nezpůsobilých výdajů uhrazených z dotace. Výše porušení rozpočtové kázně odpovídá částce nezpůsobilých výdajů. </w:t>
      </w:r>
    </w:p>
    <w:p w:rsidRPr="00737D68" w:rsidR="00737D68" w:rsidP="00737D68" w:rsidRDefault="00737D68" w14:paraId="2FF9133E" w14:textId="77777777">
      <w:pPr>
        <w:numPr>
          <w:ilvl w:val="1"/>
          <w:numId w:val="18"/>
        </w:numPr>
        <w:spacing w:after="60" w:line="240" w:lineRule="auto"/>
        <w:ind w:left="567" w:hanging="567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 xml:space="preserve">V případě, že </w:t>
      </w:r>
    </w:p>
    <w:p w:rsidRPr="00737D68" w:rsidR="00737D68" w:rsidP="00737D68" w:rsidRDefault="00737D68" w14:paraId="01640705" w14:textId="77777777">
      <w:pPr>
        <w:numPr>
          <w:ilvl w:val="2"/>
          <w:numId w:val="5"/>
        </w:numPr>
        <w:tabs>
          <w:tab w:val="num" w:pos="993"/>
        </w:tabs>
        <w:spacing w:after="220" w:line="240" w:lineRule="auto"/>
        <w:ind w:left="993" w:hanging="426"/>
        <w:contextualSpacing/>
        <w:jc w:val="both"/>
        <w:rPr>
          <w:rFonts w:ascii="Arial" w:hAnsi="Arial" w:eastAsia="Arial" w:cs="Arial"/>
        </w:rPr>
      </w:pPr>
      <w:r w:rsidRPr="00737D68">
        <w:rPr>
          <w:rFonts w:ascii="Arial" w:hAnsi="Arial" w:eastAsia="Arial" w:cs="Arial"/>
        </w:rPr>
        <w:t xml:space="preserve">dojde k porušení povinnosti předložit poskytovateli zprávu o realizaci projektu (včetně žádosti o platbu) nebo povinnosti předložit poskytovateli vyžádanou informaci ad hoc (uvedené v části II bodě 5.2 a bodě 10, v části III v bodech 2.2 až 2.4) a prodlení bude trvat 7 kalendářních dní a více, přičemž určující pro počátek běhu prodlení je termín vyplývající z tohoto Rozhodnutí (včetně Pravidel OPZ, na které toto Rozhodnutí odkazuje) ve znění případného vyjádření poskytovatele o změně termínu, které je příjemci k dispozici v MS2014+; </w:t>
      </w:r>
      <w:r w:rsidRPr="00737D68">
        <w:rPr>
          <w:rFonts w:ascii="Arial" w:hAnsi="Arial" w:eastAsia="Arial" w:cs="Times New Roman"/>
        </w:rPr>
        <w:t xml:space="preserve">(netýká se situací, kdy příjemce nemohl z důvodu </w:t>
      </w:r>
      <w:r w:rsidRPr="00737D68">
        <w:rPr>
          <w:rFonts w:ascii="Arial" w:hAnsi="Arial" w:eastAsia="Arial" w:cs="Arial"/>
        </w:rPr>
        <w:t xml:space="preserve">technických překážek na straně </w:t>
      </w:r>
      <w:r w:rsidRPr="00737D68">
        <w:rPr>
          <w:rFonts w:ascii="Arial" w:hAnsi="Arial" w:eastAsia="Arial" w:cs="Times New Roman"/>
        </w:rPr>
        <w:t>MS2014+ zprávu o realizaci projektu nebo žádost o platbu předložit; viz vymezení případů, které nezakládají porušení rozpočtové kázně v části V bodu 4 tohoto Rozhodnutí);</w:t>
      </w:r>
    </w:p>
    <w:p w:rsidRPr="00737D68" w:rsidR="00737D68" w:rsidP="00737D68" w:rsidRDefault="00737D68" w14:paraId="756E07F4" w14:textId="77777777">
      <w:pPr>
        <w:numPr>
          <w:ilvl w:val="2"/>
          <w:numId w:val="5"/>
        </w:numPr>
        <w:tabs>
          <w:tab w:val="num" w:pos="993"/>
        </w:tabs>
        <w:spacing w:after="220" w:line="240" w:lineRule="auto"/>
        <w:ind w:left="993" w:hanging="426"/>
        <w:contextualSpacing/>
        <w:jc w:val="both"/>
        <w:rPr>
          <w:rFonts w:ascii="Arial" w:hAnsi="Arial" w:eastAsia="Arial" w:cs="Arial"/>
        </w:rPr>
      </w:pPr>
      <w:r w:rsidRPr="00737D68">
        <w:rPr>
          <w:rFonts w:ascii="Arial" w:hAnsi="Arial" w:eastAsia="Arial" w:cs="Arial"/>
        </w:rPr>
        <w:t xml:space="preserve">dojde k porušení povinností týkajících se oznamovací povinnosti (uvedené v části II bodě 11) a v Pravidlech OPZ není stanoveno, že příslušné pochybení nezakládá porušení rozpočtové kázně; </w:t>
      </w:r>
    </w:p>
    <w:p w:rsidRPr="00737D68" w:rsidR="00737D68" w:rsidP="00737D68" w:rsidRDefault="00737D68" w14:paraId="1934243D" w14:textId="77777777">
      <w:pPr>
        <w:numPr>
          <w:ilvl w:val="2"/>
          <w:numId w:val="5"/>
        </w:numPr>
        <w:tabs>
          <w:tab w:val="num" w:pos="993"/>
        </w:tabs>
        <w:spacing w:after="0" w:line="240" w:lineRule="auto"/>
        <w:ind w:left="993" w:hanging="426"/>
        <w:contextualSpacing/>
        <w:jc w:val="both"/>
        <w:rPr>
          <w:rFonts w:ascii="Arial" w:hAnsi="Arial" w:eastAsia="Arial" w:cs="Arial"/>
        </w:rPr>
      </w:pPr>
      <w:r w:rsidRPr="00737D68">
        <w:rPr>
          <w:rFonts w:ascii="Arial" w:hAnsi="Arial" w:eastAsia="Arial" w:cs="Arial"/>
        </w:rPr>
        <w:t xml:space="preserve">dojde k porušení povinnosti uchovávat dokumenty (uvedené v části II bodě 14) a není možné stanovit výši dotace, ke které se dokument váže; </w:t>
      </w:r>
    </w:p>
    <w:p w:rsidRPr="00737D68" w:rsidR="00737D68" w:rsidP="00737D68" w:rsidRDefault="00737D68" w14:paraId="005EFC46" w14:textId="77777777">
      <w:pPr>
        <w:numPr>
          <w:ilvl w:val="2"/>
          <w:numId w:val="5"/>
        </w:numPr>
        <w:tabs>
          <w:tab w:val="num" w:pos="993"/>
        </w:tabs>
        <w:spacing w:after="220" w:line="240" w:lineRule="auto"/>
        <w:ind w:left="993" w:hanging="426"/>
        <w:contextualSpacing/>
        <w:jc w:val="both"/>
        <w:rPr>
          <w:rFonts w:ascii="Arial" w:hAnsi="Arial" w:eastAsia="Arial" w:cs="Arial"/>
        </w:rPr>
      </w:pPr>
      <w:r w:rsidRPr="00737D68">
        <w:rPr>
          <w:rFonts w:ascii="Arial" w:hAnsi="Arial" w:eastAsia="Arial" w:cs="Arial"/>
        </w:rPr>
        <w:t>dojde k porušení povinnosti týkající se práv duševního vlastnictví (uvedené v části II bodě 16);</w:t>
      </w:r>
    </w:p>
    <w:p w:rsidRPr="00737D68" w:rsidR="00737D68" w:rsidP="00737D68" w:rsidRDefault="00737D68" w14:paraId="5700C12D" w14:textId="77777777">
      <w:pPr>
        <w:numPr>
          <w:ilvl w:val="2"/>
          <w:numId w:val="5"/>
        </w:numPr>
        <w:tabs>
          <w:tab w:val="num" w:pos="993"/>
        </w:tabs>
        <w:spacing w:after="60" w:line="240" w:lineRule="auto"/>
        <w:ind w:left="993" w:hanging="426"/>
        <w:contextualSpacing/>
        <w:jc w:val="both"/>
        <w:rPr>
          <w:rFonts w:ascii="Arial" w:hAnsi="Arial" w:eastAsia="Arial" w:cs="Arial"/>
        </w:rPr>
      </w:pPr>
      <w:r w:rsidRPr="00737D68">
        <w:rPr>
          <w:rFonts w:ascii="Arial" w:hAnsi="Arial" w:eastAsia="Arial" w:cs="Arial"/>
        </w:rPr>
        <w:t>dojde k porušení povinností týkajících se partnerství (uvedených v části II bodech 17.1 až 17.3);</w:t>
      </w:r>
    </w:p>
    <w:p w:rsidRPr="00737D68" w:rsidR="00737D68" w:rsidP="00737D68" w:rsidRDefault="00737D68" w14:paraId="52FFBA95" w14:textId="77777777">
      <w:pPr>
        <w:spacing w:after="60" w:line="240" w:lineRule="auto"/>
        <w:ind w:left="567"/>
        <w:jc w:val="both"/>
        <w:rPr>
          <w:rFonts w:ascii="Arial" w:hAnsi="Arial" w:eastAsia="Arial" w:cs="Times New Roman"/>
        </w:rPr>
      </w:pPr>
      <w:r w:rsidRPr="00737D68">
        <w:rPr>
          <w:rFonts w:ascii="Arial" w:hAnsi="Arial" w:eastAsia="Arial" w:cs="Times New Roman"/>
        </w:rPr>
        <w:t>bude odvod za porušení rozpočtové kázně vyměřen dle § 44a odst. 4 písm. a) rozpočtových pravidel ve výši 0,5 % z celkové částky dotace. Odvod za porušení rozpočtové kázně přitom nemůže být vyšší než celková částka dotace, která byla vyplacena.</w:t>
      </w:r>
    </w:p>
    <w:p w:rsidRPr="00737D68" w:rsidR="00737D68" w:rsidP="00737D68" w:rsidRDefault="00737D68" w14:paraId="37A5C92F" w14:textId="77777777">
      <w:pPr>
        <w:numPr>
          <w:ilvl w:val="1"/>
          <w:numId w:val="18"/>
        </w:numPr>
        <w:spacing w:after="60" w:line="240" w:lineRule="auto"/>
        <w:ind w:left="567" w:hanging="567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>V případě, že dojde k porušení povinností týkajících se zadávání zakázek (uvedených v části II bodě 6), jež je dle Pravidel OPZ považováno za porušení rozpočtové kázně, bude odvod za porušení rozpočtové kázně vyměřen dle § 44a odst. 4 písm. a) rozpočtových pravidel ve výši stanovené za porušení dané povinnosti v tabulce sankcí pro oblast zadávání obsažené v Obecné části pravidel pro žadatele a příjemce v rámci OPZ.</w:t>
      </w:r>
    </w:p>
    <w:p w:rsidRPr="00737D68" w:rsidR="00737D68" w:rsidP="00737D68" w:rsidRDefault="00737D68" w14:paraId="6E23EEDB" w14:textId="77777777">
      <w:pPr>
        <w:numPr>
          <w:ilvl w:val="1"/>
          <w:numId w:val="18"/>
        </w:numPr>
        <w:spacing w:after="60" w:line="240" w:lineRule="auto"/>
        <w:ind w:left="567" w:hanging="567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>V případě, že dojde k porušení povinností týkajících se provádění informačních a komunikačních opatření (uvedených v části II bodě 9), jež je dle Pravidel OPZ považováno za porušení rozpočtové kázně, bude odvod za porušení rozpočtové kázně vyměřen dle § 44a odst. 4 písm. a) rozpočtových pravidel ve výši stanovené za porušení dané povinnosti v tabulce sankcí pro oblast publicity obsažené v Obecné části pravidel pro žadatele a příjemce v rámci OPZ.</w:t>
      </w:r>
    </w:p>
    <w:p w:rsidRPr="00737D68" w:rsidR="00737D68" w:rsidP="00737D68" w:rsidRDefault="00737D68" w14:paraId="738F3F24" w14:textId="77777777">
      <w:pPr>
        <w:numPr>
          <w:ilvl w:val="1"/>
          <w:numId w:val="18"/>
        </w:numPr>
        <w:spacing w:after="60" w:line="240" w:lineRule="auto"/>
        <w:ind w:left="567" w:hanging="567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>V případě, že do data ukončení realizace projektu nebude dosažena celková cílová hodnota indikátorů výstupů uvedená v části III bodě 2.1, bude dle § 44a odst. 4 písm. a) rozpočtových pravidel vyměřen následující odvod z  částky, ve které byla porušena rozpočtová kázeň (tj. z vyčerpané částky dotace), přičemž odvod za porušení rozpočtové kázně nemůže být vyšší než celková částka dotace, která byla vyplacena.</w:t>
      </w:r>
    </w:p>
    <w:tbl>
      <w:tblPr>
        <w:tblW w:w="0" w:type="auto"/>
        <w:tblInd w:w="6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494"/>
        <w:gridCol w:w="3929"/>
      </w:tblGrid>
      <w:tr w:rsidRPr="00737D68" w:rsidR="00737D68" w:rsidTr="00945A28" w14:paraId="567DD2F6" w14:textId="77777777">
        <w:tc>
          <w:tcPr>
            <w:tcW w:w="4536" w:type="dxa"/>
          </w:tcPr>
          <w:p w:rsidRPr="00737D68" w:rsidR="00737D68" w:rsidP="00737D68" w:rsidRDefault="00737D68" w14:paraId="59764462" w14:textId="77777777">
            <w:pPr>
              <w:keepNext/>
              <w:spacing w:before="60" w:after="0" w:line="240" w:lineRule="auto"/>
              <w:ind w:left="57" w:right="57"/>
              <w:rPr>
                <w:rFonts w:ascii="Arial" w:hAnsi="Arial" w:eastAsia="Arial" w:cs="Arial"/>
                <w:sz w:val="20"/>
              </w:rPr>
            </w:pPr>
            <w:r w:rsidRPr="00737D68">
              <w:rPr>
                <w:rFonts w:ascii="Arial" w:hAnsi="Arial" w:eastAsia="Arial" w:cs="Arial"/>
                <w:sz w:val="20"/>
              </w:rPr>
              <w:t>Celková míra naplnění indikátorů výstupů uvedených v Informaci o projektu příloze č. 1</w:t>
            </w:r>
          </w:p>
        </w:tc>
        <w:tc>
          <w:tcPr>
            <w:tcW w:w="3969" w:type="dxa"/>
          </w:tcPr>
          <w:p w:rsidRPr="00737D68" w:rsidR="00737D68" w:rsidP="00737D68" w:rsidRDefault="00737D68" w14:paraId="292A4AA1" w14:textId="77777777">
            <w:pPr>
              <w:keepNext/>
              <w:spacing w:before="60" w:after="0" w:line="240" w:lineRule="auto"/>
              <w:ind w:left="57" w:right="57"/>
              <w:rPr>
                <w:rFonts w:ascii="Arial" w:hAnsi="Arial" w:eastAsia="Arial" w:cs="Arial"/>
                <w:sz w:val="20"/>
              </w:rPr>
            </w:pPr>
            <w:r w:rsidRPr="00737D68">
              <w:rPr>
                <w:rFonts w:ascii="Arial" w:hAnsi="Arial" w:eastAsia="Arial" w:cs="Arial"/>
                <w:sz w:val="20"/>
              </w:rPr>
              <w:t>Procento odvodu z částky, ve které byla porušena rozpočtová kázeň</w:t>
            </w:r>
          </w:p>
        </w:tc>
      </w:tr>
      <w:tr w:rsidRPr="00737D68" w:rsidR="00737D68" w:rsidTr="00945A28" w14:paraId="47BCFFE5" w14:textId="77777777">
        <w:tc>
          <w:tcPr>
            <w:tcW w:w="4536" w:type="dxa"/>
            <w:vAlign w:val="center"/>
          </w:tcPr>
          <w:p w:rsidRPr="00737D68" w:rsidR="00737D68" w:rsidP="00737D68" w:rsidRDefault="00737D68" w14:paraId="3413045B" w14:textId="77777777">
            <w:pPr>
              <w:keepNext/>
              <w:spacing w:before="60" w:after="0" w:line="240" w:lineRule="auto"/>
              <w:ind w:left="57" w:right="57"/>
              <w:rPr>
                <w:rFonts w:ascii="Arial" w:hAnsi="Arial" w:eastAsia="Arial" w:cs="Arial"/>
                <w:sz w:val="20"/>
              </w:rPr>
            </w:pPr>
            <w:r w:rsidRPr="00737D68">
              <w:rPr>
                <w:rFonts w:ascii="Arial" w:hAnsi="Arial" w:eastAsia="Arial" w:cs="Arial"/>
                <w:sz w:val="20"/>
              </w:rPr>
              <w:t>méně než 85 % až 70 %</w:t>
            </w:r>
          </w:p>
        </w:tc>
        <w:tc>
          <w:tcPr>
            <w:tcW w:w="3969" w:type="dxa"/>
          </w:tcPr>
          <w:p w:rsidRPr="00737D68" w:rsidR="00737D68" w:rsidP="00737D68" w:rsidRDefault="00737D68" w14:paraId="589ADA7E" w14:textId="77777777">
            <w:pPr>
              <w:keepNext/>
              <w:spacing w:before="60" w:after="0" w:line="240" w:lineRule="auto"/>
              <w:ind w:left="57" w:right="57"/>
              <w:rPr>
                <w:rFonts w:ascii="Arial" w:hAnsi="Arial" w:eastAsia="Arial" w:cs="Arial"/>
                <w:sz w:val="20"/>
              </w:rPr>
            </w:pPr>
            <w:r w:rsidRPr="00737D68">
              <w:rPr>
                <w:rFonts w:ascii="Arial" w:hAnsi="Arial" w:eastAsia="Arial" w:cs="Arial"/>
                <w:sz w:val="20"/>
              </w:rPr>
              <w:t>15 %</w:t>
            </w:r>
          </w:p>
        </w:tc>
      </w:tr>
      <w:tr w:rsidRPr="00737D68" w:rsidR="00737D68" w:rsidTr="00945A28" w14:paraId="2FA3F925" w14:textId="77777777">
        <w:tc>
          <w:tcPr>
            <w:tcW w:w="4536" w:type="dxa"/>
            <w:vAlign w:val="center"/>
          </w:tcPr>
          <w:p w:rsidRPr="00737D68" w:rsidR="00737D68" w:rsidP="00737D68" w:rsidRDefault="00737D68" w14:paraId="38B1D227" w14:textId="77777777">
            <w:pPr>
              <w:keepNext/>
              <w:spacing w:before="60" w:after="0" w:line="240" w:lineRule="auto"/>
              <w:ind w:left="57" w:right="57"/>
              <w:rPr>
                <w:rFonts w:ascii="Arial" w:hAnsi="Arial" w:eastAsia="Arial" w:cs="Arial"/>
                <w:sz w:val="20"/>
              </w:rPr>
            </w:pPr>
            <w:r w:rsidRPr="00737D68">
              <w:rPr>
                <w:rFonts w:ascii="Arial" w:hAnsi="Arial" w:eastAsia="Arial" w:cs="Arial"/>
                <w:sz w:val="20"/>
              </w:rPr>
              <w:t>méně než 70 % až 55 %</w:t>
            </w:r>
          </w:p>
        </w:tc>
        <w:tc>
          <w:tcPr>
            <w:tcW w:w="3969" w:type="dxa"/>
          </w:tcPr>
          <w:p w:rsidRPr="00737D68" w:rsidR="00737D68" w:rsidP="00737D68" w:rsidRDefault="00737D68" w14:paraId="18D7F378" w14:textId="77777777">
            <w:pPr>
              <w:keepNext/>
              <w:spacing w:before="60" w:after="0" w:line="240" w:lineRule="auto"/>
              <w:ind w:left="57" w:right="57"/>
              <w:rPr>
                <w:rFonts w:ascii="Arial" w:hAnsi="Arial" w:eastAsia="Arial" w:cs="Arial"/>
                <w:bCs/>
                <w:sz w:val="20"/>
              </w:rPr>
            </w:pPr>
            <w:r w:rsidRPr="00737D68">
              <w:rPr>
                <w:rFonts w:ascii="Arial" w:hAnsi="Arial" w:eastAsia="Arial" w:cs="Arial"/>
                <w:sz w:val="20"/>
              </w:rPr>
              <w:t>20 %</w:t>
            </w:r>
          </w:p>
        </w:tc>
      </w:tr>
      <w:tr w:rsidRPr="00737D68" w:rsidR="00737D68" w:rsidTr="00945A28" w14:paraId="0CADF245" w14:textId="77777777">
        <w:tc>
          <w:tcPr>
            <w:tcW w:w="4536" w:type="dxa"/>
            <w:vAlign w:val="center"/>
          </w:tcPr>
          <w:p w:rsidRPr="00737D68" w:rsidR="00737D68" w:rsidP="00737D68" w:rsidRDefault="00737D68" w14:paraId="4099BCE9" w14:textId="77777777">
            <w:pPr>
              <w:keepNext/>
              <w:spacing w:before="60" w:after="0" w:line="240" w:lineRule="auto"/>
              <w:ind w:left="57" w:right="57"/>
              <w:rPr>
                <w:rFonts w:ascii="Arial" w:hAnsi="Arial" w:eastAsia="Arial" w:cs="Arial"/>
                <w:sz w:val="20"/>
              </w:rPr>
            </w:pPr>
            <w:r w:rsidRPr="00737D68">
              <w:rPr>
                <w:rFonts w:ascii="Arial" w:hAnsi="Arial" w:eastAsia="Arial" w:cs="Arial"/>
                <w:sz w:val="20"/>
              </w:rPr>
              <w:t>méně než 55 % až 40 %</w:t>
            </w:r>
          </w:p>
        </w:tc>
        <w:tc>
          <w:tcPr>
            <w:tcW w:w="3969" w:type="dxa"/>
          </w:tcPr>
          <w:p w:rsidRPr="00737D68" w:rsidR="00737D68" w:rsidP="00737D68" w:rsidRDefault="00737D68" w14:paraId="64F10086" w14:textId="77777777">
            <w:pPr>
              <w:keepNext/>
              <w:spacing w:before="60" w:after="0" w:line="240" w:lineRule="auto"/>
              <w:ind w:left="57" w:right="57"/>
              <w:rPr>
                <w:rFonts w:ascii="Arial" w:hAnsi="Arial" w:eastAsia="Arial" w:cs="Arial"/>
                <w:bCs/>
                <w:sz w:val="20"/>
              </w:rPr>
            </w:pPr>
            <w:r w:rsidRPr="00737D68">
              <w:rPr>
                <w:rFonts w:ascii="Arial" w:hAnsi="Arial" w:eastAsia="Arial" w:cs="Arial"/>
                <w:sz w:val="20"/>
              </w:rPr>
              <w:t>30 %</w:t>
            </w:r>
          </w:p>
        </w:tc>
      </w:tr>
      <w:tr w:rsidRPr="00737D68" w:rsidR="00737D68" w:rsidTr="00945A28" w14:paraId="70717655" w14:textId="77777777">
        <w:tc>
          <w:tcPr>
            <w:tcW w:w="4536" w:type="dxa"/>
            <w:vAlign w:val="center"/>
          </w:tcPr>
          <w:p w:rsidRPr="00737D68" w:rsidR="00737D68" w:rsidP="00737D68" w:rsidRDefault="00737D68" w14:paraId="0833EF87" w14:textId="77777777">
            <w:pPr>
              <w:keepNext/>
              <w:spacing w:before="60" w:after="0" w:line="240" w:lineRule="auto"/>
              <w:ind w:left="57" w:right="57"/>
              <w:rPr>
                <w:rFonts w:ascii="Arial" w:hAnsi="Arial" w:eastAsia="Arial" w:cs="Arial"/>
                <w:sz w:val="20"/>
              </w:rPr>
            </w:pPr>
            <w:r w:rsidRPr="00737D68">
              <w:rPr>
                <w:rFonts w:ascii="Arial" w:hAnsi="Arial" w:eastAsia="Arial" w:cs="Arial"/>
                <w:sz w:val="20"/>
              </w:rPr>
              <w:t>méně než 40 %</w:t>
            </w:r>
          </w:p>
        </w:tc>
        <w:tc>
          <w:tcPr>
            <w:tcW w:w="3969" w:type="dxa"/>
          </w:tcPr>
          <w:p w:rsidRPr="00737D68" w:rsidR="00737D68" w:rsidP="00737D68" w:rsidRDefault="00737D68" w14:paraId="4B78B2D5" w14:textId="77777777">
            <w:pPr>
              <w:keepNext/>
              <w:spacing w:before="60" w:after="0" w:line="240" w:lineRule="auto"/>
              <w:ind w:left="57" w:right="57"/>
              <w:rPr>
                <w:rFonts w:ascii="Arial" w:hAnsi="Arial" w:eastAsia="Arial" w:cs="Arial"/>
                <w:bCs/>
                <w:sz w:val="20"/>
              </w:rPr>
            </w:pPr>
            <w:r w:rsidRPr="00737D68">
              <w:rPr>
                <w:rFonts w:ascii="Arial" w:hAnsi="Arial" w:eastAsia="Arial" w:cs="Arial"/>
                <w:sz w:val="20"/>
              </w:rPr>
              <w:t>50 %</w:t>
            </w:r>
          </w:p>
        </w:tc>
      </w:tr>
    </w:tbl>
    <w:p w:rsidRPr="00737D68" w:rsidR="00737D68" w:rsidP="00737D68" w:rsidRDefault="00737D68" w14:paraId="4BD59CBB" w14:textId="77777777">
      <w:pPr>
        <w:spacing w:before="60" w:after="60" w:line="240" w:lineRule="auto"/>
        <w:ind w:left="539"/>
        <w:jc w:val="both"/>
        <w:rPr>
          <w:rFonts w:ascii="Arial" w:hAnsi="Arial" w:eastAsia="Arial" w:cs="Times New Roman"/>
        </w:rPr>
      </w:pPr>
      <w:r w:rsidRPr="00737D68">
        <w:rPr>
          <w:rFonts w:ascii="Arial" w:hAnsi="Arial" w:eastAsia="Arial" w:cs="Times New Roman"/>
        </w:rPr>
        <w:t xml:space="preserve">V případě, že k okamžiku schválení závěrečné zprávy o realizaci platná Pravidla OPZ stanoví pro příjemce příznivěji jednotlivá rozmezí celkové míry naplnění indikátorů výstupů či s tímto spojené procento odvodu než toto Rozhodnutí, uplatní se při vyměření odvodu tato úprava v Pravidlech OPZ. </w:t>
      </w:r>
    </w:p>
    <w:p w:rsidRPr="00737D68" w:rsidR="00737D68" w:rsidP="00737D68" w:rsidRDefault="00737D68" w14:paraId="5CEA8387" w14:textId="77777777">
      <w:pPr>
        <w:numPr>
          <w:ilvl w:val="1"/>
          <w:numId w:val="18"/>
        </w:numPr>
        <w:spacing w:after="60" w:line="240" w:lineRule="auto"/>
        <w:ind w:left="567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>V případě, že do data ukončení realizace projektu nebude splněna celková cílová hodnota indikátorů výsledků uvedená v části III bodě 2.1, bude dle § 44a odst. 4 písm. a) rozpočtových pravidel vyměřen následující odvod z částky, ve které byla porušena rozpočtová kázeň (tj. z vyčerpané částky dotace), přičemž odvod za porušení rozpočtové kázně nemůže být vyšší než celková částka dotace, která byla vyplacena.</w:t>
      </w:r>
    </w:p>
    <w:tbl>
      <w:tblPr>
        <w:tblW w:w="0" w:type="auto"/>
        <w:tblInd w:w="6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530"/>
        <w:gridCol w:w="3893"/>
      </w:tblGrid>
      <w:tr w:rsidRPr="00737D68" w:rsidR="00737D68" w:rsidTr="00945A28" w14:paraId="755C3029" w14:textId="77777777"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737D68" w:rsidR="00737D68" w:rsidP="00737D68" w:rsidRDefault="00737D68" w14:paraId="2BC4CAD4" w14:textId="77777777">
            <w:pPr>
              <w:keepNext/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737D68">
              <w:rPr>
                <w:rFonts w:ascii="Arial" w:hAnsi="Arial" w:eastAsia="Arial" w:cs="Times New Roman"/>
                <w:sz w:val="20"/>
              </w:rPr>
              <w:t>Celková míra naplnění indikátorů výsledků uvedených v Informaci o projektu v příloze č. 1</w:t>
            </w:r>
          </w:p>
        </w:tc>
        <w:tc>
          <w:tcPr>
            <w:tcW w:w="38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737D68" w:rsidR="00737D68" w:rsidP="00737D68" w:rsidRDefault="00737D68" w14:paraId="37A5F95D" w14:textId="77777777">
            <w:pPr>
              <w:keepNext/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737D68">
              <w:rPr>
                <w:rFonts w:ascii="Arial" w:hAnsi="Arial" w:eastAsia="Arial" w:cs="Times New Roman"/>
                <w:sz w:val="20"/>
              </w:rPr>
              <w:t>Procento odvodu z částky, ve které byla porušena rozpočtová kázeň</w:t>
            </w:r>
          </w:p>
        </w:tc>
      </w:tr>
      <w:tr w:rsidRPr="00737D68" w:rsidR="00737D68" w:rsidTr="00945A28" w14:paraId="5341DD89" w14:textId="77777777"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737D68" w:rsidR="00737D68" w:rsidP="00737D68" w:rsidRDefault="00737D68" w14:paraId="6CB08AC1" w14:textId="77777777">
            <w:pPr>
              <w:keepNext/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737D68">
              <w:rPr>
                <w:rFonts w:ascii="Arial" w:hAnsi="Arial" w:eastAsia="Arial" w:cs="Times New Roman"/>
                <w:sz w:val="20"/>
              </w:rPr>
              <w:t>méně než 75 % až  50%</w:t>
            </w:r>
          </w:p>
        </w:tc>
        <w:tc>
          <w:tcPr>
            <w:tcW w:w="38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737D68" w:rsidR="00737D68" w:rsidP="00737D68" w:rsidRDefault="00737D68" w14:paraId="4BC803AD" w14:textId="77777777">
            <w:pPr>
              <w:keepNext/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737D68">
              <w:rPr>
                <w:rFonts w:ascii="Arial" w:hAnsi="Arial" w:eastAsia="Arial" w:cs="Times New Roman"/>
                <w:sz w:val="20"/>
              </w:rPr>
              <w:t>10 %</w:t>
            </w:r>
          </w:p>
        </w:tc>
      </w:tr>
      <w:tr w:rsidRPr="00737D68" w:rsidR="00737D68" w:rsidTr="00945A28" w14:paraId="5D1F6FA1" w14:textId="77777777"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737D68" w:rsidR="00737D68" w:rsidP="00737D68" w:rsidRDefault="00737D68" w14:paraId="20DCBADF" w14:textId="77777777">
            <w:pPr>
              <w:keepNext/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737D68">
              <w:rPr>
                <w:rFonts w:ascii="Arial" w:hAnsi="Arial" w:eastAsia="Arial" w:cs="Times New Roman"/>
                <w:sz w:val="20"/>
              </w:rPr>
              <w:t xml:space="preserve">méně než 50 % </w:t>
            </w:r>
          </w:p>
        </w:tc>
        <w:tc>
          <w:tcPr>
            <w:tcW w:w="38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737D68" w:rsidR="00737D68" w:rsidP="00737D68" w:rsidRDefault="00737D68" w14:paraId="4EF9B848" w14:textId="77777777">
            <w:pPr>
              <w:keepNext/>
              <w:spacing w:after="0" w:line="240" w:lineRule="auto"/>
              <w:ind w:left="57" w:right="57"/>
              <w:rPr>
                <w:rFonts w:ascii="Arial" w:hAnsi="Arial" w:eastAsia="Arial" w:cs="Times New Roman"/>
                <w:bCs/>
                <w:sz w:val="20"/>
              </w:rPr>
            </w:pPr>
            <w:r w:rsidRPr="00737D68">
              <w:rPr>
                <w:rFonts w:ascii="Arial" w:hAnsi="Arial" w:eastAsia="Arial" w:cs="Times New Roman"/>
                <w:sz w:val="20"/>
              </w:rPr>
              <w:t>20 %</w:t>
            </w:r>
          </w:p>
        </w:tc>
      </w:tr>
    </w:tbl>
    <w:p w:rsidRPr="00737D68" w:rsidR="00737D68" w:rsidP="00737D68" w:rsidRDefault="00737D68" w14:paraId="1A0A6CA6" w14:textId="77777777">
      <w:pPr>
        <w:widowControl w:val="false"/>
        <w:tabs>
          <w:tab w:val="num" w:pos="1478"/>
        </w:tabs>
        <w:overflowPunct w:val="false"/>
        <w:autoSpaceDE w:val="false"/>
        <w:autoSpaceDN w:val="false"/>
        <w:adjustRightInd w:val="false"/>
        <w:spacing w:before="40" w:after="60" w:line="240" w:lineRule="auto"/>
        <w:ind w:left="567"/>
        <w:contextualSpacing/>
        <w:jc w:val="both"/>
        <w:textAlignment w:val="baseline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>V případě, že k okamžiku schválení závěrečné zprávy o realizaci platná Pravidla OPZ stanoví pro příjemce příznivěji jednotlivá rozmezí celkové míry</w:t>
      </w:r>
      <w:r w:rsidRPr="00737D68" w:rsidDel="00077902">
        <w:rPr>
          <w:rFonts w:ascii="Arial" w:hAnsi="Arial" w:eastAsia="Times New Roman" w:cs="Arial"/>
          <w:lang w:eastAsia="cs-CZ"/>
        </w:rPr>
        <w:t xml:space="preserve"> </w:t>
      </w:r>
      <w:r w:rsidRPr="00737D68">
        <w:rPr>
          <w:rFonts w:ascii="Arial" w:hAnsi="Arial" w:eastAsia="Times New Roman" w:cs="Arial"/>
          <w:lang w:eastAsia="cs-CZ"/>
        </w:rPr>
        <w:t xml:space="preserve">naplnění indikátorů výsledků či s tímto spojené procento odvodu mírněji než toto Rozhodnutí, uplatní se při vyměření odvodu tato úprava v Pravidlech OPZ. </w:t>
      </w:r>
    </w:p>
    <w:p w:rsidRPr="00737D68" w:rsidR="00737D68" w:rsidP="00737D68" w:rsidRDefault="00737D68" w14:paraId="1CF6EB22" w14:textId="77777777">
      <w:pPr>
        <w:numPr>
          <w:ilvl w:val="1"/>
          <w:numId w:val="18"/>
        </w:numPr>
        <w:spacing w:after="60" w:line="240" w:lineRule="auto"/>
        <w:ind w:left="567" w:hanging="567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>V případě, že dojde k porušení povinnosti týkající se předložení či změny plánu aktivit projektu či povinnosti provádět příslušnou aktivitu projektu v souladu s předloženým plánem aktivit projektu, jež jsou dle Pravidel OPZ považovány za porušení rozpočtové kázně, bude odvod za porušení rozpočtové kázně vyměřen dle § 44a odst. 4 písm. a) rozpočtových pravidel ve výši stanovené za porušení této povinnosti ve Specifických pravidlech.</w:t>
      </w:r>
    </w:p>
    <w:p w:rsidRPr="00737D68" w:rsidR="00737D68" w:rsidP="00737D68" w:rsidRDefault="00737D68" w14:paraId="47A72E20" w14:textId="77777777">
      <w:pPr>
        <w:spacing w:after="60" w:line="240" w:lineRule="auto"/>
        <w:jc w:val="both"/>
        <w:rPr>
          <w:rFonts w:ascii="Arial" w:hAnsi="Arial" w:eastAsia="Times New Roman" w:cs="Arial"/>
          <w:lang w:eastAsia="cs-CZ"/>
        </w:rPr>
      </w:pPr>
    </w:p>
    <w:p w:rsidRPr="00737D68" w:rsidR="00737D68" w:rsidP="00737D68" w:rsidRDefault="00737D68" w14:paraId="73A152FF" w14:textId="77777777">
      <w:pPr>
        <w:numPr>
          <w:ilvl w:val="0"/>
          <w:numId w:val="18"/>
        </w:numPr>
        <w:spacing w:before="240" w:after="120" w:line="240" w:lineRule="auto"/>
        <w:jc w:val="both"/>
        <w:rPr>
          <w:rFonts w:ascii="Arial" w:hAnsi="Arial" w:eastAsia="Times New Roman" w:cs="Arial"/>
          <w:b/>
          <w:bCs/>
          <w:lang w:eastAsia="cs-CZ"/>
        </w:rPr>
      </w:pPr>
      <w:r w:rsidRPr="00737D68">
        <w:rPr>
          <w:rFonts w:ascii="Arial" w:hAnsi="Arial" w:eastAsia="Times New Roman" w:cs="Arial"/>
          <w:b/>
          <w:bCs/>
          <w:lang w:eastAsia="cs-CZ"/>
        </w:rPr>
        <w:t>Porušení povinností, jež není porušením rozpočtové kázně</w:t>
      </w:r>
      <w:r w:rsidRPr="00737D68">
        <w:rPr>
          <w:rFonts w:ascii="Arial" w:hAnsi="Arial" w:eastAsia="Times New Roman" w:cs="Arial"/>
          <w:b/>
          <w:bCs/>
          <w:vertAlign w:val="superscript"/>
          <w:lang w:eastAsia="cs-CZ"/>
        </w:rPr>
        <w:footnoteReference w:id="18"/>
      </w:r>
    </w:p>
    <w:p w:rsidRPr="00737D68" w:rsidR="00737D68" w:rsidP="00737D68" w:rsidRDefault="00737D68" w14:paraId="0EF9E485" w14:textId="77777777">
      <w:pPr>
        <w:spacing w:after="60" w:line="240" w:lineRule="auto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 xml:space="preserve">V případě, že </w:t>
      </w:r>
    </w:p>
    <w:p w:rsidRPr="00737D68" w:rsidR="00737D68" w:rsidP="00737D68" w:rsidRDefault="00737D68" w14:paraId="23C07ABD" w14:textId="77777777">
      <w:pPr>
        <w:numPr>
          <w:ilvl w:val="2"/>
          <w:numId w:val="5"/>
        </w:numPr>
        <w:tabs>
          <w:tab w:val="num" w:pos="709"/>
        </w:tabs>
        <w:spacing w:after="60" w:line="240" w:lineRule="auto"/>
        <w:ind w:left="709" w:hanging="283"/>
        <w:contextualSpacing/>
        <w:jc w:val="both"/>
        <w:rPr>
          <w:rFonts w:ascii="Arial" w:hAnsi="Arial" w:eastAsia="Arial" w:cs="Arial"/>
        </w:rPr>
      </w:pPr>
      <w:r w:rsidRPr="00737D68">
        <w:rPr>
          <w:rFonts w:ascii="Arial" w:hAnsi="Arial" w:eastAsia="Arial" w:cs="Arial"/>
        </w:rPr>
        <w:t>dojde k porušení povinnosti předložit poskytovateli zprávu o realizaci projektu (včetně žádosti o platbu) nebo povinnosti předložit poskytovateli vyžádanou informaci ad hoc (uvedené v části II bodě 5.2 a bodě 10, v části III v bodech 2.2 až 2.4) a prodlení bude trvat méně než 7 kalendářních dní, přičemž určující pro počátek běhu prodlení je termín vyplývající z tohoto Rozhodnutí ve znění případného vyjádření poskytovatele o změně termínu, které je příjemci k dispozici v MS2014+; (netýká se situací, kdy příjemce nemohl z důvodu technických překážek na straně MS2014+ zprávu o realizaci projektu nebo žádost o platbu předložit);</w:t>
      </w:r>
    </w:p>
    <w:p w:rsidRPr="00737D68" w:rsidR="00737D68" w:rsidP="00737D68" w:rsidRDefault="00737D68" w14:paraId="2A3175E2" w14:textId="77777777">
      <w:pPr>
        <w:numPr>
          <w:ilvl w:val="2"/>
          <w:numId w:val="5"/>
        </w:numPr>
        <w:tabs>
          <w:tab w:val="num" w:pos="709"/>
        </w:tabs>
        <w:spacing w:after="60" w:line="240" w:lineRule="auto"/>
        <w:ind w:left="709" w:hanging="283"/>
        <w:contextualSpacing/>
        <w:jc w:val="both"/>
        <w:rPr>
          <w:rFonts w:ascii="Arial" w:hAnsi="Arial" w:eastAsia="Arial" w:cs="Arial"/>
        </w:rPr>
      </w:pPr>
      <w:r w:rsidRPr="00737D68">
        <w:rPr>
          <w:rFonts w:ascii="Arial" w:hAnsi="Arial" w:eastAsia="Arial" w:cs="Arial"/>
        </w:rPr>
        <w:t xml:space="preserve">dojde k porušení povinností předložit poskytovateli zprávu o realizaci projektu (včetně žádosti o platbu; uvedených v části III 2.2 až 2.4) </w:t>
      </w:r>
      <w:r w:rsidRPr="00737D68">
        <w:rPr>
          <w:rFonts w:ascii="Arial" w:hAnsi="Arial" w:eastAsia="Arial" w:cs="Times New Roman"/>
        </w:rPr>
        <w:t xml:space="preserve">nebo povinnosti předložit poskytovateli plán aktivit projektu vyžádaný podle Pravidel OPZ </w:t>
      </w:r>
      <w:r w:rsidRPr="00737D68">
        <w:rPr>
          <w:rFonts w:ascii="Arial" w:hAnsi="Arial" w:eastAsia="Arial" w:cs="Arial"/>
        </w:rPr>
        <w:t xml:space="preserve">a prodlení je způsobeno tím, že příjemce nemohl z důvodu </w:t>
      </w:r>
      <w:r w:rsidRPr="00737D68">
        <w:rPr>
          <w:rFonts w:ascii="Arial" w:hAnsi="Arial" w:eastAsia="Arial" w:cs="Times New Roman"/>
        </w:rPr>
        <w:t xml:space="preserve">technických překážek na straně </w:t>
      </w:r>
      <w:r w:rsidRPr="00737D68">
        <w:rPr>
          <w:rFonts w:ascii="Arial" w:hAnsi="Arial" w:eastAsia="Arial" w:cs="Arial"/>
        </w:rPr>
        <w:t xml:space="preserve">MS2014+ zprávu o realizaci projektu, žádost o platbu </w:t>
      </w:r>
      <w:r w:rsidRPr="00737D68">
        <w:rPr>
          <w:rFonts w:ascii="Arial" w:hAnsi="Arial" w:eastAsia="Arial" w:cs="Times New Roman"/>
        </w:rPr>
        <w:t xml:space="preserve">nebo plán aktivit projektu </w:t>
      </w:r>
      <w:r w:rsidRPr="00737D68">
        <w:rPr>
          <w:rFonts w:ascii="Arial" w:hAnsi="Arial" w:eastAsia="Arial" w:cs="Arial"/>
        </w:rPr>
        <w:t>předložit;</w:t>
      </w:r>
    </w:p>
    <w:p w:rsidRPr="00737D68" w:rsidR="00737D68" w:rsidP="00737D68" w:rsidRDefault="00737D68" w14:paraId="4684350B" w14:textId="77777777">
      <w:pPr>
        <w:numPr>
          <w:ilvl w:val="2"/>
          <w:numId w:val="5"/>
        </w:numPr>
        <w:tabs>
          <w:tab w:val="num" w:pos="709"/>
        </w:tabs>
        <w:spacing w:after="60" w:line="240" w:lineRule="auto"/>
        <w:ind w:left="709" w:hanging="283"/>
        <w:contextualSpacing/>
        <w:jc w:val="both"/>
        <w:rPr>
          <w:rFonts w:ascii="Arial" w:hAnsi="Arial" w:eastAsia="Arial" w:cs="Arial"/>
        </w:rPr>
      </w:pPr>
      <w:r w:rsidRPr="00737D68">
        <w:rPr>
          <w:rFonts w:ascii="Arial" w:hAnsi="Arial" w:eastAsia="Arial" w:cs="Arial"/>
        </w:rPr>
        <w:t xml:space="preserve">dojde k porušení povinnosti týkající se oznamování (uvedené v části II bodě 11), včetně oznamování nepodstatných změn a v Pravidlech OPZ je pro dané pochybení stanoveno, že nezakládá porušení rozpočtové kázně; </w:t>
      </w:r>
    </w:p>
    <w:p w:rsidRPr="00737D68" w:rsidR="00737D68" w:rsidP="00737D68" w:rsidRDefault="00737D68" w14:paraId="58F3CDF2" w14:textId="77777777">
      <w:pPr>
        <w:numPr>
          <w:ilvl w:val="2"/>
          <w:numId w:val="5"/>
        </w:numPr>
        <w:tabs>
          <w:tab w:val="num" w:pos="709"/>
        </w:tabs>
        <w:spacing w:after="60" w:line="240" w:lineRule="auto"/>
        <w:ind w:left="709" w:hanging="283"/>
        <w:contextualSpacing/>
        <w:jc w:val="both"/>
        <w:rPr>
          <w:rFonts w:ascii="Arial" w:hAnsi="Arial" w:eastAsia="Arial" w:cs="Arial"/>
        </w:rPr>
      </w:pPr>
      <w:r w:rsidRPr="00737D68">
        <w:rPr>
          <w:rFonts w:ascii="Arial" w:hAnsi="Arial" w:eastAsia="Arial" w:cs="Arial"/>
        </w:rPr>
        <w:t>dojde k porušení povinností týkajících se zadávání zakázek (uvedených v části II bodě 6), jež dle Pravidel OPZ není považováno za porušení rozpočtové kázně,</w:t>
      </w:r>
    </w:p>
    <w:p w:rsidRPr="00737D68" w:rsidR="00737D68" w:rsidP="00737D68" w:rsidRDefault="00737D68" w14:paraId="1C30ACC9" w14:textId="77777777">
      <w:pPr>
        <w:numPr>
          <w:ilvl w:val="2"/>
          <w:numId w:val="5"/>
        </w:numPr>
        <w:tabs>
          <w:tab w:val="num" w:pos="709"/>
        </w:tabs>
        <w:spacing w:after="60" w:line="240" w:lineRule="auto"/>
        <w:ind w:left="709" w:hanging="283"/>
        <w:contextualSpacing/>
        <w:jc w:val="both"/>
        <w:rPr>
          <w:rFonts w:ascii="Arial" w:hAnsi="Arial" w:eastAsia="Arial" w:cs="Arial"/>
        </w:rPr>
      </w:pPr>
      <w:r w:rsidRPr="00737D68">
        <w:rPr>
          <w:rFonts w:ascii="Arial" w:hAnsi="Arial" w:eastAsia="Arial" w:cs="Arial"/>
        </w:rPr>
        <w:t>dojde k porušení povinností týkajících se provádění informačních a komunikačních opatření (uvedených v části II bodě 9), jež dle Pravidel OPZ není považováno za porušení rozpočtové kázně,</w:t>
      </w:r>
    </w:p>
    <w:p w:rsidRPr="00737D68" w:rsidR="00737D68" w:rsidP="00737D68" w:rsidRDefault="00737D68" w14:paraId="126155C4" w14:textId="77777777">
      <w:pPr>
        <w:numPr>
          <w:ilvl w:val="2"/>
          <w:numId w:val="5"/>
        </w:numPr>
        <w:tabs>
          <w:tab w:val="num" w:pos="709"/>
        </w:tabs>
        <w:spacing w:after="60" w:line="240" w:lineRule="auto"/>
        <w:ind w:left="709" w:hanging="283"/>
        <w:contextualSpacing/>
        <w:jc w:val="both"/>
        <w:rPr>
          <w:rFonts w:ascii="Arial" w:hAnsi="Arial" w:eastAsia="Arial" w:cs="Arial"/>
        </w:rPr>
      </w:pPr>
      <w:r w:rsidRPr="00737D68">
        <w:rPr>
          <w:rFonts w:ascii="Arial" w:hAnsi="Arial" w:eastAsia="Arial" w:cs="Arial"/>
        </w:rPr>
        <w:t xml:space="preserve">bude splněna cílová hodnota indikátorů výstupů uvedených v Informaci o projektu v příloze č. 1 tohoto Rozhodnutí z 85 % nebo více, </w:t>
      </w:r>
    </w:p>
    <w:p w:rsidRPr="00737D68" w:rsidR="00737D68" w:rsidP="00737D68" w:rsidRDefault="00737D68" w14:paraId="3B240344" w14:textId="77777777">
      <w:pPr>
        <w:numPr>
          <w:ilvl w:val="2"/>
          <w:numId w:val="5"/>
        </w:numPr>
        <w:tabs>
          <w:tab w:val="left" w:pos="709"/>
        </w:tabs>
        <w:spacing w:after="220" w:line="240" w:lineRule="auto"/>
        <w:ind w:left="709" w:hanging="283"/>
        <w:contextualSpacing/>
        <w:jc w:val="both"/>
        <w:rPr>
          <w:rFonts w:ascii="Arial" w:hAnsi="Arial" w:eastAsia="Arial" w:cs="Times New Roman"/>
        </w:rPr>
      </w:pPr>
      <w:r w:rsidRPr="00737D68">
        <w:rPr>
          <w:rFonts w:ascii="Arial" w:hAnsi="Arial" w:eastAsia="Arial" w:cs="Times New Roman"/>
        </w:rPr>
        <w:t xml:space="preserve">bude splněna cílová hodnota indikátorů výsledků uvedených v Informaci o projektu v příloze č. 1 tohoto Rozhodnutí ze 75 % nebo více, </w:t>
      </w:r>
    </w:p>
    <w:p w:rsidRPr="00737D68" w:rsidR="00737D68" w:rsidP="00737D68" w:rsidRDefault="00737D68" w14:paraId="6F9E10FB" w14:textId="77777777">
      <w:pPr>
        <w:numPr>
          <w:ilvl w:val="2"/>
          <w:numId w:val="5"/>
        </w:numPr>
        <w:tabs>
          <w:tab w:val="num" w:pos="709"/>
        </w:tabs>
        <w:spacing w:after="60" w:line="240" w:lineRule="auto"/>
        <w:ind w:left="709" w:hanging="283"/>
        <w:contextualSpacing/>
        <w:jc w:val="both"/>
        <w:rPr>
          <w:rFonts w:ascii="Arial" w:hAnsi="Arial" w:eastAsia="Arial" w:cs="Arial"/>
        </w:rPr>
      </w:pPr>
      <w:r w:rsidRPr="00737D68">
        <w:rPr>
          <w:rFonts w:ascii="Arial" w:hAnsi="Arial" w:eastAsia="Arial" w:cs="Arial"/>
        </w:rPr>
        <w:t>dojde k nedodržení finančního plánu projektu obsaženého v příloze č. 1 tohoto Rozhodnutí, příp. upraveného v režimu nepodstatných změn projektu,</w:t>
      </w:r>
    </w:p>
    <w:p w:rsidRPr="00737D68" w:rsidR="00737D68" w:rsidP="00737D68" w:rsidRDefault="00737D68" w14:paraId="1DFE5FC0" w14:textId="77777777">
      <w:pPr>
        <w:numPr>
          <w:ilvl w:val="2"/>
          <w:numId w:val="5"/>
        </w:numPr>
        <w:tabs>
          <w:tab w:val="num" w:pos="709"/>
        </w:tabs>
        <w:spacing w:after="60" w:line="240" w:lineRule="auto"/>
        <w:ind w:left="709" w:hanging="283"/>
        <w:contextualSpacing/>
        <w:jc w:val="both"/>
        <w:rPr>
          <w:rFonts w:ascii="Arial" w:hAnsi="Arial" w:eastAsia="Arial" w:cs="Arial"/>
        </w:rPr>
      </w:pPr>
      <w:r w:rsidRPr="00737D68">
        <w:rPr>
          <w:rFonts w:ascii="Arial" w:hAnsi="Arial" w:eastAsia="Arial" w:cs="Arial"/>
        </w:rPr>
        <w:t>dojde k porušení povinností dle části VI tohoto Rozhodnutí,</w:t>
      </w:r>
    </w:p>
    <w:p w:rsidRPr="00737D68" w:rsidR="00737D68" w:rsidP="00737D68" w:rsidRDefault="00737D68" w14:paraId="42AC1840" w14:textId="77777777">
      <w:pPr>
        <w:numPr>
          <w:ilvl w:val="2"/>
          <w:numId w:val="5"/>
        </w:numPr>
        <w:tabs>
          <w:tab w:val="num" w:pos="709"/>
        </w:tabs>
        <w:spacing w:after="60" w:line="240" w:lineRule="auto"/>
        <w:ind w:left="709" w:hanging="283"/>
        <w:contextualSpacing/>
        <w:jc w:val="both"/>
        <w:rPr>
          <w:rFonts w:ascii="Arial" w:hAnsi="Arial" w:eastAsia="Arial" w:cs="Arial"/>
        </w:rPr>
      </w:pPr>
      <w:r w:rsidRPr="00737D68">
        <w:rPr>
          <w:rFonts w:ascii="Arial" w:hAnsi="Arial" w:eastAsia="Arial" w:cs="Arial"/>
        </w:rPr>
        <w:t xml:space="preserve">dojde k porušení povinnosti předložit podklady pro finanční vypořádání dotace podle </w:t>
      </w:r>
      <w:r w:rsidRPr="00737D68">
        <w:rPr>
          <w:rFonts w:ascii="Arial" w:hAnsi="Arial" w:eastAsia="Arial" w:cs="Times New Roman"/>
        </w:rPr>
        <w:t xml:space="preserve">aktuálně platné </w:t>
      </w:r>
      <w:r w:rsidRPr="00737D68">
        <w:rPr>
          <w:rFonts w:ascii="Arial" w:hAnsi="Arial" w:eastAsia="Arial" w:cs="Arial"/>
        </w:rPr>
        <w:t>vyhlášky upravující zásady a lhůty finančního vypořádání vztahů se státním rozpočtem (uvedené v části II bodě 13)</w:t>
      </w:r>
      <w:r w:rsidRPr="00737D68">
        <w:rPr>
          <w:rFonts w:ascii="Arial" w:hAnsi="Arial" w:eastAsia="Arial" w:cs="Arial"/>
          <w:vertAlign w:val="superscript"/>
        </w:rPr>
        <w:footnoteReference w:id="19"/>
      </w:r>
      <w:r w:rsidRPr="00737D68">
        <w:rPr>
          <w:rFonts w:ascii="Arial" w:hAnsi="Arial" w:eastAsia="Arial" w:cs="Arial"/>
        </w:rPr>
        <w:t>;</w:t>
      </w:r>
    </w:p>
    <w:p w:rsidRPr="00737D68" w:rsidR="00737D68" w:rsidP="00737D68" w:rsidRDefault="00737D68" w14:paraId="5F2B1E5F" w14:textId="77777777">
      <w:pPr>
        <w:numPr>
          <w:ilvl w:val="2"/>
          <w:numId w:val="5"/>
        </w:numPr>
        <w:tabs>
          <w:tab w:val="num" w:pos="709"/>
        </w:tabs>
        <w:spacing w:after="60" w:line="240" w:lineRule="auto"/>
        <w:ind w:left="709" w:hanging="283"/>
        <w:contextualSpacing/>
        <w:jc w:val="both"/>
        <w:rPr>
          <w:rFonts w:ascii="Arial" w:hAnsi="Arial" w:eastAsia="Arial" w:cs="Arial"/>
        </w:rPr>
      </w:pPr>
      <w:r w:rsidRPr="00737D68">
        <w:rPr>
          <w:rFonts w:ascii="Arial" w:hAnsi="Arial" w:eastAsia="Arial" w:cs="Arial"/>
        </w:rPr>
        <w:t>dojde k porušení povinnosti aktualizovat v IS KP14+ údaje o zakázkách a kontrolách/auditech týkajících se projektu,</w:t>
      </w:r>
    </w:p>
    <w:p w:rsidRPr="00737D68" w:rsidR="00737D68" w:rsidP="00737D68" w:rsidRDefault="00737D68" w14:paraId="14391B86" w14:textId="77777777">
      <w:pPr>
        <w:keepNext/>
        <w:numPr>
          <w:ilvl w:val="2"/>
          <w:numId w:val="5"/>
        </w:numPr>
        <w:tabs>
          <w:tab w:val="num" w:pos="709"/>
        </w:tabs>
        <w:spacing w:after="60" w:line="240" w:lineRule="auto"/>
        <w:ind w:left="709" w:hanging="283"/>
        <w:contextualSpacing/>
        <w:jc w:val="both"/>
        <w:rPr>
          <w:rFonts w:ascii="Arial" w:hAnsi="Arial" w:eastAsia="Arial" w:cs="Arial"/>
        </w:rPr>
      </w:pPr>
      <w:r w:rsidRPr="00737D68">
        <w:rPr>
          <w:rFonts w:ascii="Arial" w:hAnsi="Arial" w:eastAsia="Arial" w:cs="Arial"/>
        </w:rPr>
        <w:t>dojde k porušení některé z povinností stanovených ve </w:t>
      </w:r>
      <w:r w:rsidRPr="00737D68">
        <w:rPr>
          <w:rFonts w:ascii="Arial" w:hAnsi="Arial" w:eastAsia="Arial" w:cs="Arial"/>
          <w:i/>
        </w:rPr>
        <w:t>Specifických pravidlech</w:t>
      </w:r>
      <w:r w:rsidRPr="00737D68">
        <w:rPr>
          <w:rFonts w:ascii="Arial" w:hAnsi="Arial" w:eastAsia="Arial" w:cs="Arial"/>
        </w:rPr>
        <w:t>:</w:t>
      </w:r>
    </w:p>
    <w:p w:rsidRPr="00737D68" w:rsidR="00737D68" w:rsidP="00737D68" w:rsidRDefault="00737D68" w14:paraId="6DE1A491" w14:textId="77777777">
      <w:pPr>
        <w:keepNext/>
        <w:numPr>
          <w:ilvl w:val="2"/>
          <w:numId w:val="7"/>
        </w:numPr>
        <w:tabs>
          <w:tab w:val="num" w:pos="993"/>
        </w:tabs>
        <w:spacing w:after="220" w:line="240" w:lineRule="auto"/>
        <w:ind w:left="993" w:hanging="284"/>
        <w:contextualSpacing/>
        <w:jc w:val="both"/>
        <w:rPr>
          <w:rFonts w:ascii="Arial" w:hAnsi="Arial" w:eastAsia="Arial" w:cs="Arial"/>
        </w:rPr>
      </w:pPr>
      <w:r w:rsidRPr="00737D68">
        <w:rPr>
          <w:rFonts w:ascii="Arial" w:hAnsi="Arial" w:eastAsia="Arial" w:cs="Arial"/>
        </w:rPr>
        <w:t xml:space="preserve">v kapitole </w:t>
      </w:r>
      <w:r w:rsidRPr="00737D68">
        <w:rPr>
          <w:rFonts w:ascii="Arial" w:hAnsi="Arial" w:eastAsia="Arial" w:cs="Arial"/>
          <w:u w:val="single"/>
        </w:rPr>
        <w:t>Dokumentace k obsahu vzdělávacího kurzu</w:t>
      </w:r>
      <w:r w:rsidRPr="00737D68">
        <w:rPr>
          <w:rFonts w:ascii="Arial" w:hAnsi="Arial" w:eastAsia="Arial" w:cs="Arial"/>
        </w:rPr>
        <w:t>, v jehož důsledku nevznikají nezpůsobilé výdaje (tj. nedostatek nemá vliv na počet dosažených jednotek),</w:t>
      </w:r>
    </w:p>
    <w:p w:rsidRPr="00737D68" w:rsidR="00737D68" w:rsidP="00737D68" w:rsidRDefault="00737D68" w14:paraId="0473340F" w14:textId="77777777">
      <w:pPr>
        <w:keepNext/>
        <w:numPr>
          <w:ilvl w:val="2"/>
          <w:numId w:val="7"/>
        </w:numPr>
        <w:tabs>
          <w:tab w:val="num" w:pos="993"/>
        </w:tabs>
        <w:spacing w:after="220" w:line="240" w:lineRule="auto"/>
        <w:ind w:left="993" w:hanging="284"/>
        <w:contextualSpacing/>
        <w:jc w:val="both"/>
        <w:rPr>
          <w:rFonts w:ascii="Arial" w:hAnsi="Arial" w:eastAsia="Arial" w:cs="Arial"/>
        </w:rPr>
      </w:pPr>
      <w:r w:rsidRPr="00737D68">
        <w:rPr>
          <w:rFonts w:ascii="Arial" w:hAnsi="Arial" w:eastAsia="Arial" w:cs="Arial"/>
        </w:rPr>
        <w:t xml:space="preserve">v kapitole </w:t>
      </w:r>
      <w:r w:rsidRPr="00737D68">
        <w:rPr>
          <w:rFonts w:ascii="Arial" w:hAnsi="Arial" w:eastAsia="Arial" w:cs="Arial"/>
          <w:u w:val="single"/>
        </w:rPr>
        <w:t xml:space="preserve">Prezenční listiny a způsob započítání absolvovaných </w:t>
      </w:r>
      <w:proofErr w:type="spellStart"/>
      <w:r w:rsidRPr="00737D68">
        <w:rPr>
          <w:rFonts w:ascii="Arial" w:hAnsi="Arial" w:eastAsia="Arial" w:cs="Arial"/>
          <w:u w:val="single"/>
        </w:rPr>
        <w:t>osobohodin</w:t>
      </w:r>
      <w:proofErr w:type="spellEnd"/>
      <w:r w:rsidRPr="00737D68">
        <w:rPr>
          <w:rFonts w:ascii="Arial" w:hAnsi="Arial" w:eastAsia="Arial" w:cs="Arial"/>
        </w:rPr>
        <w:t>, v jehož důsledku nevznikají nezpůsobilé výdaje (tj. nedostatek nemá vliv na počet dosažených jednotek),</w:t>
      </w:r>
    </w:p>
    <w:p w:rsidRPr="00737D68" w:rsidR="00737D68" w:rsidP="00737D68" w:rsidRDefault="00737D68" w14:paraId="52A0CDC8" w14:textId="77777777">
      <w:pPr>
        <w:numPr>
          <w:ilvl w:val="2"/>
          <w:numId w:val="7"/>
        </w:numPr>
        <w:tabs>
          <w:tab w:val="num" w:pos="993"/>
        </w:tabs>
        <w:spacing w:after="220" w:line="240" w:lineRule="auto"/>
        <w:ind w:left="993" w:hanging="284"/>
        <w:contextualSpacing/>
        <w:jc w:val="both"/>
        <w:rPr>
          <w:rFonts w:ascii="Arial" w:hAnsi="Arial" w:eastAsia="Arial" w:cs="Arial"/>
        </w:rPr>
      </w:pPr>
      <w:r w:rsidRPr="00737D68">
        <w:rPr>
          <w:rFonts w:ascii="Arial" w:hAnsi="Arial" w:eastAsia="Arial" w:cs="Arial"/>
        </w:rPr>
        <w:t xml:space="preserve">v kapitole </w:t>
      </w:r>
      <w:r w:rsidRPr="00737D68">
        <w:rPr>
          <w:rFonts w:ascii="Arial" w:hAnsi="Arial" w:eastAsia="Arial" w:cs="Arial"/>
          <w:u w:val="single"/>
        </w:rPr>
        <w:t>Doklad o absolvování</w:t>
      </w:r>
      <w:r w:rsidRPr="00737D68">
        <w:rPr>
          <w:rFonts w:ascii="Arial" w:hAnsi="Arial" w:eastAsia="Arial" w:cs="Arial"/>
        </w:rPr>
        <w:t>, v jehož důsledku nevznikají nezpůsobilé výdaje (tj. nedostatek nemá vliv na počet dosažených jednotek),</w:t>
      </w:r>
    </w:p>
    <w:p w:rsidRPr="00737D68" w:rsidR="00737D68" w:rsidP="00737D68" w:rsidRDefault="00737D68" w14:paraId="7E03638B" w14:textId="77777777">
      <w:pPr>
        <w:numPr>
          <w:ilvl w:val="2"/>
          <w:numId w:val="7"/>
        </w:numPr>
        <w:tabs>
          <w:tab w:val="num" w:pos="993"/>
        </w:tabs>
        <w:spacing w:after="60" w:line="240" w:lineRule="auto"/>
        <w:ind w:left="993" w:hanging="284"/>
        <w:contextualSpacing/>
        <w:jc w:val="both"/>
        <w:rPr>
          <w:rFonts w:ascii="Arial" w:hAnsi="Arial" w:eastAsia="Arial" w:cs="Arial"/>
        </w:rPr>
      </w:pPr>
      <w:r w:rsidRPr="00737D68">
        <w:rPr>
          <w:rFonts w:ascii="Arial" w:hAnsi="Arial" w:eastAsia="Arial" w:cs="Arial"/>
        </w:rPr>
        <w:t xml:space="preserve">v kapitole </w:t>
      </w:r>
      <w:r w:rsidRPr="00737D68">
        <w:rPr>
          <w:rFonts w:ascii="Arial" w:hAnsi="Arial" w:eastAsia="Arial" w:cs="Arial"/>
          <w:u w:val="single"/>
        </w:rPr>
        <w:t>Školicí (výukové) materiály a pomůcky</w:t>
      </w:r>
      <w:r w:rsidRPr="00737D68">
        <w:rPr>
          <w:rFonts w:ascii="Arial" w:hAnsi="Arial" w:eastAsia="Arial" w:cs="Arial"/>
        </w:rPr>
        <w:t>, v jehož důsledku nevznikají nezpůsobilé výdaje (tj. nedostatek nemá vliv na počet dosažených jednotek),</w:t>
      </w:r>
    </w:p>
    <w:p w:rsidRPr="00737D68" w:rsidR="00737D68" w:rsidP="00737D68" w:rsidRDefault="00737D68" w14:paraId="630ECF4B" w14:textId="77777777">
      <w:pPr>
        <w:widowControl w:val="false"/>
        <w:tabs>
          <w:tab w:val="num" w:pos="1478"/>
        </w:tabs>
        <w:overflowPunct w:val="false"/>
        <w:autoSpaceDE w:val="false"/>
        <w:autoSpaceDN w:val="false"/>
        <w:adjustRightInd w:val="false"/>
        <w:spacing w:after="60" w:line="240" w:lineRule="auto"/>
        <w:contextualSpacing/>
        <w:jc w:val="both"/>
        <w:textAlignment w:val="baseline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>nejedná se o porušení rozpočtové kázně ve smyslu rozpočtových pravidel.</w:t>
      </w:r>
    </w:p>
    <w:p w:rsidRPr="00737D68" w:rsidR="00737D68" w:rsidP="00737D68" w:rsidRDefault="00737D68" w14:paraId="4A335D91" w14:textId="77777777">
      <w:pPr>
        <w:keepNext/>
        <w:numPr>
          <w:ilvl w:val="0"/>
          <w:numId w:val="18"/>
        </w:numPr>
        <w:spacing w:before="240" w:after="120" w:line="240" w:lineRule="auto"/>
        <w:jc w:val="both"/>
        <w:rPr>
          <w:rFonts w:ascii="Arial" w:hAnsi="Arial" w:eastAsia="Times New Roman" w:cs="Arial"/>
          <w:b/>
          <w:bCs/>
          <w:lang w:eastAsia="cs-CZ"/>
        </w:rPr>
      </w:pPr>
      <w:r w:rsidRPr="00737D68">
        <w:rPr>
          <w:rFonts w:ascii="Arial" w:hAnsi="Arial" w:eastAsia="Times New Roman" w:cs="Arial"/>
          <w:b/>
          <w:bCs/>
          <w:lang w:eastAsia="cs-CZ"/>
        </w:rPr>
        <w:t>Další informace k sankcím</w:t>
      </w:r>
    </w:p>
    <w:p w:rsidRPr="00737D68" w:rsidR="00737D68" w:rsidP="00737D68" w:rsidRDefault="00737D68" w14:paraId="2F995E0A" w14:textId="77777777">
      <w:pPr>
        <w:keepNext/>
        <w:numPr>
          <w:ilvl w:val="1"/>
          <w:numId w:val="18"/>
        </w:numPr>
        <w:spacing w:after="60" w:line="240" w:lineRule="auto"/>
        <w:ind w:left="567" w:hanging="567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 xml:space="preserve">Neexistence dokumentace k obsahu vzdělávacího kurzu, anebo chybějící náležitosti v dokumentaci k obsahu vzdělávacího kurzu stanovené ve </w:t>
      </w:r>
      <w:r w:rsidRPr="00737D68">
        <w:rPr>
          <w:rFonts w:ascii="Arial" w:hAnsi="Arial" w:eastAsia="Times New Roman" w:cs="Arial"/>
          <w:i/>
          <w:lang w:eastAsia="cs-CZ"/>
        </w:rPr>
        <w:t xml:space="preserve">Specifických pravidlech </w:t>
      </w:r>
      <w:r w:rsidRPr="00737D68">
        <w:rPr>
          <w:rFonts w:ascii="Arial" w:hAnsi="Arial" w:eastAsia="Times New Roman" w:cs="Arial"/>
          <w:lang w:eastAsia="cs-CZ"/>
        </w:rPr>
        <w:t xml:space="preserve">v kapitole </w:t>
      </w:r>
      <w:r w:rsidRPr="00737D68">
        <w:rPr>
          <w:rFonts w:ascii="Arial" w:hAnsi="Arial" w:eastAsia="Times New Roman" w:cs="Arial"/>
          <w:u w:val="single"/>
          <w:lang w:eastAsia="cs-CZ"/>
        </w:rPr>
        <w:t>Dokumentace k obsahu vzdělávacího kurzu</w:t>
      </w:r>
      <w:r w:rsidRPr="00737D68">
        <w:rPr>
          <w:rFonts w:ascii="Arial" w:hAnsi="Arial" w:eastAsia="Times New Roman" w:cs="Arial"/>
          <w:lang w:eastAsia="cs-CZ"/>
        </w:rPr>
        <w:t xml:space="preserve"> mají vliv na počet dosažených jednotek a zakládají nezpůsobilé výdaje. </w:t>
      </w:r>
    </w:p>
    <w:p w:rsidRPr="00737D68" w:rsidR="00737D68" w:rsidP="00737D68" w:rsidRDefault="00737D68" w14:paraId="29B981B9" w14:textId="77777777">
      <w:pPr>
        <w:spacing w:after="60" w:line="240" w:lineRule="auto"/>
        <w:ind w:left="567" w:hanging="141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 xml:space="preserve">  Chybějící náležitosti v podobě, typu kurzu, výčtu případných školicích (výukových) materiálů a pomůcek a vzoru dokladu o absolvování v dokumentaci k obsahu vzdělávacího kurzu však nezakládají nezpůsobilé výdaje.</w:t>
      </w:r>
    </w:p>
    <w:p w:rsidRPr="00737D68" w:rsidR="00737D68" w:rsidP="00737D68" w:rsidRDefault="00737D68" w14:paraId="4CB252C0" w14:textId="77777777">
      <w:pPr>
        <w:numPr>
          <w:ilvl w:val="1"/>
          <w:numId w:val="18"/>
        </w:numPr>
        <w:spacing w:after="60" w:line="240" w:lineRule="auto"/>
        <w:ind w:left="567" w:hanging="567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 xml:space="preserve">Neexistence prezenční listiny, anebo chybějící náležitosti v prezenční listině stanovené ve </w:t>
      </w:r>
      <w:r w:rsidRPr="00737D68">
        <w:rPr>
          <w:rFonts w:ascii="Arial" w:hAnsi="Arial" w:eastAsia="Times New Roman" w:cs="Arial"/>
          <w:i/>
          <w:lang w:eastAsia="cs-CZ"/>
        </w:rPr>
        <w:t>Specifických pravidlech</w:t>
      </w:r>
      <w:r w:rsidRPr="00737D68">
        <w:rPr>
          <w:rFonts w:ascii="Arial" w:hAnsi="Arial" w:eastAsia="Times New Roman" w:cs="Arial"/>
          <w:lang w:eastAsia="cs-CZ"/>
        </w:rPr>
        <w:t xml:space="preserve"> v kapitole </w:t>
      </w:r>
      <w:r w:rsidRPr="00737D68">
        <w:rPr>
          <w:rFonts w:ascii="Arial" w:hAnsi="Arial" w:eastAsia="Times New Roman" w:cs="Arial"/>
          <w:u w:val="single"/>
          <w:lang w:eastAsia="cs-CZ"/>
        </w:rPr>
        <w:t xml:space="preserve">Prezenční listiny a způsob započítání absolvovaných </w:t>
      </w:r>
      <w:proofErr w:type="spellStart"/>
      <w:r w:rsidRPr="00737D68">
        <w:rPr>
          <w:rFonts w:ascii="Arial" w:hAnsi="Arial" w:eastAsia="Times New Roman" w:cs="Arial"/>
          <w:u w:val="single"/>
          <w:lang w:eastAsia="cs-CZ"/>
        </w:rPr>
        <w:t>osobohodin</w:t>
      </w:r>
      <w:proofErr w:type="spellEnd"/>
      <w:r w:rsidRPr="00737D68">
        <w:rPr>
          <w:rFonts w:ascii="Arial" w:hAnsi="Arial" w:eastAsia="Times New Roman" w:cs="Arial"/>
          <w:lang w:eastAsia="cs-CZ"/>
        </w:rPr>
        <w:t xml:space="preserve"> mají vliv na počet dosažených jednotek a zakládají nezpůsobilé výdaje. </w:t>
      </w:r>
    </w:p>
    <w:p w:rsidRPr="00737D68" w:rsidR="00737D68" w:rsidP="00737D68" w:rsidRDefault="00737D68" w14:paraId="701D6098" w14:textId="77777777">
      <w:pPr>
        <w:spacing w:after="60" w:line="240" w:lineRule="auto"/>
        <w:ind w:left="567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>Chybějící náležitosti v podobě kódu kurzu, typu kurzu a čísla zprávy o realizaci projektu, ke které se prezenční listina vztahuje, však nezakládají nezpůsobilé výdaje.</w:t>
      </w:r>
    </w:p>
    <w:p w:rsidRPr="00737D68" w:rsidR="00737D68" w:rsidP="00737D68" w:rsidRDefault="00737D68" w14:paraId="320FA70C" w14:textId="77777777">
      <w:pPr>
        <w:numPr>
          <w:ilvl w:val="1"/>
          <w:numId w:val="18"/>
        </w:numPr>
        <w:spacing w:after="60" w:line="240" w:lineRule="auto"/>
        <w:ind w:left="567" w:hanging="567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 xml:space="preserve">Neexistence dokladu o absolvování, anebo chybějící náležitosti na potvrzení o absolvování stanovené ve </w:t>
      </w:r>
      <w:r w:rsidRPr="00737D68">
        <w:rPr>
          <w:rFonts w:ascii="Arial" w:hAnsi="Arial" w:eastAsia="Times New Roman" w:cs="Arial"/>
          <w:i/>
          <w:lang w:eastAsia="cs-CZ"/>
        </w:rPr>
        <w:t>Specifických pravidlech</w:t>
      </w:r>
      <w:r w:rsidRPr="00737D68">
        <w:rPr>
          <w:rFonts w:ascii="Arial" w:hAnsi="Arial" w:eastAsia="Times New Roman" w:cs="Arial"/>
          <w:lang w:eastAsia="cs-CZ"/>
        </w:rPr>
        <w:t xml:space="preserve"> v kapitole </w:t>
      </w:r>
      <w:r w:rsidRPr="00737D68">
        <w:rPr>
          <w:rFonts w:ascii="Arial" w:hAnsi="Arial" w:eastAsia="Times New Roman" w:cs="Arial"/>
          <w:u w:val="single"/>
          <w:lang w:eastAsia="cs-CZ"/>
        </w:rPr>
        <w:t xml:space="preserve">Doklad o absolvování </w:t>
      </w:r>
      <w:r w:rsidRPr="00737D68">
        <w:rPr>
          <w:rFonts w:ascii="Arial" w:hAnsi="Arial" w:eastAsia="Times New Roman" w:cs="Arial"/>
          <w:lang w:eastAsia="cs-CZ"/>
        </w:rPr>
        <w:t xml:space="preserve">mají vliv na počet dosažených jednotek a zakládá nezpůsobilé výdaje. </w:t>
      </w:r>
    </w:p>
    <w:p w:rsidRPr="00737D68" w:rsidR="00737D68" w:rsidP="00737D68" w:rsidRDefault="00737D68" w14:paraId="1D884CB5" w14:textId="77777777">
      <w:pPr>
        <w:numPr>
          <w:ilvl w:val="1"/>
          <w:numId w:val="18"/>
        </w:numPr>
        <w:spacing w:after="60" w:line="240" w:lineRule="auto"/>
        <w:ind w:left="567" w:hanging="567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>Nesoulad mezi popisem případných školících (výukových) materiálů a pomůcek uvedeny v dokumentaci k obsahu vzdělávacího kurzu a použitými školícími (výukovými) materiály a pomůckami nezakládá nezpůsobilé výdaje.</w:t>
      </w:r>
    </w:p>
    <w:p w:rsidRPr="00737D68" w:rsidR="00737D68" w:rsidP="00737D68" w:rsidRDefault="00737D68" w14:paraId="10F36AF6" w14:textId="77777777">
      <w:pPr>
        <w:numPr>
          <w:ilvl w:val="1"/>
          <w:numId w:val="18"/>
        </w:numPr>
        <w:spacing w:after="60" w:line="240" w:lineRule="auto"/>
        <w:ind w:left="567" w:hanging="567"/>
        <w:jc w:val="both"/>
        <w:rPr>
          <w:rFonts w:ascii="Arial" w:hAnsi="Arial" w:eastAsia="Times New Roman" w:cs="Arial"/>
          <w:u w:val="single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>Neprokázání</w:t>
      </w:r>
      <w:r w:rsidRPr="00737D68">
        <w:rPr>
          <w:rFonts w:ascii="Arial" w:hAnsi="Arial" w:eastAsia="Times New Roman" w:cs="Arial"/>
          <w:u w:val="single"/>
          <w:lang w:eastAsia="cs-CZ"/>
        </w:rPr>
        <w:t xml:space="preserve"> </w:t>
      </w:r>
      <w:r w:rsidRPr="00737D68">
        <w:rPr>
          <w:rFonts w:ascii="Arial" w:hAnsi="Arial" w:eastAsia="Times New Roman" w:cs="Arial"/>
          <w:lang w:eastAsia="cs-CZ"/>
        </w:rPr>
        <w:t xml:space="preserve">nebo nesplnění požadavků na kvalifikaci nebo lektorskou praxi interního lektora uvedených ve </w:t>
      </w:r>
      <w:r w:rsidRPr="00737D68">
        <w:rPr>
          <w:rFonts w:ascii="Arial" w:hAnsi="Arial" w:eastAsia="Times New Roman" w:cs="Arial"/>
          <w:i/>
          <w:lang w:eastAsia="cs-CZ"/>
        </w:rPr>
        <w:t>Specifických pravidlech</w:t>
      </w:r>
      <w:r w:rsidRPr="00737D68">
        <w:rPr>
          <w:rFonts w:ascii="Arial" w:hAnsi="Arial" w:eastAsia="Times New Roman" w:cs="Arial"/>
          <w:lang w:eastAsia="cs-CZ"/>
        </w:rPr>
        <w:t xml:space="preserve"> v kapitole</w:t>
      </w:r>
      <w:r w:rsidRPr="00737D68">
        <w:rPr>
          <w:rFonts w:ascii="Arial" w:hAnsi="Arial" w:eastAsia="Times New Roman" w:cs="Arial"/>
          <w:u w:val="single"/>
          <w:lang w:eastAsia="cs-CZ"/>
        </w:rPr>
        <w:t xml:space="preserve"> Požadavky na vzdělávací subjekty</w:t>
      </w:r>
      <w:r w:rsidRPr="00737D68">
        <w:rPr>
          <w:rFonts w:ascii="Arial" w:hAnsi="Arial" w:eastAsia="Times New Roman" w:cs="Arial"/>
          <w:lang w:eastAsia="cs-CZ"/>
        </w:rPr>
        <w:t xml:space="preserve"> má vliv na počet dosažených jednotek a zakládá nezpůsobilé výdaje. </w:t>
      </w:r>
      <w:r w:rsidRPr="00737D68">
        <w:rPr>
          <w:rFonts w:ascii="Arial" w:hAnsi="Arial" w:eastAsia="Times New Roman" w:cs="Arial"/>
          <w:u w:val="single"/>
          <w:lang w:eastAsia="cs-CZ"/>
        </w:rPr>
        <w:t xml:space="preserve">  </w:t>
      </w:r>
    </w:p>
    <w:p w:rsidRPr="00737D68" w:rsidR="00737D68" w:rsidP="00737D68" w:rsidRDefault="00737D68" w14:paraId="655B237A" w14:textId="77777777">
      <w:pPr>
        <w:numPr>
          <w:ilvl w:val="1"/>
          <w:numId w:val="18"/>
        </w:numPr>
        <w:spacing w:after="60" w:line="240" w:lineRule="auto"/>
        <w:ind w:left="567" w:hanging="567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 xml:space="preserve">V případě nedodržení povinností ve </w:t>
      </w:r>
      <w:r w:rsidRPr="00737D68">
        <w:rPr>
          <w:rFonts w:ascii="Arial" w:hAnsi="Arial" w:eastAsia="Times New Roman" w:cs="Arial"/>
          <w:i/>
          <w:lang w:eastAsia="cs-CZ"/>
        </w:rPr>
        <w:t>Specifických pravidlech</w:t>
      </w:r>
      <w:r w:rsidRPr="00737D68">
        <w:rPr>
          <w:rFonts w:ascii="Arial" w:hAnsi="Arial" w:eastAsia="Times New Roman" w:cs="Arial"/>
          <w:lang w:eastAsia="cs-CZ"/>
        </w:rPr>
        <w:t xml:space="preserve"> v kapitole </w:t>
      </w:r>
      <w:r w:rsidRPr="00737D68">
        <w:rPr>
          <w:rFonts w:ascii="Arial" w:hAnsi="Arial" w:eastAsia="Times New Roman" w:cs="Arial"/>
          <w:u w:val="single"/>
          <w:lang w:eastAsia="cs-CZ"/>
        </w:rPr>
        <w:t>Cílová skupina</w:t>
      </w:r>
      <w:r w:rsidRPr="00737D68">
        <w:rPr>
          <w:rFonts w:ascii="Arial" w:hAnsi="Arial" w:eastAsia="Times New Roman" w:cs="Arial"/>
          <w:lang w:eastAsia="cs-CZ"/>
        </w:rPr>
        <w:t xml:space="preserve"> stanovující, že podpořená osoba musí být zaměstnancem, má toto nedodržení vliv na počet dosažených jednotek a zakládá nezpůsobilé výdaje. </w:t>
      </w:r>
    </w:p>
    <w:p w:rsidRPr="00737D68" w:rsidR="00737D68" w:rsidP="00737D68" w:rsidRDefault="00737D68" w14:paraId="746CDD6D" w14:textId="77777777">
      <w:pPr>
        <w:spacing w:after="220" w:line="240" w:lineRule="auto"/>
        <w:jc w:val="both"/>
        <w:rPr>
          <w:rFonts w:ascii="Arial" w:hAnsi="Arial" w:eastAsia="Arial" w:cs="Times New Roman"/>
        </w:rPr>
      </w:pPr>
    </w:p>
    <w:p w:rsidRPr="00737D68" w:rsidR="00737D68" w:rsidP="00737D68" w:rsidRDefault="00737D68" w14:paraId="0F77A433" w14:textId="77777777">
      <w:pPr>
        <w:keepNext/>
        <w:shd w:val="clear" w:color="auto" w:fill="F2F2F2"/>
        <w:spacing w:after="220" w:line="240" w:lineRule="auto"/>
        <w:jc w:val="both"/>
        <w:rPr>
          <w:rFonts w:ascii="Arial" w:hAnsi="Arial" w:eastAsia="Calibri" w:cs="Arial"/>
          <w:b/>
        </w:rPr>
      </w:pPr>
      <w:r w:rsidRPr="00737D68">
        <w:rPr>
          <w:rFonts w:ascii="Arial" w:hAnsi="Arial" w:eastAsia="Calibri" w:cs="Arial"/>
          <w:b/>
        </w:rPr>
        <w:t xml:space="preserve">Část VI – Pověření ke zpracování osobních údajů </w:t>
      </w:r>
    </w:p>
    <w:p w:rsidRPr="00737D68" w:rsidR="00737D68" w:rsidP="00737D68" w:rsidRDefault="00737D68" w14:paraId="7BE2E6E8" w14:textId="77777777">
      <w:pPr>
        <w:keepNext/>
        <w:numPr>
          <w:ilvl w:val="0"/>
          <w:numId w:val="19"/>
        </w:numPr>
        <w:spacing w:before="240" w:after="120" w:line="240" w:lineRule="auto"/>
        <w:jc w:val="both"/>
        <w:rPr>
          <w:rFonts w:ascii="Arial" w:hAnsi="Arial" w:eastAsia="Times New Roman" w:cs="Arial"/>
          <w:b/>
          <w:bCs/>
          <w:lang w:eastAsia="cs-CZ"/>
        </w:rPr>
      </w:pPr>
      <w:r w:rsidRPr="00737D68">
        <w:rPr>
          <w:rFonts w:ascii="Arial" w:hAnsi="Arial" w:eastAsia="Times New Roman" w:cs="Arial"/>
          <w:b/>
          <w:bCs/>
          <w:lang w:eastAsia="cs-CZ"/>
        </w:rPr>
        <w:t xml:space="preserve">Pověření a účel zpracování osobních údajů </w:t>
      </w:r>
    </w:p>
    <w:p w:rsidRPr="00737D68" w:rsidR="00737D68" w:rsidP="00737D68" w:rsidRDefault="00737D68" w14:paraId="4AC13CD4" w14:textId="77777777">
      <w:pPr>
        <w:numPr>
          <w:ilvl w:val="1"/>
          <w:numId w:val="19"/>
        </w:numPr>
        <w:spacing w:after="40" w:line="240" w:lineRule="auto"/>
        <w:ind w:left="567" w:hanging="567"/>
        <w:jc w:val="both"/>
        <w:rPr>
          <w:rFonts w:ascii="Arial" w:hAnsi="Arial" w:eastAsia="Calibri" w:cs="Arial"/>
          <w:lang w:eastAsia="cs-CZ"/>
        </w:rPr>
      </w:pPr>
      <w:r w:rsidRPr="00737D68">
        <w:rPr>
          <w:rFonts w:ascii="Arial" w:hAnsi="Arial" w:eastAsia="Calibri" w:cs="Arial"/>
          <w:lang w:eastAsia="cs-CZ"/>
        </w:rPr>
        <w:t>Poskytovatel je jakožto správce podle čl. 6 odst. 1 písm. c) a podle čl. 9 odst. 2 písm. g) nařízení Evropského parlamentu a Rady (EU) 2016/679 ze dne 27. dubna 2016, o ochraně fyzických osob v souvislosti se zpracováním osobních údajů a o volném pohybu těchto údajů a o zrušení směrnice 95/46/ES (dále jen „Obecné nařízení o ochraně osobních údajů“), oprávněn zpracovávat osobní údaje podpořených osob (včetně zvláštních kategorií osobních údajů) na základě nařízení Evropského parlamentu a Rady (EU) č. 1304/2013 ze dne 17. prosince 2013 o Evropském sociálním fondu a o zrušení nařízení Rady (ES) č. 1081/2006, zejména jeho přílohy I.</w:t>
      </w:r>
    </w:p>
    <w:p w:rsidRPr="00737D68" w:rsidR="00737D68" w:rsidP="00737D68" w:rsidRDefault="00737D68" w14:paraId="7247763E" w14:textId="77777777">
      <w:pPr>
        <w:numPr>
          <w:ilvl w:val="1"/>
          <w:numId w:val="19"/>
        </w:numPr>
        <w:spacing w:after="40" w:line="240" w:lineRule="auto"/>
        <w:ind w:left="567" w:hanging="567"/>
        <w:jc w:val="both"/>
        <w:rPr>
          <w:rFonts w:ascii="Arial" w:hAnsi="Arial" w:eastAsia="Calibri" w:cs="Arial"/>
          <w:lang w:eastAsia="cs-CZ"/>
        </w:rPr>
      </w:pPr>
      <w:r w:rsidRPr="00737D68">
        <w:rPr>
          <w:rFonts w:ascii="Arial" w:hAnsi="Arial" w:eastAsia="Calibri" w:cs="Arial"/>
          <w:lang w:eastAsia="cs-CZ"/>
        </w:rPr>
        <w:t>Poskytovatel pověřuje příjemce, jakožto zpracovatele, ke zpracování osobních údajů, včetně zvláštní kategorie osobních údajů (dále jen „osobní údaje“), osob podpořených v projektu za účelem prokázání řádného a efektivního nakládání s prostředky Evropského sociálního fondu, které byly na realizaci projektu poskytnuty z OPZ tímto Rozhodnutím, a to v rozsahu uvedeném v bodě 2 části VI tohoto Rozhodnutí.</w:t>
      </w:r>
    </w:p>
    <w:p w:rsidRPr="00737D68" w:rsidR="00737D68" w:rsidP="00737D68" w:rsidRDefault="00737D68" w14:paraId="3A901193" w14:textId="77777777">
      <w:pPr>
        <w:keepNext/>
        <w:numPr>
          <w:ilvl w:val="0"/>
          <w:numId w:val="19"/>
        </w:numPr>
        <w:spacing w:before="240" w:after="120" w:line="240" w:lineRule="auto"/>
        <w:jc w:val="both"/>
        <w:rPr>
          <w:rFonts w:ascii="Arial" w:hAnsi="Arial" w:eastAsia="Times New Roman" w:cs="Arial"/>
          <w:b/>
          <w:bCs/>
          <w:lang w:eastAsia="cs-CZ"/>
        </w:rPr>
      </w:pPr>
      <w:r w:rsidRPr="00737D68">
        <w:rPr>
          <w:rFonts w:ascii="Arial" w:hAnsi="Arial" w:eastAsia="Times New Roman" w:cs="Arial"/>
          <w:b/>
          <w:bCs/>
          <w:lang w:eastAsia="cs-CZ"/>
        </w:rPr>
        <w:t>Rozsah zpracování osobních údajů na základě pověření a jejich ochrana</w:t>
      </w:r>
    </w:p>
    <w:p w:rsidRPr="00737D68" w:rsidR="00737D68" w:rsidP="00737D68" w:rsidRDefault="00737D68" w14:paraId="43FF015B" w14:textId="77777777">
      <w:pPr>
        <w:keepNext/>
        <w:numPr>
          <w:ilvl w:val="1"/>
          <w:numId w:val="19"/>
        </w:numPr>
        <w:spacing w:before="240" w:after="40" w:line="240" w:lineRule="auto"/>
        <w:ind w:left="567" w:hanging="567"/>
        <w:jc w:val="both"/>
        <w:rPr>
          <w:rFonts w:ascii="Arial" w:hAnsi="Arial" w:eastAsia="Calibri" w:cs="Arial"/>
        </w:rPr>
      </w:pPr>
      <w:r w:rsidRPr="00737D68">
        <w:rPr>
          <w:rFonts w:ascii="Arial" w:hAnsi="Arial" w:eastAsia="Calibri" w:cs="Arial"/>
        </w:rPr>
        <w:t>Příjemce je oprávněn zpracovávat osobní údaje podpořené osoby v rozsahu vymezeném v Obecné části pravidel pro žadatele a příjemce v rámci OPZ.</w:t>
      </w:r>
    </w:p>
    <w:p w:rsidRPr="00737D68" w:rsidR="00737D68" w:rsidP="00737D68" w:rsidRDefault="00737D68" w14:paraId="28E3C871" w14:textId="77777777">
      <w:pPr>
        <w:keepNext/>
        <w:numPr>
          <w:ilvl w:val="1"/>
          <w:numId w:val="19"/>
        </w:numPr>
        <w:spacing w:before="40" w:after="40" w:line="240" w:lineRule="auto"/>
        <w:ind w:left="567" w:hanging="567"/>
        <w:jc w:val="both"/>
        <w:rPr>
          <w:rFonts w:ascii="Arial" w:hAnsi="Arial" w:eastAsia="Calibri" w:cs="Arial"/>
        </w:rPr>
      </w:pPr>
      <w:r w:rsidRPr="00737D68">
        <w:rPr>
          <w:rFonts w:ascii="Arial" w:hAnsi="Arial" w:eastAsia="Calibri" w:cs="Arial"/>
        </w:rPr>
        <w:t>Osobní údaje je příjemce oprávněn zpracovávat výhradně v souvislosti s realizací projektu, zejména pak při přípravě zpráv o realizaci projektu.</w:t>
      </w:r>
    </w:p>
    <w:p w:rsidRPr="00737D68" w:rsidR="00737D68" w:rsidP="00737D68" w:rsidRDefault="00737D68" w14:paraId="458D5C5C" w14:textId="77777777">
      <w:pPr>
        <w:numPr>
          <w:ilvl w:val="0"/>
          <w:numId w:val="19"/>
        </w:numPr>
        <w:spacing w:before="240" w:after="120" w:line="240" w:lineRule="auto"/>
        <w:jc w:val="both"/>
        <w:rPr>
          <w:rFonts w:ascii="Arial" w:hAnsi="Arial" w:eastAsia="Times New Roman" w:cs="Arial"/>
          <w:b/>
          <w:bCs/>
          <w:lang w:eastAsia="cs-CZ"/>
        </w:rPr>
      </w:pPr>
      <w:r w:rsidRPr="00737D68">
        <w:rPr>
          <w:rFonts w:ascii="Arial" w:hAnsi="Arial" w:eastAsia="Times New Roman" w:cs="Arial"/>
          <w:b/>
          <w:bCs/>
          <w:lang w:eastAsia="cs-CZ"/>
        </w:rPr>
        <w:t>Technické a organizační zabezpečení ochrany osobních údajů</w:t>
      </w:r>
    </w:p>
    <w:p w:rsidRPr="00737D68" w:rsidR="00737D68" w:rsidP="00737D68" w:rsidRDefault="00737D68" w14:paraId="5B1D0FEF" w14:textId="77777777">
      <w:pPr>
        <w:spacing w:after="60" w:line="240" w:lineRule="auto"/>
        <w:jc w:val="both"/>
        <w:rPr>
          <w:rFonts w:ascii="Arial" w:hAnsi="Arial" w:eastAsia="Calibri" w:cs="Arial"/>
        </w:rPr>
      </w:pPr>
      <w:r w:rsidRPr="00737D68">
        <w:rPr>
          <w:rFonts w:ascii="Arial" w:hAnsi="Arial" w:eastAsia="Calibri" w:cs="Arial"/>
        </w:rPr>
        <w:t xml:space="preserve">Příjemce je povinen zpracovávat a chránit osobní údaje v souladu s </w:t>
      </w:r>
      <w:r w:rsidRPr="00737D68">
        <w:rPr>
          <w:rFonts w:ascii="Arial" w:hAnsi="Arial" w:eastAsia="Arial" w:cs="Times New Roman"/>
        </w:rPr>
        <w:t xml:space="preserve">Obecným nařízením </w:t>
      </w:r>
      <w:r w:rsidRPr="00737D68">
        <w:rPr>
          <w:rFonts w:ascii="Arial" w:hAnsi="Arial" w:eastAsia="Calibri" w:cs="Arial"/>
        </w:rPr>
        <w:t>o ochraně osobních údajů a to zejména takto:</w:t>
      </w:r>
    </w:p>
    <w:p w:rsidRPr="00737D68" w:rsidR="00737D68" w:rsidP="00737D68" w:rsidRDefault="00737D68" w14:paraId="04F92DDA" w14:textId="77777777">
      <w:pPr>
        <w:numPr>
          <w:ilvl w:val="0"/>
          <w:numId w:val="20"/>
        </w:numPr>
        <w:spacing w:after="220" w:line="240" w:lineRule="auto"/>
        <w:ind w:left="709" w:hanging="709"/>
        <w:contextualSpacing/>
        <w:jc w:val="both"/>
        <w:rPr>
          <w:rFonts w:ascii="Arial" w:hAnsi="Arial" w:eastAsia="Calibri" w:cs="Arial"/>
        </w:rPr>
      </w:pPr>
      <w:r w:rsidRPr="00737D68">
        <w:rPr>
          <w:rFonts w:ascii="Arial" w:hAnsi="Arial" w:eastAsia="Calibri" w:cs="Arial"/>
        </w:rPr>
        <w:t xml:space="preserve">osobní údaje ve fyzické podobě, tj. listinné údaje či na nosičích dat, budou uchovávány v uzamykatelných schránkách, a to po dobu uvedenou v bodě 4 této části Rozhodnutí; </w:t>
      </w:r>
    </w:p>
    <w:p w:rsidRPr="00737D68" w:rsidR="00737D68" w:rsidP="00737D68" w:rsidRDefault="00737D68" w14:paraId="6660B87E" w14:textId="77777777">
      <w:pPr>
        <w:numPr>
          <w:ilvl w:val="0"/>
          <w:numId w:val="20"/>
        </w:numPr>
        <w:spacing w:after="220" w:line="240" w:lineRule="auto"/>
        <w:ind w:left="709" w:hanging="709"/>
        <w:contextualSpacing/>
        <w:jc w:val="both"/>
        <w:rPr>
          <w:rFonts w:ascii="Arial" w:hAnsi="Arial" w:eastAsia="Calibri" w:cs="Arial"/>
        </w:rPr>
      </w:pPr>
      <w:r w:rsidRPr="00737D68">
        <w:rPr>
          <w:rFonts w:ascii="Arial" w:hAnsi="Arial" w:eastAsia="Calibri" w:cs="Arial"/>
        </w:rPr>
        <w:t>osobní údaje v elektronické podobě budou zpracovávány v IS ESF 2014+, jehož správcem je Ministerstvo práce a sociálních věcí; poskytovatel příjemci za účelem vložení osobních údajů zajistí přístupová hesla do IS ESF 2014+;</w:t>
      </w:r>
    </w:p>
    <w:p w:rsidRPr="00737D68" w:rsidR="00737D68" w:rsidP="00737D68" w:rsidRDefault="00737D68" w14:paraId="2792B1BC" w14:textId="77777777">
      <w:pPr>
        <w:numPr>
          <w:ilvl w:val="0"/>
          <w:numId w:val="20"/>
        </w:numPr>
        <w:spacing w:after="220" w:line="240" w:lineRule="auto"/>
        <w:ind w:left="709" w:hanging="709"/>
        <w:contextualSpacing/>
        <w:jc w:val="both"/>
        <w:rPr>
          <w:rFonts w:ascii="Arial" w:hAnsi="Arial" w:eastAsia="Calibri" w:cs="Arial"/>
        </w:rPr>
      </w:pPr>
      <w:r w:rsidRPr="00737D68">
        <w:rPr>
          <w:rFonts w:ascii="Arial" w:hAnsi="Arial" w:eastAsia="Calibri" w:cs="Arial"/>
        </w:rPr>
        <w:t xml:space="preserve">přístup ke zpracovávaným osobním údajům umožní příjemce pouze poskytovateli, svým zaměstnancům a orgánům oprávněným provádět kontrolu podle části II bodu 8 tohoto Rozhodnutí, </w:t>
      </w:r>
      <w:r w:rsidRPr="00737D68">
        <w:rPr>
          <w:rFonts w:ascii="Arial" w:hAnsi="Arial" w:eastAsia="Arial" w:cs="Times New Roman"/>
        </w:rPr>
        <w:t>s výjimkami uvedenými v bodu 6 této části Rozhodnutí</w:t>
      </w:r>
      <w:r w:rsidRPr="00737D68">
        <w:rPr>
          <w:rFonts w:ascii="Arial" w:hAnsi="Arial" w:eastAsia="Calibri" w:cs="Arial"/>
        </w:rPr>
        <w:t>;</w:t>
      </w:r>
    </w:p>
    <w:p w:rsidRPr="00737D68" w:rsidR="00737D68" w:rsidP="00737D68" w:rsidRDefault="00737D68" w14:paraId="41B94BB8" w14:textId="77777777">
      <w:pPr>
        <w:numPr>
          <w:ilvl w:val="0"/>
          <w:numId w:val="20"/>
        </w:numPr>
        <w:spacing w:after="60" w:line="240" w:lineRule="auto"/>
        <w:ind w:left="709" w:hanging="709"/>
        <w:contextualSpacing/>
        <w:jc w:val="both"/>
        <w:rPr>
          <w:rFonts w:ascii="Arial" w:hAnsi="Arial" w:eastAsia="Arial" w:cs="Times New Roman"/>
        </w:rPr>
      </w:pPr>
      <w:r w:rsidRPr="00737D68">
        <w:rPr>
          <w:rFonts w:ascii="Arial" w:hAnsi="Arial" w:eastAsia="Calibri" w:cs="Arial"/>
        </w:rPr>
        <w:t xml:space="preserve">zaměstnanci příjemce, kterým bude umožněn přístup ke zpracovávaným osobním údajům, budou příjemcem doložitelně poučeni o povinnosti zachovávat mlčenlivost podle </w:t>
      </w:r>
      <w:r w:rsidRPr="00737D68">
        <w:rPr>
          <w:rFonts w:ascii="Arial" w:hAnsi="Arial" w:eastAsia="Arial" w:cs="Arial"/>
        </w:rPr>
        <w:t>čl. 28 odst. 3 písm. b) Obecného nařízení o ochraně osobních údajů</w:t>
      </w:r>
      <w:r w:rsidRPr="00737D68">
        <w:rPr>
          <w:rFonts w:ascii="Arial" w:hAnsi="Arial" w:eastAsia="Calibri" w:cs="Arial"/>
        </w:rPr>
        <w:t>.</w:t>
      </w:r>
    </w:p>
    <w:p w:rsidRPr="00737D68" w:rsidR="00737D68" w:rsidP="00737D68" w:rsidRDefault="00737D68" w14:paraId="7C9AA430" w14:textId="77777777">
      <w:pPr>
        <w:numPr>
          <w:ilvl w:val="0"/>
          <w:numId w:val="19"/>
        </w:numPr>
        <w:spacing w:before="240" w:after="120" w:line="240" w:lineRule="auto"/>
        <w:jc w:val="both"/>
        <w:rPr>
          <w:rFonts w:ascii="Arial" w:hAnsi="Arial" w:eastAsia="Times New Roman" w:cs="Arial"/>
          <w:b/>
          <w:bCs/>
          <w:lang w:eastAsia="cs-CZ"/>
        </w:rPr>
      </w:pPr>
      <w:r w:rsidRPr="00737D68">
        <w:rPr>
          <w:rFonts w:ascii="Arial" w:hAnsi="Arial" w:eastAsia="Times New Roman" w:cs="Arial"/>
          <w:b/>
          <w:bCs/>
          <w:lang w:eastAsia="cs-CZ"/>
        </w:rPr>
        <w:t>Doba zpracování</w:t>
      </w:r>
    </w:p>
    <w:p w:rsidRPr="00737D68" w:rsidR="00737D68" w:rsidP="00737D68" w:rsidRDefault="00737D68" w14:paraId="5399B72E" w14:textId="77777777">
      <w:pPr>
        <w:spacing w:after="220" w:line="240" w:lineRule="auto"/>
        <w:jc w:val="both"/>
        <w:rPr>
          <w:rFonts w:ascii="Arial" w:hAnsi="Arial" w:eastAsia="Calibri" w:cs="Arial"/>
        </w:rPr>
      </w:pPr>
      <w:r w:rsidRPr="00737D68">
        <w:rPr>
          <w:rFonts w:ascii="Arial" w:hAnsi="Arial" w:eastAsia="Calibri" w:cs="Arial"/>
        </w:rPr>
        <w:t>Příjemce je oprávněn zpracovávat osobní údaje po dobu deseti let od ukončení realizace projektu</w:t>
      </w:r>
      <w:r w:rsidRPr="00737D68">
        <w:rPr>
          <w:rFonts w:ascii="Arial" w:hAnsi="Arial" w:eastAsia="Arial" w:cs="Times New Roman"/>
        </w:rPr>
        <w:t>, přičemž tato lhůta začíná běžet 1. ledna následujícího kalendářního roku poté, kdy byla příjemci vyplacena závěrečná platba, příp. kdy příjemce poukázal přeplatek dotace stanovený na základě schváleného vyúčtování výdajů v závěrečné žádosti o platbu zpět poskytovateli</w:t>
      </w:r>
      <w:r w:rsidRPr="00737D68">
        <w:rPr>
          <w:rFonts w:ascii="Arial" w:hAnsi="Arial" w:eastAsia="Calibri" w:cs="Arial"/>
        </w:rPr>
        <w:t>. Bez zbytečného odkladu po uplynutí této doby je příjemce povinen provést likvidaci těchto osobních údajů.</w:t>
      </w:r>
    </w:p>
    <w:p w:rsidRPr="00737D68" w:rsidR="00737D68" w:rsidP="00737D68" w:rsidRDefault="00737D68" w14:paraId="4B152F5C" w14:textId="77777777">
      <w:pPr>
        <w:keepNext/>
        <w:numPr>
          <w:ilvl w:val="0"/>
          <w:numId w:val="19"/>
        </w:numPr>
        <w:spacing w:before="240" w:after="120" w:line="240" w:lineRule="auto"/>
        <w:jc w:val="both"/>
        <w:rPr>
          <w:rFonts w:ascii="Arial" w:hAnsi="Arial" w:eastAsia="Times New Roman" w:cs="Arial"/>
          <w:b/>
          <w:bCs/>
          <w:lang w:eastAsia="cs-CZ"/>
        </w:rPr>
      </w:pPr>
      <w:r w:rsidRPr="00737D68">
        <w:rPr>
          <w:rFonts w:ascii="Arial" w:hAnsi="Arial" w:eastAsia="Times New Roman" w:cs="Arial"/>
          <w:b/>
          <w:bCs/>
          <w:lang w:eastAsia="cs-CZ"/>
        </w:rPr>
        <w:t>Další povinnosti příjemce v souvislosti se zpracováním osobních údajů</w:t>
      </w:r>
    </w:p>
    <w:p w:rsidRPr="00737D68" w:rsidR="00737D68" w:rsidP="00737D68" w:rsidRDefault="00737D68" w14:paraId="06C6B97D" w14:textId="77777777">
      <w:pPr>
        <w:keepNext/>
        <w:numPr>
          <w:ilvl w:val="1"/>
          <w:numId w:val="19"/>
        </w:numPr>
        <w:spacing w:after="40" w:line="240" w:lineRule="auto"/>
        <w:jc w:val="both"/>
        <w:rPr>
          <w:rFonts w:ascii="Arial" w:hAnsi="Arial" w:eastAsia="Calibri" w:cs="Arial"/>
        </w:rPr>
      </w:pPr>
      <w:r w:rsidRPr="00737D68">
        <w:rPr>
          <w:rFonts w:ascii="Arial" w:hAnsi="Arial" w:eastAsia="Calibri" w:cs="Arial"/>
        </w:rPr>
        <w:t xml:space="preserve">Příjemce je povinen poskytovatele v souladu s čl. 33 odst. 2 Obecného nařízení o ochraně osobních údajů informovat o jakémkoli porušení zabezpečení osobních údajů, a to do 24 hodin od okamžiku, kdy se o něm dozvěděl. </w:t>
      </w:r>
    </w:p>
    <w:p w:rsidRPr="00737D68" w:rsidR="00737D68" w:rsidP="00737D68" w:rsidRDefault="00737D68" w14:paraId="10C69474" w14:textId="77777777">
      <w:pPr>
        <w:keepNext/>
        <w:numPr>
          <w:ilvl w:val="1"/>
          <w:numId w:val="19"/>
        </w:numPr>
        <w:spacing w:after="40" w:line="240" w:lineRule="auto"/>
        <w:jc w:val="both"/>
        <w:rPr>
          <w:rFonts w:ascii="Arial" w:hAnsi="Arial" w:eastAsia="Calibri" w:cs="Arial"/>
        </w:rPr>
      </w:pPr>
      <w:r w:rsidRPr="00737D68">
        <w:rPr>
          <w:rFonts w:ascii="Arial" w:hAnsi="Arial" w:eastAsia="Calibri" w:cs="Arial"/>
        </w:rPr>
        <w:t>Příjemce je povinen na základě vyžádání předat poskytovateli veškeré informace potřebné k doložení splnění povinností stanovených v </w:t>
      </w:r>
      <w:r w:rsidRPr="00737D68">
        <w:rPr>
          <w:rFonts w:ascii="Arial" w:hAnsi="Arial" w:eastAsia="Arial" w:cs="Times New Roman"/>
        </w:rPr>
        <w:t>této části Rozhodnutí</w:t>
      </w:r>
      <w:r w:rsidRPr="00737D68">
        <w:rPr>
          <w:rFonts w:ascii="Arial" w:hAnsi="Arial" w:eastAsia="Calibri" w:cs="Arial"/>
        </w:rPr>
        <w:t>.</w:t>
      </w:r>
    </w:p>
    <w:p w:rsidRPr="00737D68" w:rsidR="00737D68" w:rsidP="00737D68" w:rsidRDefault="00737D68" w14:paraId="2D39E7C7" w14:textId="77777777">
      <w:pPr>
        <w:keepNext/>
        <w:numPr>
          <w:ilvl w:val="1"/>
          <w:numId w:val="19"/>
        </w:numPr>
        <w:spacing w:after="40" w:line="240" w:lineRule="auto"/>
        <w:jc w:val="both"/>
        <w:rPr>
          <w:rFonts w:ascii="Arial" w:hAnsi="Arial" w:eastAsia="Calibri" w:cs="Arial"/>
        </w:rPr>
      </w:pPr>
      <w:r w:rsidRPr="00737D68">
        <w:rPr>
          <w:rFonts w:ascii="Arial" w:hAnsi="Arial" w:eastAsia="Calibri" w:cs="Arial"/>
        </w:rPr>
        <w:t>Příjemce je povinen spolupracovat s poskytovatelem při plnění jeho povinnosti reagovat na žádosti podpořených osob týkající se jejich osobních údajů.</w:t>
      </w:r>
    </w:p>
    <w:p w:rsidRPr="00737D68" w:rsidR="00737D68" w:rsidP="00737D68" w:rsidRDefault="00737D68" w14:paraId="217D9BA1" w14:textId="77777777">
      <w:pPr>
        <w:numPr>
          <w:ilvl w:val="0"/>
          <w:numId w:val="19"/>
        </w:numPr>
        <w:spacing w:before="240" w:after="120" w:line="240" w:lineRule="auto"/>
        <w:jc w:val="both"/>
        <w:rPr>
          <w:rFonts w:ascii="Arial" w:hAnsi="Arial" w:eastAsia="Times New Roman" w:cs="Arial"/>
          <w:b/>
          <w:bCs/>
          <w:lang w:eastAsia="cs-CZ"/>
        </w:rPr>
      </w:pPr>
      <w:r w:rsidRPr="00737D68">
        <w:rPr>
          <w:rFonts w:ascii="Arial" w:hAnsi="Arial" w:eastAsia="Times New Roman" w:cs="Arial"/>
          <w:b/>
          <w:bCs/>
          <w:lang w:eastAsia="cs-CZ"/>
        </w:rPr>
        <w:t>Zpracování ostatními osobami</w:t>
      </w:r>
    </w:p>
    <w:p w:rsidRPr="00737D68" w:rsidR="00737D68" w:rsidP="00737D68" w:rsidRDefault="00737D68" w14:paraId="6AC83D43" w14:textId="77777777">
      <w:pPr>
        <w:numPr>
          <w:ilvl w:val="1"/>
          <w:numId w:val="19"/>
        </w:numPr>
        <w:spacing w:before="240" w:after="40" w:line="240" w:lineRule="auto"/>
        <w:jc w:val="both"/>
        <w:rPr>
          <w:rFonts w:ascii="Arial" w:hAnsi="Arial" w:eastAsia="Calibri" w:cs="Arial"/>
        </w:rPr>
      </w:pPr>
      <w:r w:rsidRPr="00737D68">
        <w:rPr>
          <w:rFonts w:ascii="Arial" w:hAnsi="Arial" w:eastAsia="Calibri" w:cs="Arial"/>
        </w:rPr>
        <w:t xml:space="preserve">Příjemce je povinen uzavřít smlouvu podle </w:t>
      </w:r>
      <w:r w:rsidRPr="00737D68">
        <w:rPr>
          <w:rFonts w:ascii="Arial" w:hAnsi="Arial" w:eastAsia="Arial" w:cs="Arial"/>
        </w:rPr>
        <w:t xml:space="preserve">čl. 28 odst. 4 Obecného nařízení o ochraně osobních údajů </w:t>
      </w:r>
      <w:r w:rsidRPr="00737D68">
        <w:rPr>
          <w:rFonts w:ascii="Arial" w:hAnsi="Arial" w:eastAsia="Calibri" w:cs="Arial"/>
        </w:rPr>
        <w:t>s partnerem nebo s dodavatelem, pokud taková osoba má v souvislosti s realizací projektu zpracovávat osobní údaje podpořených osob. Stejnou povinnost má partner vůči svému dodavateli. Příjemce je povinen předem poskytovatele informovat o veškerých subjektech, které mají v projektu působit jako zpracovatelé osobních údajů. Poskytovatel je oprávněn vyslovit vůči zapojení těchto subjektů jakožto zpracovatelů osobních údajů námitky.</w:t>
      </w:r>
    </w:p>
    <w:p w:rsidRPr="00737D68" w:rsidR="00737D68" w:rsidP="00737D68" w:rsidRDefault="00737D68" w14:paraId="1EE32203" w14:textId="77777777">
      <w:pPr>
        <w:numPr>
          <w:ilvl w:val="1"/>
          <w:numId w:val="19"/>
        </w:numPr>
        <w:spacing w:before="40" w:after="0" w:line="240" w:lineRule="auto"/>
        <w:jc w:val="both"/>
        <w:rPr>
          <w:rFonts w:ascii="Arial" w:hAnsi="Arial" w:eastAsia="Calibri" w:cs="Arial"/>
        </w:rPr>
      </w:pPr>
      <w:r w:rsidRPr="00737D68">
        <w:rPr>
          <w:rFonts w:ascii="Arial" w:hAnsi="Arial" w:eastAsia="Calibri" w:cs="Arial"/>
        </w:rPr>
        <w:t xml:space="preserve">Smlouvy uzavírané podle </w:t>
      </w:r>
      <w:r w:rsidRPr="00737D68">
        <w:rPr>
          <w:rFonts w:ascii="Arial" w:hAnsi="Arial" w:eastAsia="Arial" w:cs="Arial"/>
        </w:rPr>
        <w:t xml:space="preserve">čl. 28 odst. 4 Obecného nařízení o ochraně osobních údajů </w:t>
      </w:r>
      <w:r w:rsidRPr="00737D68">
        <w:rPr>
          <w:rFonts w:ascii="Arial" w:hAnsi="Arial" w:eastAsia="Calibri" w:cs="Arial"/>
        </w:rPr>
        <w:t xml:space="preserve">s partnerem, resp. s dodavatelem, musí upravovat podmínky zpracování osobních údajů stejně jako podmínky stanovené v pověření příjemce dotace v této části tohoto Rozhodnutí. </w:t>
      </w:r>
    </w:p>
    <w:p w:rsidRPr="00737D68" w:rsidR="00737D68" w:rsidP="00737D68" w:rsidRDefault="00737D68" w14:paraId="0A9C8B82" w14:textId="77777777">
      <w:pPr>
        <w:numPr>
          <w:ilvl w:val="1"/>
          <w:numId w:val="19"/>
        </w:numPr>
        <w:spacing w:before="40" w:after="40" w:line="240" w:lineRule="auto"/>
        <w:jc w:val="both"/>
        <w:rPr>
          <w:rFonts w:ascii="Arial" w:hAnsi="Arial" w:eastAsia="Calibri" w:cs="Arial"/>
        </w:rPr>
      </w:pPr>
      <w:r w:rsidRPr="00737D68">
        <w:rPr>
          <w:rFonts w:ascii="Arial" w:hAnsi="Arial" w:eastAsia="Calibri" w:cs="Arial"/>
        </w:rPr>
        <w:t xml:space="preserve">Neplní-li uvedený další zpracovatel své povinnosti v oblasti ochrany osobních údajů, odpovídá správci za plnění povinností dotčeného dalšího zpracovatele i nadále plně prvotní zpracovatel. </w:t>
      </w:r>
    </w:p>
    <w:p w:rsidRPr="00737D68" w:rsidR="00737D68" w:rsidP="00737D68" w:rsidRDefault="00737D68" w14:paraId="32A0B978" w14:textId="77777777">
      <w:pPr>
        <w:spacing w:after="120"/>
        <w:rPr>
          <w:rFonts w:ascii="Arial" w:hAnsi="Arial" w:eastAsia="Times New Roman" w:cs="Arial"/>
          <w:lang w:eastAsia="cs-CZ"/>
        </w:rPr>
      </w:pPr>
    </w:p>
    <w:p w:rsidRPr="00737D68" w:rsidR="00737D68" w:rsidP="00737D68" w:rsidRDefault="00737D68" w14:paraId="5AF7EFC2" w14:textId="77777777">
      <w:pPr>
        <w:shd w:val="clear" w:color="auto" w:fill="F2F2F2"/>
        <w:spacing w:after="220" w:line="240" w:lineRule="auto"/>
        <w:jc w:val="both"/>
        <w:rPr>
          <w:rFonts w:ascii="Arial" w:hAnsi="Arial" w:eastAsia="Calibri" w:cs="Arial"/>
          <w:b/>
        </w:rPr>
      </w:pPr>
      <w:r w:rsidRPr="00737D68">
        <w:rPr>
          <w:rFonts w:ascii="Arial" w:hAnsi="Arial" w:eastAsia="Calibri" w:cs="Arial"/>
          <w:b/>
        </w:rPr>
        <w:t>Část VII – Závěrečná ustanovení</w:t>
      </w:r>
    </w:p>
    <w:p w:rsidRPr="00737D68" w:rsidR="00737D68" w:rsidP="00737D68" w:rsidRDefault="00737D68" w14:paraId="74B5C408" w14:textId="77777777">
      <w:pPr>
        <w:numPr>
          <w:ilvl w:val="0"/>
          <w:numId w:val="21"/>
        </w:numPr>
        <w:spacing w:after="60" w:line="240" w:lineRule="auto"/>
        <w:ind w:left="357" w:hanging="357"/>
        <w:jc w:val="both"/>
        <w:rPr>
          <w:rFonts w:ascii="Arial" w:hAnsi="Arial" w:eastAsia="Times New Roman" w:cs="Arial"/>
          <w:iCs/>
          <w:snapToGrid w:val="false"/>
          <w:lang w:eastAsia="cs-CZ"/>
        </w:rPr>
      </w:pPr>
      <w:r w:rsidRPr="00737D68">
        <w:rPr>
          <w:rFonts w:ascii="Arial" w:hAnsi="Arial" w:eastAsia="Times New Roman" w:cs="Arial"/>
          <w:iCs/>
          <w:snapToGrid w:val="false"/>
          <w:lang w:eastAsia="cs-CZ"/>
        </w:rPr>
        <w:t>Pojmy uvedené v tomto Rozhodnutí jsou používány ve smyslu, jak jsou definovány v Pravidlech OPZ.</w:t>
      </w:r>
    </w:p>
    <w:p w:rsidRPr="00737D68" w:rsidR="00737D68" w:rsidP="00737D68" w:rsidRDefault="00737D68" w14:paraId="7C2E6FF2" w14:textId="77777777">
      <w:pPr>
        <w:numPr>
          <w:ilvl w:val="0"/>
          <w:numId w:val="21"/>
        </w:numPr>
        <w:spacing w:after="60" w:line="240" w:lineRule="auto"/>
        <w:ind w:left="357" w:hanging="357"/>
        <w:jc w:val="both"/>
        <w:rPr>
          <w:rFonts w:ascii="Arial" w:hAnsi="Arial" w:eastAsia="Times New Roman" w:cs="Arial"/>
          <w:iCs/>
          <w:snapToGrid w:val="false"/>
          <w:lang w:eastAsia="cs-CZ"/>
        </w:rPr>
      </w:pPr>
      <w:r w:rsidRPr="00737D68">
        <w:rPr>
          <w:rFonts w:ascii="Arial" w:hAnsi="Arial" w:eastAsia="Times New Roman" w:cs="Arial"/>
          <w:iCs/>
          <w:snapToGrid w:val="false"/>
          <w:lang w:eastAsia="cs-CZ"/>
        </w:rPr>
        <w:t>Rozhodnutí nabývá účinnosti dnem podpisu poskytovatelem.</w:t>
      </w:r>
    </w:p>
    <w:p w:rsidRPr="00737D68" w:rsidR="00737D68" w:rsidP="00737D68" w:rsidRDefault="00737D68" w14:paraId="1C899FA9" w14:textId="77777777">
      <w:pPr>
        <w:numPr>
          <w:ilvl w:val="0"/>
          <w:numId w:val="21"/>
        </w:numPr>
        <w:spacing w:after="60" w:line="240" w:lineRule="auto"/>
        <w:ind w:left="357" w:hanging="357"/>
        <w:jc w:val="both"/>
        <w:rPr>
          <w:rFonts w:ascii="Arial" w:hAnsi="Arial" w:eastAsia="Times New Roman" w:cs="Arial"/>
          <w:iCs/>
          <w:snapToGrid w:val="false"/>
          <w:lang w:eastAsia="cs-CZ"/>
        </w:rPr>
      </w:pPr>
      <w:r w:rsidRPr="00737D68">
        <w:rPr>
          <w:rFonts w:ascii="Arial" w:hAnsi="Arial" w:eastAsia="Times New Roman" w:cs="Arial"/>
          <w:iCs/>
          <w:snapToGrid w:val="false"/>
          <w:lang w:eastAsia="cs-CZ"/>
        </w:rPr>
        <w:t>Rozhodnutí se vyhotovuje v elektronické verzi v prostředí infomačního systému MS2014+, poskytovatel i příjemce mají k vydanému Rozhodnutí přístup a mohou pořizovat výtisky tohoto dokumentu dle svých potřeb.</w:t>
      </w:r>
    </w:p>
    <w:p w:rsidRPr="00737D68" w:rsidR="00737D68" w:rsidP="00737D68" w:rsidRDefault="00737D68" w14:paraId="66BEDCE6" w14:textId="77777777">
      <w:pPr>
        <w:numPr>
          <w:ilvl w:val="0"/>
          <w:numId w:val="21"/>
        </w:numPr>
        <w:spacing w:after="60" w:line="240" w:lineRule="auto"/>
        <w:ind w:left="357" w:hanging="357"/>
        <w:jc w:val="both"/>
        <w:rPr>
          <w:rFonts w:ascii="Arial" w:hAnsi="Arial" w:eastAsia="Times New Roman" w:cs="Arial"/>
          <w:iCs/>
          <w:snapToGrid w:val="false"/>
          <w:lang w:eastAsia="cs-CZ"/>
        </w:rPr>
      </w:pPr>
      <w:r w:rsidRPr="00737D68">
        <w:rPr>
          <w:rFonts w:ascii="Arial" w:hAnsi="Arial" w:eastAsia="Times New Roman" w:cs="Arial"/>
          <w:iCs/>
          <w:snapToGrid w:val="false"/>
          <w:lang w:eastAsia="cs-CZ"/>
        </w:rPr>
        <w:t>Příjemce je povinen řídit se při realizaci projektu ustanoveními příloh uvedených v bodě 5 této části Rozhodnutí a dále dokumenty, které jsou zmíněny v části II bodě 1 tohoto Rozhodnutí.</w:t>
      </w:r>
    </w:p>
    <w:p w:rsidRPr="00737D68" w:rsidR="00737D68" w:rsidP="00737D68" w:rsidRDefault="00737D68" w14:paraId="432D60D6" w14:textId="77777777">
      <w:pPr>
        <w:numPr>
          <w:ilvl w:val="0"/>
          <w:numId w:val="21"/>
        </w:numPr>
        <w:spacing w:after="60" w:line="240" w:lineRule="auto"/>
        <w:ind w:left="357" w:hanging="357"/>
        <w:jc w:val="both"/>
        <w:rPr>
          <w:rFonts w:ascii="Arial" w:hAnsi="Arial" w:eastAsia="Times New Roman" w:cs="Arial"/>
          <w:iCs/>
          <w:snapToGrid w:val="false"/>
          <w:lang w:eastAsia="cs-CZ"/>
        </w:rPr>
      </w:pPr>
      <w:r w:rsidRPr="00737D68">
        <w:rPr>
          <w:rFonts w:ascii="Arial" w:hAnsi="Arial" w:eastAsia="Times New Roman" w:cs="Arial"/>
          <w:iCs/>
          <w:snapToGrid w:val="false"/>
          <w:lang w:eastAsia="cs-CZ"/>
        </w:rPr>
        <w:t>Součástí Rozhodnutí jsou tyto přílohy:</w:t>
      </w:r>
    </w:p>
    <w:p w:rsidRPr="00737D68" w:rsidR="00737D68" w:rsidP="00737D68" w:rsidRDefault="00737D68" w14:paraId="3EE8C031" w14:textId="77777777">
      <w:pPr>
        <w:numPr>
          <w:ilvl w:val="0"/>
          <w:numId w:val="2"/>
        </w:numPr>
        <w:spacing w:after="60" w:line="240" w:lineRule="auto"/>
        <w:jc w:val="both"/>
        <w:rPr>
          <w:rFonts w:ascii="Arial" w:hAnsi="Arial" w:eastAsia="Times New Roman" w:cs="Arial"/>
          <w:iCs/>
          <w:snapToGrid w:val="false"/>
          <w:lang w:eastAsia="cs-CZ"/>
        </w:rPr>
      </w:pPr>
      <w:r w:rsidRPr="00737D68">
        <w:rPr>
          <w:rFonts w:ascii="Arial" w:hAnsi="Arial" w:eastAsia="Times New Roman" w:cs="Arial"/>
          <w:iCs/>
          <w:snapToGrid w:val="false"/>
          <w:lang w:eastAsia="cs-CZ"/>
        </w:rPr>
        <w:t>Příloha č. 1 – Informace o projektu (obsahuje aktivity, cílovou skupinu, rozpočet projektu, partnery, cílové hodnoty indikátorů výstupů a výsledků,</w:t>
      </w:r>
      <w:r w:rsidRPr="00737D68">
        <w:rPr>
          <w:rFonts w:ascii="Arial" w:hAnsi="Arial" w:eastAsia="Times New Roman" w:cs="Arial"/>
          <w:iCs/>
          <w:snapToGrid w:val="false"/>
          <w:vertAlign w:val="superscript"/>
          <w:lang w:eastAsia="cs-CZ"/>
        </w:rPr>
        <w:footnoteReference w:id="20"/>
      </w:r>
      <w:r w:rsidRPr="00737D68">
        <w:rPr>
          <w:rFonts w:ascii="Arial" w:hAnsi="Arial" w:eastAsia="Times New Roman" w:cs="Arial"/>
          <w:iCs/>
          <w:snapToGrid w:val="false"/>
          <w:lang w:eastAsia="cs-CZ"/>
        </w:rPr>
        <w:t xml:space="preserve"> finanční plán)</w:t>
      </w:r>
    </w:p>
    <w:p w:rsidRPr="00737D68" w:rsidR="00737D68" w:rsidP="00737D68" w:rsidRDefault="00737D68" w14:paraId="0221F876" w14:textId="77777777">
      <w:pPr>
        <w:numPr>
          <w:ilvl w:val="0"/>
          <w:numId w:val="21"/>
        </w:numPr>
        <w:spacing w:after="220" w:line="240" w:lineRule="auto"/>
        <w:ind w:left="357" w:hanging="357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 xml:space="preserve">Veškeré změny Rozhodnutí je možné provádět pouze na základě žádosti příjemce. Změny projektu lze provádět v režimu nepodstatné změny nebo podstatné změny. Podstatná změna ve vymezených případech dle Pravidel OPZ vyžaduje vydání rozhodnutí o změně tohoto Rozhodnutí, v ostatních vymezených případech dle Pravidel OPZ je podstatná změna schválena rozhodnutím poskytovatele, které je k dispozici v MS2014+. Nepodstatné změny lze provádět bez souhlasu poskytovatele. Podrobnosti stanoví </w:t>
      </w:r>
      <w:r w:rsidRPr="00737D68">
        <w:rPr>
          <w:rFonts w:ascii="Arial" w:hAnsi="Arial" w:eastAsia="Times New Roman" w:cs="Arial"/>
          <w:i/>
          <w:lang w:eastAsia="cs-CZ"/>
        </w:rPr>
        <w:t>Specifická pravidla</w:t>
      </w:r>
      <w:r w:rsidRPr="00737D68">
        <w:rPr>
          <w:rFonts w:ascii="Arial" w:hAnsi="Arial" w:eastAsia="Times New Roman" w:cs="Arial"/>
          <w:lang w:eastAsia="cs-CZ"/>
        </w:rPr>
        <w:t xml:space="preserve">. </w:t>
      </w:r>
    </w:p>
    <w:p w:rsidRPr="00737D68" w:rsidR="00737D68" w:rsidP="00737D68" w:rsidRDefault="00737D68" w14:paraId="6C45867B" w14:textId="77777777">
      <w:pPr>
        <w:spacing w:after="120"/>
        <w:rPr>
          <w:rFonts w:ascii="Arial" w:hAnsi="Arial" w:eastAsia="Times New Roman" w:cs="Arial"/>
          <w:lang w:eastAsia="cs-CZ"/>
        </w:rPr>
      </w:pPr>
    </w:p>
    <w:p w:rsidRPr="00737D68" w:rsidR="00737D68" w:rsidP="00737D68" w:rsidRDefault="00737D68" w14:paraId="4244FEB1" w14:textId="77777777">
      <w:pPr>
        <w:shd w:val="clear" w:color="auto" w:fill="F2F2F2"/>
        <w:spacing w:after="220" w:line="240" w:lineRule="auto"/>
        <w:jc w:val="both"/>
        <w:rPr>
          <w:rFonts w:ascii="Arial" w:hAnsi="Arial" w:eastAsia="Arial" w:cs="Arial"/>
          <w:b/>
        </w:rPr>
      </w:pPr>
      <w:r w:rsidRPr="00737D68">
        <w:rPr>
          <w:rFonts w:ascii="Arial" w:hAnsi="Arial" w:eastAsia="Arial" w:cs="Arial"/>
          <w:b/>
        </w:rPr>
        <w:t xml:space="preserve">Část VIII - Poučení </w:t>
      </w:r>
    </w:p>
    <w:p w:rsidRPr="00737D68" w:rsidR="00737D68" w:rsidP="00737D68" w:rsidRDefault="00737D68" w14:paraId="6BEBAD55" w14:textId="77777777">
      <w:pPr>
        <w:numPr>
          <w:ilvl w:val="0"/>
          <w:numId w:val="22"/>
        </w:numPr>
        <w:spacing w:after="60" w:line="240" w:lineRule="auto"/>
        <w:ind w:left="360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>Proti tomuto rozhodnutí není na základě § 14q odst. 2 rozpočtových pravidel přípustný opravný prostředek.</w:t>
      </w:r>
    </w:p>
    <w:p w:rsidRPr="00737D68" w:rsidR="00737D68" w:rsidP="00737D68" w:rsidRDefault="00737D68" w14:paraId="4B657856" w14:textId="77777777">
      <w:pPr>
        <w:numPr>
          <w:ilvl w:val="0"/>
          <w:numId w:val="22"/>
        </w:numPr>
        <w:spacing w:after="60" w:line="240" w:lineRule="auto"/>
        <w:ind w:left="360"/>
        <w:jc w:val="both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>Za podmínek stanovených v § 15 rozpočtových pravidel může být zahájeno řízení o odnětí dotace. Na řízení o odnětí dotace se vztahují obecné předpisy o správním řízení.</w:t>
      </w:r>
    </w:p>
    <w:p w:rsidRPr="00737D68" w:rsidR="00737D68" w:rsidP="00737D68" w:rsidRDefault="00737D68" w14:paraId="0EC648CC" w14:textId="77777777">
      <w:pPr>
        <w:widowControl w:val="false"/>
        <w:overflowPunct w:val="false"/>
        <w:autoSpaceDE w:val="false"/>
        <w:autoSpaceDN w:val="false"/>
        <w:adjustRightInd w:val="false"/>
        <w:spacing w:after="0" w:line="240" w:lineRule="auto"/>
        <w:contextualSpacing/>
        <w:jc w:val="right"/>
        <w:textAlignment w:val="baseline"/>
        <w:rPr>
          <w:rFonts w:ascii="Arial" w:hAnsi="Arial" w:eastAsia="Times New Roman" w:cs="Arial"/>
          <w:lang w:eastAsia="cs-CZ"/>
        </w:rPr>
      </w:pPr>
    </w:p>
    <w:p w:rsidRPr="00737D68" w:rsidR="00737D68" w:rsidP="00737D68" w:rsidRDefault="00737D68" w14:paraId="67E36D82" w14:textId="77777777">
      <w:pPr>
        <w:widowControl w:val="false"/>
        <w:overflowPunct w:val="false"/>
        <w:autoSpaceDE w:val="false"/>
        <w:autoSpaceDN w:val="false"/>
        <w:adjustRightInd w:val="false"/>
        <w:spacing w:after="0" w:line="240" w:lineRule="auto"/>
        <w:contextualSpacing/>
        <w:jc w:val="right"/>
        <w:textAlignment w:val="baseline"/>
        <w:rPr>
          <w:rFonts w:ascii="Arial" w:hAnsi="Arial" w:eastAsia="Times New Roman" w:cs="Arial"/>
          <w:lang w:eastAsia="cs-CZ"/>
        </w:rPr>
      </w:pPr>
      <w:r w:rsidRPr="00737D68">
        <w:rPr>
          <w:rFonts w:ascii="Arial" w:hAnsi="Arial" w:eastAsia="Times New Roman" w:cs="Arial"/>
          <w:lang w:eastAsia="cs-CZ"/>
        </w:rPr>
        <w:t>…………………………….</w:t>
      </w:r>
    </w:p>
    <w:p w:rsidRPr="00737D68" w:rsidR="00737D68" w:rsidP="00737D68" w:rsidRDefault="00737D68" w14:paraId="24D35FE4" w14:textId="677CA579">
      <w:pPr>
        <w:spacing w:after="220" w:line="240" w:lineRule="auto"/>
        <w:jc w:val="right"/>
        <w:rPr>
          <w:rFonts w:ascii="Arial" w:hAnsi="Arial" w:eastAsia="Arial" w:cs="Times New Roman"/>
        </w:rPr>
      </w:pPr>
      <w:r>
        <w:rPr>
          <w:rFonts w:ascii="Arial" w:hAnsi="Arial" w:eastAsia="Arial" w:cs="Arial"/>
        </w:rPr>
        <w:t>(</w:t>
      </w:r>
      <w:r w:rsidRPr="00737D68">
        <w:rPr>
          <w:rFonts w:ascii="Arial" w:hAnsi="Arial" w:eastAsia="Arial" w:cs="Arial"/>
        </w:rPr>
        <w:t>Uvedení jména a funkce osoby oprávněné vydat rozhodnutí</w:t>
      </w:r>
      <w:r>
        <w:rPr>
          <w:rFonts w:ascii="Arial" w:hAnsi="Arial" w:eastAsia="Arial" w:cs="Arial"/>
        </w:rPr>
        <w:t>)</w:t>
      </w:r>
    </w:p>
    <w:sectPr w:rsidRPr="00737D68" w:rsidR="00737D68" w:rsidSect="00E75AAF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843" w:right="1418" w:bottom="1418" w:left="1418" w:header="709" w:footer="40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A63381" w:rsidP="00A63381" w:rsidRDefault="00A63381" w14:paraId="7C6B9B0A" w14:textId="77777777">
      <w:pPr>
        <w:spacing w:after="0" w:line="240" w:lineRule="auto"/>
      </w:pPr>
      <w:r>
        <w:separator/>
      </w:r>
    </w:p>
  </w:endnote>
  <w:endnote w:type="continuationSeparator" w:id="0">
    <w:p w:rsidR="00A63381" w:rsidP="00A63381" w:rsidRDefault="00A63381" w14:paraId="59CFC09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AE11AE" w:rsidRDefault="00AE11AE" w14:paraId="4C8ED75E" w14:textId="45CA803F">
    <w:pPr>
      <w:pStyle w:val="Zpat"/>
    </w:pPr>
  </w:p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CB411D" w:rsidR="00E75AAF" w:rsidTr="00440794" w14:paraId="69A0017D" w14:textId="77777777">
      <w:tc>
        <w:tcPr>
          <w:tcW w:w="1667" w:type="pct"/>
          <w:shd w:val="clear" w:color="auto" w:fill="auto"/>
          <w:vAlign w:val="center"/>
        </w:tcPr>
        <w:p w:rsidRPr="00CB411D" w:rsidR="00E75AAF" w:rsidP="00E75AAF" w:rsidRDefault="00E75AAF" w14:paraId="1EE91F4C" w14:textId="0032BF05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5. 2020</w:t>
          </w:r>
        </w:p>
      </w:tc>
      <w:tc>
        <w:tcPr>
          <w:tcW w:w="1667" w:type="pct"/>
          <w:shd w:val="clear" w:color="auto" w:fill="auto"/>
          <w:vAlign w:val="center"/>
        </w:tcPr>
        <w:p w:rsidRPr="00CB411D" w:rsidR="00E75AAF" w:rsidP="00DB7E49" w:rsidRDefault="00E75AAF" w14:paraId="70625A88" w14:textId="385C6C99">
          <w:pPr>
            <w:pStyle w:val="Tabulkatext"/>
            <w:ind w:left="0" w:firstLine="656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:rsidRPr="00CB411D" w:rsidR="00E75AAF" w:rsidP="00E75AAF" w:rsidRDefault="00E75AAF" w14:paraId="08380EE4" w14:textId="5AB02D1F">
          <w:pPr>
            <w:pStyle w:val="Tabulkatext"/>
            <w:jc w:val="right"/>
            <w:rPr>
              <w:rFonts w:ascii="Arial" w:hAnsi="Arial" w:cs="Arial"/>
            </w:rPr>
          </w:pPr>
          <w:r w:rsidRPr="00CB411D">
            <w:rPr>
              <w:rFonts w:ascii="Arial" w:hAnsi="Arial" w:cs="Arial"/>
            </w:rPr>
            <w:t xml:space="preserve">Strana: </w:t>
          </w:r>
          <w:r w:rsidRPr="00CB411D">
            <w:rPr>
              <w:rFonts w:ascii="Arial" w:hAnsi="Arial" w:cs="Arial"/>
            </w:rPr>
            <w:fldChar w:fldCharType="begin"/>
          </w:r>
          <w:r w:rsidRPr="00CB411D">
            <w:rPr>
              <w:rFonts w:ascii="Arial" w:hAnsi="Arial" w:cs="Arial"/>
            </w:rPr>
            <w:instrText xml:space="preserve"> PAGE   \* MERGEFORMAT </w:instrText>
          </w:r>
          <w:r w:rsidRPr="00CB411D">
            <w:rPr>
              <w:rFonts w:ascii="Arial" w:hAnsi="Arial" w:cs="Arial"/>
            </w:rPr>
            <w:fldChar w:fldCharType="separate"/>
          </w:r>
          <w:r w:rsidR="00EE433B">
            <w:rPr>
              <w:rFonts w:ascii="Arial" w:hAnsi="Arial" w:cs="Arial"/>
              <w:noProof/>
            </w:rPr>
            <w:t>8</w:t>
          </w:r>
          <w:r w:rsidRPr="00CB411D">
            <w:rPr>
              <w:rFonts w:ascii="Arial" w:hAnsi="Arial" w:cs="Arial"/>
            </w:rPr>
            <w:fldChar w:fldCharType="end"/>
          </w:r>
          <w:r w:rsidRPr="00CB411D">
            <w:rPr>
              <w:rFonts w:ascii="Arial" w:hAnsi="Arial" w:cs="Arial"/>
            </w:rPr>
            <w:t xml:space="preserve"> z </w:t>
          </w:r>
          <w:r w:rsidRPr="00CB411D">
            <w:rPr>
              <w:rFonts w:ascii="Arial" w:hAnsi="Arial" w:cs="Arial"/>
            </w:rPr>
            <w:fldChar w:fldCharType="begin"/>
          </w:r>
          <w:r w:rsidRPr="00CB411D">
            <w:rPr>
              <w:rFonts w:ascii="Arial" w:hAnsi="Arial" w:cs="Arial"/>
            </w:rPr>
            <w:instrText xml:space="preserve"> NUMPAGES   \* MERGEFORMAT </w:instrText>
          </w:r>
          <w:r w:rsidRPr="00CB411D">
            <w:rPr>
              <w:rFonts w:ascii="Arial" w:hAnsi="Arial" w:cs="Arial"/>
            </w:rPr>
            <w:fldChar w:fldCharType="separate"/>
          </w:r>
          <w:r w:rsidR="00EE433B">
            <w:rPr>
              <w:rFonts w:ascii="Arial" w:hAnsi="Arial" w:cs="Arial"/>
              <w:noProof/>
            </w:rPr>
            <w:t>18</w:t>
          </w:r>
          <w:r w:rsidRPr="00CB411D">
            <w:rPr>
              <w:rFonts w:ascii="Arial" w:hAnsi="Arial" w:cs="Arial"/>
              <w:noProof/>
            </w:rPr>
            <w:fldChar w:fldCharType="end"/>
          </w:r>
        </w:p>
      </w:tc>
    </w:tr>
  </w:tbl>
  <w:p w:rsidR="00AE11AE" w:rsidRDefault="00AE11AE" w14:paraId="79C69257" w14:textId="578CE21F">
    <w:pPr>
      <w:pStyle w:val="Zpat"/>
    </w:pPr>
  </w:p>
  <w:p w:rsidR="00AE11AE" w:rsidRDefault="00AE11AE" w14:paraId="166E915B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5578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374"/>
      <w:gridCol w:w="3373"/>
      <w:gridCol w:w="3371"/>
    </w:tblGrid>
    <w:tr w:rsidRPr="00767B2B" w:rsidR="00214B9A" w:rsidTr="00214B9A" w14:paraId="3A3279E5" w14:textId="4E2A53DC">
      <w:trPr>
        <w:trHeight w:val="1418"/>
      </w:trPr>
      <w:tc>
        <w:tcPr>
          <w:tcW w:w="1667" w:type="pct"/>
          <w:shd w:val="clear" w:color="auto" w:fill="auto"/>
          <w:vAlign w:val="center"/>
        </w:tcPr>
        <w:p w:rsidRPr="00767B2B" w:rsidR="00214B9A" w:rsidP="00214B9A" w:rsidRDefault="00214B9A" w14:paraId="26F5E6E6" w14:textId="77777777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5. 2020</w:t>
          </w:r>
        </w:p>
      </w:tc>
      <w:tc>
        <w:tcPr>
          <w:tcW w:w="1667" w:type="pct"/>
          <w:shd w:val="clear" w:color="auto" w:fill="auto"/>
          <w:vAlign w:val="center"/>
        </w:tcPr>
        <w:p w:rsidRPr="00767B2B" w:rsidR="00214B9A" w:rsidP="00214B9A" w:rsidRDefault="00214B9A" w14:paraId="42A7CB63" w14:textId="1DF8FEC5">
          <w:pPr>
            <w:pStyle w:val="Tabulkatext"/>
            <w:jc w:val="center"/>
            <w:rPr>
              <w:rFonts w:ascii="Arial" w:hAnsi="Arial" w:cs="Arial"/>
            </w:rPr>
          </w:pPr>
          <w:r w:rsidRPr="00767B2B">
            <w:rPr>
              <w:rFonts w:ascii="Arial" w:hAnsi="Arial" w:cs="Arial"/>
              <w:szCs w:val="20"/>
            </w:rPr>
            <w:t xml:space="preserve">Příloha č. </w:t>
          </w:r>
          <w:r w:rsidR="00737D68">
            <w:rPr>
              <w:rFonts w:ascii="Arial" w:hAnsi="Arial" w:cs="Arial"/>
              <w:szCs w:val="20"/>
            </w:rPr>
            <w:t>26</w:t>
          </w:r>
          <w:r w:rsidRPr="00767B2B">
            <w:rPr>
              <w:rFonts w:ascii="Arial" w:hAnsi="Arial" w:cs="Arial"/>
              <w:szCs w:val="20"/>
            </w:rPr>
            <w:t xml:space="preserve"> PP 17.</w:t>
          </w:r>
          <w:r w:rsidR="00737D68">
            <w:rPr>
              <w:rFonts w:ascii="Arial" w:hAnsi="Arial" w:cs="Arial"/>
              <w:szCs w:val="20"/>
            </w:rPr>
            <w:t>E</w:t>
          </w:r>
          <w:r>
            <w:rPr>
              <w:rFonts w:ascii="Arial" w:hAnsi="Arial" w:cs="Arial"/>
              <w:szCs w:val="20"/>
            </w:rPr>
            <w:t xml:space="preserve"> </w:t>
          </w:r>
        </w:p>
      </w:tc>
      <w:tc>
        <w:tcPr>
          <w:tcW w:w="1666" w:type="pct"/>
          <w:vAlign w:val="center"/>
        </w:tcPr>
        <w:p w:rsidRPr="00767B2B" w:rsidR="00214B9A" w:rsidP="00214B9A" w:rsidRDefault="00214B9A" w14:paraId="48DFFC22" w14:textId="20E83853">
          <w:pPr>
            <w:pStyle w:val="Tabulkatext"/>
            <w:jc w:val="center"/>
            <w:rPr>
              <w:rFonts w:ascii="Arial" w:hAnsi="Arial" w:cs="Arial"/>
              <w:szCs w:val="20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2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:rsidRPr="003D7881" w:rsidR="00440794" w:rsidP="003D7881" w:rsidRDefault="00440794" w14:paraId="2D0D74F8" w14:textId="399BBEDD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A63381" w:rsidP="00A63381" w:rsidRDefault="00A63381" w14:paraId="1B4E33F3" w14:textId="77777777">
      <w:pPr>
        <w:spacing w:after="0" w:line="240" w:lineRule="auto"/>
      </w:pPr>
      <w:r>
        <w:separator/>
      </w:r>
    </w:p>
  </w:footnote>
  <w:footnote w:type="continuationSeparator" w:id="0">
    <w:p w:rsidR="00A63381" w:rsidP="00A63381" w:rsidRDefault="00A63381" w14:paraId="02E2E92E" w14:textId="77777777">
      <w:pPr>
        <w:spacing w:after="0" w:line="240" w:lineRule="auto"/>
      </w:pPr>
      <w:r>
        <w:continuationSeparator/>
      </w:r>
    </w:p>
  </w:footnote>
  <w:footnote w:id="1">
    <w:p w:rsidRPr="00412BF5" w:rsidR="00737D68" w:rsidP="00412BF5" w:rsidRDefault="00737D68" w14:paraId="62913F53" w14:textId="77777777">
      <w:pPr>
        <w:pStyle w:val="Textpoznpodarou"/>
        <w:tabs>
          <w:tab w:val="left" w:pos="-1701"/>
        </w:tabs>
        <w:jc w:val="both"/>
        <w:rPr>
          <w:rFonts w:ascii="Arial" w:hAnsi="Arial" w:cs="Arial"/>
          <w:sz w:val="18"/>
          <w:szCs w:val="18"/>
        </w:rPr>
      </w:pPr>
      <w:r w:rsidRPr="00412BF5">
        <w:rPr>
          <w:rStyle w:val="Znakapoznpodarou"/>
          <w:rFonts w:ascii="Arial" w:hAnsi="Arial" w:eastAsia="Times New Roman" w:cs="Arial"/>
          <w:sz w:val="18"/>
          <w:szCs w:val="18"/>
        </w:rPr>
        <w:footnoteRef/>
      </w:r>
      <w:r w:rsidRPr="00412BF5">
        <w:rPr>
          <w:rFonts w:ascii="Arial" w:hAnsi="Arial" w:cs="Arial"/>
          <w:sz w:val="18"/>
          <w:szCs w:val="18"/>
        </w:rPr>
        <w:t xml:space="preserve"> Vzor je aplikací současně platných a účinných právních předpisů a může být upraven v souvislosti s jejich novelizacemi. Tato a všechny následující poznámky pod čarou slouží pouze jako pomůcka určená poskytovateli při vypracování právního aktu o poskytnutí dotace. Samotný právní akt o poskytnutí podpory je nebude obsahovat.</w:t>
      </w:r>
    </w:p>
  </w:footnote>
  <w:footnote w:id="2">
    <w:p w:rsidRPr="00412BF5" w:rsidR="00737D68" w:rsidP="00412BF5" w:rsidRDefault="00737D68" w14:paraId="793748C9" w14:textId="77777777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12BF5">
        <w:rPr>
          <w:rStyle w:val="Znakapoznpodarou"/>
          <w:rFonts w:ascii="Arial" w:hAnsi="Arial" w:cs="Arial"/>
          <w:sz w:val="18"/>
          <w:szCs w:val="18"/>
        </w:rPr>
        <w:footnoteRef/>
      </w:r>
      <w:r w:rsidRPr="00412BF5">
        <w:rPr>
          <w:rFonts w:ascii="Arial" w:hAnsi="Arial" w:cs="Arial"/>
          <w:sz w:val="18"/>
          <w:szCs w:val="18"/>
        </w:rPr>
        <w:t xml:space="preserve"> Číslo je ve tvaru OPZ/</w:t>
      </w:r>
      <w:proofErr w:type="spellStart"/>
      <w:r w:rsidRPr="00412BF5">
        <w:rPr>
          <w:rFonts w:ascii="Arial" w:hAnsi="Arial" w:cs="Arial"/>
          <w:sz w:val="18"/>
          <w:szCs w:val="18"/>
        </w:rPr>
        <w:t>aa</w:t>
      </w:r>
      <w:proofErr w:type="spellEnd"/>
      <w:r w:rsidRPr="00412BF5">
        <w:rPr>
          <w:rFonts w:ascii="Arial" w:hAnsi="Arial" w:cs="Arial"/>
          <w:sz w:val="18"/>
          <w:szCs w:val="18"/>
        </w:rPr>
        <w:t>/</w:t>
      </w:r>
      <w:proofErr w:type="spellStart"/>
      <w:r w:rsidRPr="00412BF5">
        <w:rPr>
          <w:rFonts w:ascii="Arial" w:hAnsi="Arial" w:cs="Arial"/>
          <w:sz w:val="18"/>
          <w:szCs w:val="18"/>
        </w:rPr>
        <w:t>bbb</w:t>
      </w:r>
      <w:proofErr w:type="spellEnd"/>
      <w:r w:rsidRPr="00412BF5">
        <w:rPr>
          <w:rFonts w:ascii="Arial" w:hAnsi="Arial" w:cs="Arial"/>
          <w:sz w:val="18"/>
          <w:szCs w:val="18"/>
        </w:rPr>
        <w:t>/</w:t>
      </w:r>
      <w:proofErr w:type="spellStart"/>
      <w:r w:rsidRPr="00412BF5">
        <w:rPr>
          <w:rFonts w:ascii="Arial" w:hAnsi="Arial" w:cs="Arial"/>
          <w:sz w:val="18"/>
          <w:szCs w:val="18"/>
        </w:rPr>
        <w:t>xxxxxxx</w:t>
      </w:r>
      <w:proofErr w:type="spellEnd"/>
      <w:r w:rsidRPr="00412BF5">
        <w:rPr>
          <w:rFonts w:ascii="Arial" w:hAnsi="Arial" w:cs="Arial"/>
          <w:sz w:val="18"/>
          <w:szCs w:val="18"/>
        </w:rPr>
        <w:t xml:space="preserve">, kde </w:t>
      </w:r>
      <w:proofErr w:type="spellStart"/>
      <w:r w:rsidRPr="00412BF5">
        <w:rPr>
          <w:rFonts w:ascii="Arial" w:hAnsi="Arial" w:cs="Arial"/>
          <w:sz w:val="18"/>
          <w:szCs w:val="18"/>
        </w:rPr>
        <w:t>aa</w:t>
      </w:r>
      <w:proofErr w:type="spellEnd"/>
      <w:r w:rsidRPr="00412BF5">
        <w:rPr>
          <w:rFonts w:ascii="Arial" w:hAnsi="Arial" w:cs="Arial"/>
          <w:sz w:val="18"/>
          <w:szCs w:val="18"/>
        </w:rPr>
        <w:t xml:space="preserve"> představuje investiční prioritu, </w:t>
      </w:r>
      <w:proofErr w:type="spellStart"/>
      <w:r w:rsidRPr="00412BF5">
        <w:rPr>
          <w:rFonts w:ascii="Arial" w:hAnsi="Arial" w:cs="Arial"/>
          <w:sz w:val="18"/>
          <w:szCs w:val="18"/>
        </w:rPr>
        <w:t>bbb</w:t>
      </w:r>
      <w:proofErr w:type="spellEnd"/>
      <w:r w:rsidRPr="00412BF5">
        <w:rPr>
          <w:rFonts w:ascii="Arial" w:hAnsi="Arial" w:cs="Arial"/>
          <w:sz w:val="18"/>
          <w:szCs w:val="18"/>
        </w:rPr>
        <w:t xml:space="preserve"> poslední trojčíslí z čísla výzvy a </w:t>
      </w:r>
      <w:proofErr w:type="spellStart"/>
      <w:r w:rsidRPr="00412BF5">
        <w:rPr>
          <w:rFonts w:ascii="Arial" w:hAnsi="Arial" w:cs="Arial"/>
          <w:sz w:val="18"/>
          <w:szCs w:val="18"/>
        </w:rPr>
        <w:t>xxxxxxx</w:t>
      </w:r>
      <w:proofErr w:type="spellEnd"/>
      <w:r w:rsidRPr="00412BF5">
        <w:rPr>
          <w:rFonts w:ascii="Arial" w:hAnsi="Arial" w:cs="Arial"/>
          <w:sz w:val="18"/>
          <w:szCs w:val="18"/>
        </w:rPr>
        <w:t xml:space="preserve"> poslední část registračního čísla projektu.</w:t>
      </w:r>
    </w:p>
  </w:footnote>
  <w:footnote w:id="3">
    <w:p w:rsidRPr="00412BF5" w:rsidR="00737D68" w:rsidP="00412BF5" w:rsidRDefault="00737D68" w14:paraId="58F04DF7" w14:textId="77777777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12BF5">
        <w:rPr>
          <w:rStyle w:val="Znakapoznpodarou"/>
          <w:rFonts w:ascii="Arial" w:hAnsi="Arial" w:cs="Arial"/>
          <w:sz w:val="18"/>
          <w:szCs w:val="18"/>
        </w:rPr>
        <w:footnoteRef/>
      </w:r>
      <w:r w:rsidRPr="00412BF5">
        <w:rPr>
          <w:rFonts w:ascii="Arial" w:hAnsi="Arial" w:cs="Arial"/>
          <w:sz w:val="18"/>
          <w:szCs w:val="18"/>
        </w:rPr>
        <w:t xml:space="preserve"> Datum podpisu žádosti o podporu, poslední verze před vydáním právního aktu.</w:t>
      </w:r>
    </w:p>
  </w:footnote>
  <w:footnote w:id="4">
    <w:p w:rsidRPr="00052F40" w:rsidR="00737D68" w:rsidP="00412BF5" w:rsidRDefault="00737D68" w14:paraId="15EBDBD1" w14:textId="77777777">
      <w:pPr>
        <w:pStyle w:val="Textpoznpodarou"/>
        <w:tabs>
          <w:tab w:val="left" w:pos="0"/>
        </w:tabs>
        <w:jc w:val="both"/>
        <w:rPr>
          <w:rFonts w:cs="Arial"/>
          <w:szCs w:val="18"/>
        </w:rPr>
      </w:pPr>
      <w:r w:rsidRPr="00412BF5">
        <w:rPr>
          <w:rStyle w:val="Znakapoznpodarou"/>
          <w:rFonts w:ascii="Arial" w:hAnsi="Arial" w:eastAsia="Times New Roman" w:cs="Arial"/>
          <w:sz w:val="18"/>
          <w:szCs w:val="18"/>
        </w:rPr>
        <w:footnoteRef/>
      </w:r>
      <w:r w:rsidRPr="00412BF5">
        <w:rPr>
          <w:rFonts w:ascii="Arial" w:hAnsi="Arial" w:cs="Arial"/>
          <w:sz w:val="18"/>
          <w:szCs w:val="18"/>
        </w:rPr>
        <w:t xml:space="preserve"> Části textu podbarvené šedě znamenají podle kontextu nutnost doplnit požadované údaje, možnost doplnit jiný text (např. označen poskytovatele) nebo možnost nepoužít některá z ustanovení (ta, která nejsou v daném projektu relevantní.</w:t>
      </w:r>
      <w:bookmarkStart w:name="_GoBack" w:id="0"/>
      <w:bookmarkEnd w:id="0"/>
    </w:p>
  </w:footnote>
  <w:footnote w:id="5">
    <w:p w:rsidRPr="00412BF5" w:rsidR="00737D68" w:rsidP="00737D68" w:rsidRDefault="00737D68" w14:paraId="145CA7A9" w14:textId="77777777">
      <w:pPr>
        <w:pStyle w:val="Textpoznpodarou"/>
        <w:rPr>
          <w:rFonts w:ascii="Arial" w:hAnsi="Arial" w:cs="Arial"/>
          <w:sz w:val="18"/>
          <w:szCs w:val="18"/>
        </w:rPr>
      </w:pPr>
      <w:r w:rsidRPr="00412BF5">
        <w:rPr>
          <w:rStyle w:val="Znakapoznpodarou"/>
          <w:rFonts w:ascii="Arial" w:hAnsi="Arial" w:cs="Arial"/>
          <w:sz w:val="18"/>
          <w:szCs w:val="18"/>
        </w:rPr>
        <w:footnoteRef/>
      </w:r>
      <w:r w:rsidRPr="00412BF5">
        <w:rPr>
          <w:rFonts w:ascii="Arial" w:hAnsi="Arial" w:cs="Arial"/>
          <w:sz w:val="18"/>
          <w:szCs w:val="18"/>
        </w:rPr>
        <w:t xml:space="preserve"> Zvolte variantu.</w:t>
      </w:r>
    </w:p>
  </w:footnote>
  <w:footnote w:id="6">
    <w:p w:rsidRPr="00412BF5" w:rsidR="00737D68" w:rsidP="00737D68" w:rsidRDefault="00737D68" w14:paraId="4198C3DA" w14:textId="77777777">
      <w:pPr>
        <w:pStyle w:val="Textpoznpodarou"/>
        <w:tabs>
          <w:tab w:val="left" w:pos="180"/>
        </w:tabs>
        <w:ind w:left="181" w:hanging="181"/>
        <w:rPr>
          <w:rFonts w:ascii="Arial" w:hAnsi="Arial" w:cs="Arial"/>
          <w:sz w:val="18"/>
          <w:szCs w:val="18"/>
        </w:rPr>
      </w:pPr>
      <w:r w:rsidRPr="00412BF5">
        <w:rPr>
          <w:rStyle w:val="Znakapoznpodarou"/>
          <w:rFonts w:ascii="Arial" w:hAnsi="Arial" w:eastAsia="Times New Roman" w:cs="Arial"/>
          <w:sz w:val="18"/>
          <w:szCs w:val="18"/>
        </w:rPr>
        <w:footnoteRef/>
      </w:r>
      <w:r w:rsidRPr="00412BF5">
        <w:rPr>
          <w:rFonts w:ascii="Arial" w:hAnsi="Arial" w:cs="Arial"/>
          <w:sz w:val="18"/>
          <w:szCs w:val="18"/>
        </w:rPr>
        <w:t xml:space="preserve"> Případně podle zvláštního zákona, pokud zvláštní zákon obsahuje vlastní úpravu vypořádání.</w:t>
      </w:r>
    </w:p>
  </w:footnote>
  <w:footnote w:id="7">
    <w:p w:rsidRPr="00412BF5" w:rsidR="00737D68" w:rsidP="00412BF5" w:rsidRDefault="00737D68" w14:paraId="1C9E6AA6" w14:textId="77777777">
      <w:pPr>
        <w:pStyle w:val="Textpoznpodarou"/>
        <w:tabs>
          <w:tab w:val="left" w:pos="-5103"/>
        </w:tabs>
        <w:jc w:val="both"/>
        <w:rPr>
          <w:rFonts w:ascii="Arial" w:hAnsi="Arial" w:cs="Arial"/>
          <w:sz w:val="18"/>
          <w:szCs w:val="18"/>
        </w:rPr>
      </w:pPr>
      <w:r w:rsidRPr="00412BF5">
        <w:rPr>
          <w:rStyle w:val="Znakapoznpodarou"/>
          <w:rFonts w:ascii="Arial" w:hAnsi="Arial" w:eastAsia="Times New Roman" w:cs="Arial"/>
          <w:sz w:val="18"/>
          <w:szCs w:val="18"/>
        </w:rPr>
        <w:footnoteRef/>
      </w:r>
      <w:r w:rsidRPr="00412BF5">
        <w:rPr>
          <w:rFonts w:ascii="Arial" w:hAnsi="Arial" w:cs="Arial"/>
          <w:sz w:val="18"/>
          <w:szCs w:val="18"/>
        </w:rPr>
        <w:t xml:space="preserve"> § 44a odstavec 11 zákona č. 218/2000 Sb., o rozpočtových pravidlech, stanovuje, že odvod a penále lze vyměřit do 10 let od 1. ledna roku následujícího po roce, v němž došlo k porušení rozpočtové kázně. Po tuto dobu by měly</w:t>
      </w:r>
      <w:r w:rsidRPr="00052F40">
        <w:rPr>
          <w:rFonts w:cs="Arial"/>
        </w:rPr>
        <w:t xml:space="preserve"> </w:t>
      </w:r>
      <w:r w:rsidRPr="00412BF5">
        <w:rPr>
          <w:rFonts w:ascii="Arial" w:hAnsi="Arial" w:cs="Arial"/>
          <w:sz w:val="18"/>
          <w:szCs w:val="18"/>
        </w:rPr>
        <w:t>být dokumenty archivovány. Pokud příjemce neprokáže, jak byly prostředky použity, je to považováno za neoprávněné použití peněžních prostředků dle § 3 písm. e) zákona č. 218/2000 Sb., o rozpočtových pravidlech.</w:t>
      </w:r>
    </w:p>
  </w:footnote>
  <w:footnote w:id="8">
    <w:p w:rsidRPr="00052F40" w:rsidR="00737D68" w:rsidP="00737D68" w:rsidRDefault="00737D68" w14:paraId="046E1DBA" w14:textId="77777777">
      <w:pPr>
        <w:pStyle w:val="Textpoznpodarou"/>
        <w:tabs>
          <w:tab w:val="left" w:pos="-2127"/>
        </w:tabs>
        <w:rPr>
          <w:rFonts w:cs="Arial"/>
        </w:rPr>
      </w:pPr>
      <w:r w:rsidRPr="00412BF5">
        <w:rPr>
          <w:rStyle w:val="Znakapoznpodarou"/>
          <w:rFonts w:ascii="Arial" w:hAnsi="Arial" w:eastAsia="Times New Roman" w:cs="Arial"/>
          <w:sz w:val="18"/>
          <w:szCs w:val="18"/>
        </w:rPr>
        <w:footnoteRef/>
      </w:r>
      <w:r w:rsidRPr="00412BF5">
        <w:rPr>
          <w:rFonts w:ascii="Arial" w:hAnsi="Arial" w:cs="Arial"/>
          <w:sz w:val="18"/>
          <w:szCs w:val="18"/>
        </w:rPr>
        <w:t xml:space="preserve"> Ustanovení se použije, pouze pokud má příjemce v projektu alespoň jednoho partnera s finančním příspěvkem.</w:t>
      </w:r>
    </w:p>
  </w:footnote>
  <w:footnote w:id="9">
    <w:p w:rsidRPr="00412BF5" w:rsidR="00737D68" w:rsidP="00412BF5" w:rsidRDefault="00737D68" w14:paraId="0F771D9F" w14:textId="77777777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12BF5">
        <w:rPr>
          <w:rStyle w:val="Znakapoznpodarou"/>
          <w:rFonts w:ascii="Arial" w:hAnsi="Arial" w:cs="Arial"/>
          <w:sz w:val="18"/>
          <w:szCs w:val="18"/>
        </w:rPr>
        <w:footnoteRef/>
      </w:r>
      <w:r w:rsidRPr="00412BF5">
        <w:rPr>
          <w:rFonts w:ascii="Arial" w:hAnsi="Arial" w:cs="Arial"/>
          <w:sz w:val="18"/>
          <w:szCs w:val="18"/>
        </w:rPr>
        <w:t xml:space="preserve"> Textaci je nutné upravit, pokud je s ohledem na zahájení realizace projektu před vydáním právního aktu nemožné dodržet standardní lhůty předložení zpráv.</w:t>
      </w:r>
    </w:p>
  </w:footnote>
  <w:footnote w:id="10">
    <w:p w:rsidRPr="00412BF5" w:rsidR="00737D68" w:rsidP="00737D68" w:rsidRDefault="00737D68" w14:paraId="67B82750" w14:textId="77777777">
      <w:pPr>
        <w:pStyle w:val="Textpoznpodarou"/>
        <w:rPr>
          <w:rFonts w:ascii="Arial" w:hAnsi="Arial" w:cs="Arial"/>
          <w:sz w:val="18"/>
          <w:szCs w:val="18"/>
        </w:rPr>
      </w:pPr>
      <w:r w:rsidRPr="00412BF5">
        <w:rPr>
          <w:rStyle w:val="Znakapoznpodarou"/>
          <w:rFonts w:ascii="Arial" w:hAnsi="Arial" w:cs="Arial"/>
          <w:sz w:val="18"/>
          <w:szCs w:val="18"/>
        </w:rPr>
        <w:footnoteRef/>
      </w:r>
      <w:r w:rsidRPr="00412BF5">
        <w:rPr>
          <w:rFonts w:ascii="Arial" w:hAnsi="Arial" w:cs="Arial"/>
          <w:sz w:val="18"/>
          <w:szCs w:val="18"/>
        </w:rPr>
        <w:t xml:space="preserve"> Procentuální vyjádření je potřeba pouze u podpor v režimu blokové výjimky.</w:t>
      </w:r>
    </w:p>
  </w:footnote>
  <w:footnote w:id="11">
    <w:p w:rsidRPr="00412BF5" w:rsidR="00737D68" w:rsidP="00737D68" w:rsidRDefault="00737D68" w14:paraId="1EC91E01" w14:textId="77777777">
      <w:pPr>
        <w:pStyle w:val="Textpoznpodarou"/>
        <w:rPr>
          <w:rFonts w:ascii="Arial" w:hAnsi="Arial" w:cs="Arial"/>
          <w:sz w:val="18"/>
          <w:szCs w:val="18"/>
        </w:rPr>
      </w:pPr>
      <w:r w:rsidRPr="00412BF5">
        <w:rPr>
          <w:rStyle w:val="Znakapoznpodarou"/>
          <w:rFonts w:ascii="Arial" w:hAnsi="Arial" w:cs="Arial"/>
          <w:sz w:val="18"/>
          <w:szCs w:val="18"/>
        </w:rPr>
        <w:footnoteRef/>
      </w:r>
      <w:r w:rsidRPr="00412BF5">
        <w:rPr>
          <w:rFonts w:ascii="Arial" w:hAnsi="Arial" w:cs="Arial"/>
          <w:sz w:val="18"/>
          <w:szCs w:val="18"/>
        </w:rPr>
        <w:t xml:space="preserve"> Procentuální vyjádření je potřeba pouze u podpor v režimu blokové výjimky.</w:t>
      </w:r>
    </w:p>
  </w:footnote>
  <w:footnote w:id="12">
    <w:p w:rsidRPr="00412BF5" w:rsidR="00737D68" w:rsidP="00737D68" w:rsidRDefault="00737D68" w14:paraId="2490BC18" w14:textId="77777777">
      <w:pPr>
        <w:pStyle w:val="Textpoznpodarou"/>
        <w:rPr>
          <w:rFonts w:ascii="Arial" w:hAnsi="Arial" w:cs="Arial"/>
          <w:sz w:val="18"/>
          <w:szCs w:val="18"/>
        </w:rPr>
      </w:pPr>
      <w:r w:rsidRPr="00412BF5">
        <w:rPr>
          <w:rStyle w:val="Znakapoznpodarou"/>
          <w:rFonts w:ascii="Arial" w:hAnsi="Arial" w:cs="Arial"/>
          <w:sz w:val="18"/>
          <w:szCs w:val="18"/>
        </w:rPr>
        <w:footnoteRef/>
      </w:r>
      <w:r w:rsidRPr="00412BF5">
        <w:rPr>
          <w:rFonts w:ascii="Arial" w:hAnsi="Arial" w:cs="Arial"/>
          <w:sz w:val="18"/>
          <w:szCs w:val="18"/>
        </w:rPr>
        <w:t xml:space="preserve"> Procentuální vyjádření je potřeba pouze u podpor v režimu blokové výjimky.</w:t>
      </w:r>
    </w:p>
  </w:footnote>
  <w:footnote w:id="13">
    <w:p w:rsidRPr="00412BF5" w:rsidR="00737D68" w:rsidP="00737D68" w:rsidRDefault="00737D68" w14:paraId="5F8CB33E" w14:textId="77777777">
      <w:pPr>
        <w:pStyle w:val="Textpoznpodarou"/>
        <w:rPr>
          <w:rFonts w:ascii="Arial" w:hAnsi="Arial" w:cs="Arial"/>
          <w:sz w:val="18"/>
          <w:szCs w:val="18"/>
        </w:rPr>
      </w:pPr>
      <w:r w:rsidRPr="00412BF5">
        <w:rPr>
          <w:rStyle w:val="Znakapoznpodarou"/>
          <w:rFonts w:ascii="Arial" w:hAnsi="Arial" w:cs="Arial"/>
          <w:sz w:val="18"/>
          <w:szCs w:val="18"/>
        </w:rPr>
        <w:footnoteRef/>
      </w:r>
      <w:r w:rsidRPr="00412BF5">
        <w:rPr>
          <w:rFonts w:ascii="Arial" w:hAnsi="Arial" w:cs="Arial"/>
          <w:sz w:val="18"/>
          <w:szCs w:val="18"/>
        </w:rPr>
        <w:t xml:space="preserve"> Procentuální vyjádření je potřeba pouze u podpor v režimu blokové výjimky.</w:t>
      </w:r>
    </w:p>
  </w:footnote>
  <w:footnote w:id="14">
    <w:p w:rsidR="00737D68" w:rsidP="00737D68" w:rsidRDefault="00737D68" w14:paraId="33C53926" w14:textId="77777777">
      <w:pPr>
        <w:pStyle w:val="Textpoznpodarou"/>
      </w:pPr>
      <w:r w:rsidRPr="00412BF5">
        <w:rPr>
          <w:rStyle w:val="Znakapoznpodarou"/>
          <w:rFonts w:ascii="Arial" w:hAnsi="Arial" w:cs="Arial"/>
          <w:sz w:val="18"/>
          <w:szCs w:val="18"/>
        </w:rPr>
        <w:footnoteRef/>
      </w:r>
      <w:r w:rsidRPr="00412BF5">
        <w:rPr>
          <w:rFonts w:ascii="Arial" w:hAnsi="Arial" w:cs="Arial"/>
          <w:sz w:val="18"/>
          <w:szCs w:val="18"/>
        </w:rPr>
        <w:t xml:space="preserve"> E</w:t>
      </w:r>
      <w:r w:rsidRPr="00412BF5">
        <w:rPr>
          <w:rFonts w:ascii="Arial" w:hAnsi="Arial" w:cs="Arial"/>
          <w:snapToGrid w:val="false"/>
          <w:sz w:val="18"/>
          <w:szCs w:val="18"/>
        </w:rPr>
        <w:t>xistence veřejné podpory bude posouzena při zapojení subjektu do realizace projektu.</w:t>
      </w:r>
    </w:p>
  </w:footnote>
  <w:footnote w:id="15">
    <w:p w:rsidRPr="00412BF5" w:rsidR="00737D68" w:rsidP="00412BF5" w:rsidRDefault="00737D68" w14:paraId="302E48AA" w14:textId="77777777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12BF5">
        <w:rPr>
          <w:rStyle w:val="Znakapoznpodarou"/>
          <w:rFonts w:ascii="Arial" w:hAnsi="Arial" w:cs="Arial"/>
          <w:sz w:val="18"/>
          <w:szCs w:val="18"/>
        </w:rPr>
        <w:footnoteRef/>
      </w:r>
      <w:r w:rsidRPr="00412BF5">
        <w:rPr>
          <w:rFonts w:ascii="Arial" w:hAnsi="Arial" w:cs="Arial"/>
          <w:sz w:val="18"/>
          <w:szCs w:val="18"/>
        </w:rPr>
        <w:t xml:space="preserve"> Procentuální vyjádření je potřeba pouze u podpor v režimu blokové výjimky.</w:t>
      </w:r>
    </w:p>
  </w:footnote>
  <w:footnote w:id="16">
    <w:p w:rsidR="00737D68" w:rsidP="00412BF5" w:rsidRDefault="00737D68" w14:paraId="7AA65DC6" w14:textId="77777777">
      <w:pPr>
        <w:pStyle w:val="Textpoznpodarou"/>
        <w:jc w:val="both"/>
      </w:pPr>
      <w:r w:rsidRPr="00412BF5">
        <w:rPr>
          <w:rStyle w:val="Znakapoznpodarou"/>
          <w:rFonts w:ascii="Arial" w:hAnsi="Arial" w:cs="Arial"/>
          <w:sz w:val="18"/>
          <w:szCs w:val="18"/>
        </w:rPr>
        <w:footnoteRef/>
      </w:r>
      <w:r w:rsidRPr="00412BF5">
        <w:rPr>
          <w:rFonts w:ascii="Arial" w:hAnsi="Arial" w:cs="Arial"/>
          <w:sz w:val="18"/>
          <w:szCs w:val="18"/>
        </w:rPr>
        <w:t xml:space="preserve"> Body relevantní pouze pro projekty, u nichž nelze vyloučit poskytování veřejné podpory či podpory de minimis dalším subjektům (mimo příjemce dotace a partnera s finančním příspěvkem).</w:t>
      </w:r>
    </w:p>
  </w:footnote>
  <w:footnote w:id="17">
    <w:p w:rsidRPr="00412BF5" w:rsidR="00737D68" w:rsidP="00412BF5" w:rsidRDefault="00737D68" w14:paraId="5B6861B9" w14:textId="77777777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12BF5">
        <w:rPr>
          <w:rStyle w:val="Znakapoznpodarou"/>
          <w:rFonts w:ascii="Arial" w:hAnsi="Arial" w:eastAsia="Times New Roman" w:cs="Arial"/>
          <w:sz w:val="18"/>
          <w:szCs w:val="18"/>
        </w:rPr>
        <w:footnoteRef/>
      </w:r>
      <w:r w:rsidRPr="00412BF5">
        <w:rPr>
          <w:rFonts w:ascii="Arial" w:hAnsi="Arial" w:cs="Arial"/>
          <w:sz w:val="18"/>
          <w:szCs w:val="18"/>
        </w:rPr>
        <w:t xml:space="preserve"> Poskytovatel dotace má podle § 14 odst. 5 zákona č. 218/2000 Sb. možnost v Rozhodnutí stanovit, že odvod za porušení rozpočtové kázně bude nižší, než je celková částka dotace. Výčet povinností, resp. podmínek, které lze takto označit, není obecně vymezen, a takový výčet je možné stanovit pouze na základě posouzení specifik jednotlivých operačních programů/projektů.</w:t>
      </w:r>
    </w:p>
  </w:footnote>
  <w:footnote w:id="18">
    <w:p w:rsidRPr="00412BF5" w:rsidR="00737D68" w:rsidP="00412BF5" w:rsidRDefault="00737D68" w14:paraId="4E79EC85" w14:textId="77777777">
      <w:pPr>
        <w:pStyle w:val="Textpoznpodarou"/>
        <w:tabs>
          <w:tab w:val="left" w:pos="-5103"/>
        </w:tabs>
        <w:jc w:val="both"/>
        <w:rPr>
          <w:rFonts w:ascii="Arial" w:hAnsi="Arial" w:cs="Arial"/>
          <w:sz w:val="18"/>
          <w:szCs w:val="18"/>
        </w:rPr>
      </w:pPr>
      <w:r w:rsidRPr="00412BF5">
        <w:rPr>
          <w:rStyle w:val="Znakapoznpodarou"/>
          <w:rFonts w:ascii="Arial" w:hAnsi="Arial" w:eastAsia="Times New Roman" w:cs="Arial"/>
          <w:sz w:val="18"/>
          <w:szCs w:val="18"/>
        </w:rPr>
        <w:footnoteRef/>
      </w:r>
      <w:r w:rsidRPr="00412BF5">
        <w:rPr>
          <w:rFonts w:ascii="Arial" w:hAnsi="Arial" w:cs="Arial"/>
          <w:sz w:val="18"/>
          <w:szCs w:val="18"/>
        </w:rPr>
        <w:t xml:space="preserve"> Podle § 14 odst. 4 písm. j) rozpočtových pravidel lze určit, že porušení některé z povinností stanovených v rozhodnutí o poskytnutí dotace nejsou porušením rozpočtové kázně. Takto ale nelze postupovat u povinností stanovených právními předpisy. </w:t>
      </w:r>
    </w:p>
  </w:footnote>
  <w:footnote w:id="19">
    <w:p w:rsidR="00737D68" w:rsidP="00412BF5" w:rsidRDefault="00737D68" w14:paraId="36737CE3" w14:textId="77777777">
      <w:pPr>
        <w:pStyle w:val="Textpoznpodarou"/>
        <w:jc w:val="both"/>
      </w:pPr>
      <w:r w:rsidRPr="00412BF5">
        <w:rPr>
          <w:rStyle w:val="Znakapoznpodarou"/>
          <w:rFonts w:ascii="Arial" w:hAnsi="Arial" w:cs="Arial"/>
          <w:sz w:val="18"/>
          <w:szCs w:val="18"/>
        </w:rPr>
        <w:footnoteRef/>
      </w:r>
      <w:r w:rsidRPr="00412BF5">
        <w:rPr>
          <w:rFonts w:ascii="Arial" w:hAnsi="Arial" w:cs="Arial"/>
          <w:sz w:val="18"/>
          <w:szCs w:val="18"/>
        </w:rPr>
        <w:t xml:space="preserve"> Relevantní pouze pro ex ante režim.</w:t>
      </w:r>
    </w:p>
  </w:footnote>
  <w:footnote w:id="20">
    <w:p w:rsidRPr="00412BF5" w:rsidR="00737D68" w:rsidP="00737D68" w:rsidRDefault="00737D68" w14:paraId="078AF0C0" w14:textId="77777777">
      <w:pPr>
        <w:pStyle w:val="Textpoznpodarou"/>
        <w:rPr>
          <w:rFonts w:ascii="Arial" w:hAnsi="Arial" w:cs="Arial"/>
          <w:sz w:val="18"/>
          <w:szCs w:val="18"/>
        </w:rPr>
      </w:pPr>
      <w:r w:rsidRPr="00412BF5">
        <w:rPr>
          <w:rStyle w:val="Znakapoznpodarou"/>
          <w:rFonts w:ascii="Arial" w:hAnsi="Arial" w:cs="Arial"/>
          <w:sz w:val="18"/>
          <w:szCs w:val="18"/>
        </w:rPr>
        <w:footnoteRef/>
      </w:r>
      <w:r w:rsidRPr="00412BF5">
        <w:rPr>
          <w:rFonts w:ascii="Arial" w:hAnsi="Arial" w:cs="Arial"/>
          <w:sz w:val="18"/>
          <w:szCs w:val="18"/>
        </w:rPr>
        <w:t xml:space="preserve"> Relevantní pouze pro projekty podpořené v kolových výzvách.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AE11AE" w:rsidRDefault="00AE11AE" w14:paraId="4159E52B" w14:textId="6E011E63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1AE" w:rsidRDefault="00AE11AE" w14:paraId="74700875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3D7881" w:rsidRDefault="003D7881" w14:paraId="0D928989" w14:textId="4977D04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2" name="Obrázek 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59B477A"/>
    <w:multiLevelType w:val="multilevel"/>
    <w:tmpl w:val="6EA4F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D76CDA"/>
    <w:multiLevelType w:val="hybridMultilevel"/>
    <w:tmpl w:val="619C2F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">
    <w:nsid w:val="0E017C10"/>
    <w:multiLevelType w:val="multilevel"/>
    <w:tmpl w:val="D9AE8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26454C"/>
    <w:multiLevelType w:val="hybridMultilevel"/>
    <w:tmpl w:val="76B80A14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>
    <w:nsid w:val="14AD66E1"/>
    <w:multiLevelType w:val="hybridMultilevel"/>
    <w:tmpl w:val="A38A8744"/>
    <w:lvl w:ilvl="0" w:tplc="D5EC48A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4A046C"/>
    <w:multiLevelType w:val="hybridMultilevel"/>
    <w:tmpl w:val="3AF64ECC"/>
    <w:lvl w:ilvl="0" w:tplc="17569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960E36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1B31A26"/>
    <w:multiLevelType w:val="multilevel"/>
    <w:tmpl w:val="C2245E6E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4F81BD" w:themeColor="accent1"/>
        <w:sz w:val="2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hint="default" w:ascii="Symbol" w:hAnsi="Symbol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4F81BD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7337CB9"/>
    <w:multiLevelType w:val="hybridMultilevel"/>
    <w:tmpl w:val="7D26A47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8611862"/>
    <w:multiLevelType w:val="multilevel"/>
    <w:tmpl w:val="A7EEDA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0B8156E"/>
    <w:multiLevelType w:val="hybridMultilevel"/>
    <w:tmpl w:val="95AA2E42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true">
      <w:start w:val="1"/>
      <w:numFmt w:val="lowerRoman"/>
      <w:lvlText w:val="%3."/>
      <w:lvlJc w:val="right"/>
      <w:pPr>
        <w:ind w:left="2367" w:hanging="180"/>
      </w:pPr>
    </w:lvl>
    <w:lvl w:ilvl="3" w:tplc="0405000F" w:tentative="true">
      <w:start w:val="1"/>
      <w:numFmt w:val="decimal"/>
      <w:lvlText w:val="%4."/>
      <w:lvlJc w:val="left"/>
      <w:pPr>
        <w:ind w:left="3087" w:hanging="360"/>
      </w:pPr>
    </w:lvl>
    <w:lvl w:ilvl="4" w:tplc="04050019" w:tentative="true">
      <w:start w:val="1"/>
      <w:numFmt w:val="lowerLetter"/>
      <w:lvlText w:val="%5."/>
      <w:lvlJc w:val="left"/>
      <w:pPr>
        <w:ind w:left="3807" w:hanging="360"/>
      </w:pPr>
    </w:lvl>
    <w:lvl w:ilvl="5" w:tplc="0405001B" w:tentative="true">
      <w:start w:val="1"/>
      <w:numFmt w:val="lowerRoman"/>
      <w:lvlText w:val="%6."/>
      <w:lvlJc w:val="right"/>
      <w:pPr>
        <w:ind w:left="4527" w:hanging="180"/>
      </w:pPr>
    </w:lvl>
    <w:lvl w:ilvl="6" w:tplc="0405000F" w:tentative="true">
      <w:start w:val="1"/>
      <w:numFmt w:val="decimal"/>
      <w:lvlText w:val="%7."/>
      <w:lvlJc w:val="left"/>
      <w:pPr>
        <w:ind w:left="5247" w:hanging="360"/>
      </w:pPr>
    </w:lvl>
    <w:lvl w:ilvl="7" w:tplc="04050019" w:tentative="true">
      <w:start w:val="1"/>
      <w:numFmt w:val="lowerLetter"/>
      <w:lvlText w:val="%8."/>
      <w:lvlJc w:val="left"/>
      <w:pPr>
        <w:ind w:left="5967" w:hanging="360"/>
      </w:pPr>
    </w:lvl>
    <w:lvl w:ilvl="8" w:tplc="0405001B" w:tentative="true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45419C6"/>
    <w:multiLevelType w:val="hybridMultilevel"/>
    <w:tmpl w:val="142A09E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6E222C1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13">
    <w:nsid w:val="4ADE7B47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9107144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>
    <w:nsid w:val="689441C0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A07F56"/>
    <w:multiLevelType w:val="hybridMultilevel"/>
    <w:tmpl w:val="CA746B94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7">
    <w:nsid w:val="6B697312"/>
    <w:multiLevelType w:val="multilevel"/>
    <w:tmpl w:val="6EA4F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CD8795B"/>
    <w:multiLevelType w:val="multilevel"/>
    <w:tmpl w:val="BD0857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F4616BC"/>
    <w:multiLevelType w:val="multilevel"/>
    <w:tmpl w:val="93BE5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2BD0770"/>
    <w:multiLevelType w:val="multilevel"/>
    <w:tmpl w:val="DA323F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4C74680"/>
    <w:multiLevelType w:val="hybridMultilevel"/>
    <w:tmpl w:val="9D7C0FC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2">
    <w:nsid w:val="79E213DB"/>
    <w:multiLevelType w:val="multilevel"/>
    <w:tmpl w:val="D53AA016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auto"/>
        <w:sz w:val="22"/>
      </w:rPr>
    </w:lvl>
    <w:lvl w:ilvl="2"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hint="default" w:ascii="Times New Roman" w:hAnsi="Times New Roman" w:eastAsia="Times New Roman" w:cs="Times New Roman"/>
        <w:color w:val="auto"/>
      </w:rPr>
    </w:lvl>
    <w:lvl w:ilvl="3">
      <w:start w:val="20"/>
      <w:numFmt w:val="bullet"/>
      <w:lvlText w:val="-"/>
      <w:lvlJc w:val="left"/>
      <w:pPr>
        <w:tabs>
          <w:tab w:val="num" w:pos="1588"/>
        </w:tabs>
        <w:ind w:left="1588" w:hanging="397"/>
      </w:pPr>
      <w:rPr>
        <w:rFonts w:hint="default" w:ascii="Arial" w:hAnsi="Arial" w:eastAsia="Times New Roman" w:cs="Arial"/>
        <w:color w:val="4F81BD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21"/>
  </w:num>
  <w:num w:numId="5">
    <w:abstractNumId w:val="7"/>
  </w:num>
  <w:num w:numId="6">
    <w:abstractNumId w:val="3"/>
  </w:num>
  <w:num w:numId="7">
    <w:abstractNumId w:val="22"/>
  </w:num>
  <w:num w:numId="8">
    <w:abstractNumId w:val="0"/>
  </w:num>
  <w:num w:numId="9">
    <w:abstractNumId w:val="18"/>
  </w:num>
  <w:num w:numId="10">
    <w:abstractNumId w:val="9"/>
  </w:num>
  <w:num w:numId="11">
    <w:abstractNumId w:val="20"/>
  </w:num>
  <w:num w:numId="12">
    <w:abstractNumId w:val="8"/>
  </w:num>
  <w:num w:numId="13">
    <w:abstractNumId w:val="12"/>
  </w:num>
  <w:num w:numId="14">
    <w:abstractNumId w:val="15"/>
  </w:num>
  <w:num w:numId="15">
    <w:abstractNumId w:val="2"/>
  </w:num>
  <w:num w:numId="16">
    <w:abstractNumId w:val="17"/>
  </w:num>
  <w:num w:numId="17">
    <w:abstractNumId w:val="19"/>
  </w:num>
  <w:num w:numId="18">
    <w:abstractNumId w:val="13"/>
  </w:num>
  <w:num w:numId="19">
    <w:abstractNumId w:val="6"/>
  </w:num>
  <w:num w:numId="20">
    <w:abstractNumId w:val="4"/>
  </w:num>
  <w:num w:numId="21">
    <w:abstractNumId w:val="14"/>
  </w:num>
  <w:num w:numId="22">
    <w:abstractNumId w:val="5"/>
  </w:num>
  <w:num w:numId="23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1024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81"/>
    <w:rsid w:val="00214B9A"/>
    <w:rsid w:val="002333DA"/>
    <w:rsid w:val="003D7881"/>
    <w:rsid w:val="00412BF5"/>
    <w:rsid w:val="00440794"/>
    <w:rsid w:val="00737D68"/>
    <w:rsid w:val="00A45097"/>
    <w:rsid w:val="00A63381"/>
    <w:rsid w:val="00AE11AE"/>
    <w:rsid w:val="00C14712"/>
    <w:rsid w:val="00C31C70"/>
    <w:rsid w:val="00DB7E49"/>
    <w:rsid w:val="00E75AAF"/>
    <w:rsid w:val="00EE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41" v:ext="edit"/>
    <o:shapelayout v:ext="edit">
      <o:idmap data="1" v:ext="edit"/>
    </o:shapelayout>
  </w:shapeDefaults>
  <w:decimalSymbol w:val=","/>
  <w:listSeparator w:val=";"/>
  <w14:docId w14:val="65763BC9"/>
  <w15:docId w15:val="{2227A1DE-541A-499F-86E2-1ACE5EFF3C2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63381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63381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A6338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E11AE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AE11AE"/>
  </w:style>
  <w:style w:type="paragraph" w:styleId="Zpat">
    <w:name w:val="footer"/>
    <w:basedOn w:val="Normln"/>
    <w:link w:val="ZpatChar"/>
    <w:uiPriority w:val="99"/>
    <w:unhideWhenUsed/>
    <w:rsid w:val="00AE11AE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AE11AE"/>
  </w:style>
  <w:style w:type="paragraph" w:styleId="Textbubliny">
    <w:name w:val="Balloon Text"/>
    <w:basedOn w:val="Normln"/>
    <w:link w:val="TextbublinyChar"/>
    <w:uiPriority w:val="99"/>
    <w:semiHidden/>
    <w:unhideWhenUsed/>
    <w:rsid w:val="00AE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E11AE"/>
    <w:rPr>
      <w:rFonts w:ascii="Tahoma" w:hAnsi="Tahoma" w:cs="Tahoma"/>
      <w:sz w:val="16"/>
      <w:szCs w:val="16"/>
    </w:rPr>
  </w:style>
  <w:style w:type="paragraph" w:styleId="Tabulkatext" w:customStyle="true">
    <w:name w:val="Tabulka text"/>
    <w:link w:val="TabulkatextChar"/>
    <w:uiPriority w:val="6"/>
    <w:qFormat/>
    <w:rsid w:val="00AE11AE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E11AE"/>
    <w:rPr>
      <w:color w:val="080808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Mode="External" Target="http://ov.gov.cz" Type="http://schemas.openxmlformats.org/officeDocument/2006/relationships/hyperlink" Id="rId13"/>
    <Relationship Target="header1.xml" Type="http://schemas.openxmlformats.org/officeDocument/2006/relationships/header" Id="rId18"/>
    <Relationship Target="../customXml/item3.xml" Type="http://schemas.openxmlformats.org/officeDocument/2006/relationships/customXml" Id="rId3"/>
    <Relationship Target="footer2.xml" Type="http://schemas.openxmlformats.org/officeDocument/2006/relationships/footer" Id="rId21"/>
    <Relationship Target="settings.xml" Type="http://schemas.openxmlformats.org/officeDocument/2006/relationships/settings" Id="rId7"/>
    <Relationship TargetMode="External" Target="http://www.esfcr.cz" Type="http://schemas.openxmlformats.org/officeDocument/2006/relationships/hyperlink" Id="rId12"/>
    <Relationship TargetMode="External" Target="http://www.esfcr.cz" Type="http://schemas.openxmlformats.org/officeDocument/2006/relationships/hyperlink" Id="rId17"/>
    <Relationship Target="../customXml/item2.xml" Type="http://schemas.openxmlformats.org/officeDocument/2006/relationships/customXml" Id="rId2"/>
    <Relationship TargetMode="External" Target="http://www.esfcr.cz" Type="http://schemas.openxmlformats.org/officeDocument/2006/relationships/hyperlink" Id="rId16"/>
    <Relationship Target="header2.xml" Type="http://schemas.openxmlformats.org/officeDocument/2006/relationships/header" Id="rId20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Mode="External" Target="http://www.esfcr.cz" Type="http://schemas.openxmlformats.org/officeDocument/2006/relationships/hyperlink" Id="rId11"/>
    <Relationship Target="numbering.xml" Type="http://schemas.openxmlformats.org/officeDocument/2006/relationships/numbering" Id="rId5"/>
    <Relationship TargetMode="External" Target="http://ov.gov.cz" Type="http://schemas.openxmlformats.org/officeDocument/2006/relationships/hyperlink" Id="rId15"/>
    <Relationship Target="theme/theme1.xml" Type="http://schemas.openxmlformats.org/officeDocument/2006/relationships/theme" Id="rId23"/>
    <Relationship Target="endnotes.xml" Type="http://schemas.openxmlformats.org/officeDocument/2006/relationships/endnotes" Id="rId10"/>
    <Relationship Target="footer1.xml" Type="http://schemas.openxmlformats.org/officeDocument/2006/relationships/footer" Id="rId19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Mode="External" Target="http://www.esfcr.cz" Type="http://schemas.openxmlformats.org/officeDocument/2006/relationships/hyperlink" Id="rId14"/>
    <Relationship Target="fontTable.xml" Type="http://schemas.openxmlformats.org/officeDocument/2006/relationships/fontTable" Id="rId22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DE4878A-688A-4BCA-91DD-7C090367E5D0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dfed548f-0517-4d39-90e3-3947398480c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75E2B9-54B0-4341-99BD-559CE3FCB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9EA2C-AEBD-4AA5-8626-1010AC031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8BEA83-55F8-46B9-8C91-5B8E5B764F3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18</properties:Pages>
  <properties:Words>6700</properties:Words>
  <properties:Characters>39530</properties:Characters>
  <properties:Lines>329</properties:Lines>
  <properties:Paragraphs>92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46138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2020-04-23T18:13:00Z</dcterms:created>
  <dc:creator/>
  <cp:lastModifiedBy/>
  <dcterms:modified xmlns:xsi="http://www.w3.org/2001/XMLSchema-instance" xsi:type="dcterms:W3CDTF">2020-04-23T19:45:00Z</dcterms:modified>
  <cp:revision>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