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7048C" w:rsidR="00825D9F" w:rsidP="00825D9F" w:rsidRDefault="00825D9F">
      <w:pPr>
        <w:rPr>
          <w:b/>
        </w:rPr>
      </w:pPr>
      <w:r w:rsidRPr="00C7048C">
        <w:rPr>
          <w:b/>
        </w:rPr>
        <w:t>Věcné hodnocení hodnoti</w:t>
      </w:r>
      <w:r w:rsidRPr="00C7048C" w:rsidR="009A1789">
        <w:rPr>
          <w:b/>
        </w:rPr>
        <w:t>cí komise 03_15_18</w:t>
      </w:r>
      <w:r w:rsidRPr="00C7048C">
        <w:rPr>
          <w:b/>
        </w:rPr>
        <w:t xml:space="preserve">_1 ze dne </w:t>
      </w:r>
      <w:r w:rsidRPr="00C7048C" w:rsidR="00442902">
        <w:rPr>
          <w:b/>
        </w:rPr>
        <w:t>7. 8. 2017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346"/>
        <w:gridCol w:w="3544"/>
        <w:gridCol w:w="5386"/>
      </w:tblGrid>
      <w:tr w:rsidRPr="00C7048C" w:rsidR="00C7048C" w:rsidTr="00A036AF">
        <w:trPr>
          <w:trHeight w:val="19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7048C" w:rsidR="00825D9F" w:rsidP="00990BFF" w:rsidRDefault="00825D9F">
            <w:pPr>
              <w:pStyle w:val="Tabulkatext9"/>
              <w:rPr>
                <w:b/>
                <w:sz w:val="22"/>
              </w:rPr>
            </w:pPr>
            <w:r w:rsidRPr="00C7048C">
              <w:rPr>
                <w:b/>
                <w:sz w:val="22"/>
              </w:rPr>
              <w:t>Výzva č.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7048C" w:rsidR="00825D9F" w:rsidP="00990BFF" w:rsidRDefault="00825D9F">
            <w:pPr>
              <w:pStyle w:val="Tabulkatext9"/>
              <w:rPr>
                <w:b/>
                <w:sz w:val="22"/>
              </w:rPr>
            </w:pPr>
            <w:r w:rsidRPr="00C7048C">
              <w:rPr>
                <w:b/>
                <w:sz w:val="22"/>
              </w:rPr>
              <w:t>Registrační číslo projektu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7048C" w:rsidR="00825D9F" w:rsidP="00990BFF" w:rsidRDefault="00825D9F">
            <w:pPr>
              <w:pStyle w:val="Tabulkatext9"/>
              <w:rPr>
                <w:sz w:val="22"/>
              </w:rPr>
            </w:pPr>
            <w:r w:rsidRPr="00C7048C">
              <w:rPr>
                <w:b/>
                <w:sz w:val="22"/>
              </w:rPr>
              <w:t>Název projektu</w:t>
            </w:r>
          </w:p>
        </w:tc>
      </w:tr>
      <w:tr w:rsidRPr="00C7048C" w:rsidR="00825D9F" w:rsidTr="00A036AF">
        <w:trPr>
          <w:trHeight w:val="19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C7048C" w:rsidR="00825D9F" w:rsidP="00990BFF" w:rsidRDefault="009A1789">
            <w:pPr>
              <w:pStyle w:val="Tabulkatext9"/>
              <w:rPr>
                <w:bCs/>
                <w:sz w:val="22"/>
              </w:rPr>
            </w:pPr>
            <w:r w:rsidRPr="00C7048C">
              <w:rPr>
                <w:bCs/>
                <w:sz w:val="22"/>
              </w:rPr>
              <w:t>03_15_</w:t>
            </w:r>
            <w:r w:rsidRPr="00C7048C" w:rsidR="00442902">
              <w:rPr>
                <w:bCs/>
                <w:sz w:val="22"/>
              </w:rPr>
              <w:t>0</w:t>
            </w:r>
            <w:r w:rsidRPr="00C7048C">
              <w:rPr>
                <w:bCs/>
                <w:sz w:val="22"/>
              </w:rPr>
              <w:t>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C7048C" w:rsidR="00825D9F" w:rsidP="00990BFF" w:rsidRDefault="00825D9F">
            <w:pPr>
              <w:pStyle w:val="Tabulkatext9"/>
              <w:rPr>
                <w:bCs/>
                <w:sz w:val="22"/>
              </w:rPr>
            </w:pPr>
            <w:proofErr w:type="gramStart"/>
            <w:r w:rsidRPr="00C7048C">
              <w:rPr>
                <w:bCs/>
                <w:sz w:val="22"/>
              </w:rPr>
              <w:t>C</w:t>
            </w:r>
            <w:r w:rsidRPr="00C7048C" w:rsidR="009A1789">
              <w:rPr>
                <w:bCs/>
                <w:sz w:val="22"/>
              </w:rPr>
              <w:t>Z.03.3</w:t>
            </w:r>
            <w:proofErr w:type="gramEnd"/>
            <w:r w:rsidRPr="00C7048C" w:rsidR="009A1789">
              <w:rPr>
                <w:bCs/>
                <w:sz w:val="22"/>
              </w:rPr>
              <w:t>.X/0.0/0.0/15_018</w:t>
            </w:r>
            <w:r w:rsidRPr="00C7048C">
              <w:rPr>
                <w:bCs/>
                <w:sz w:val="22"/>
              </w:rPr>
              <w:t>/000</w:t>
            </w:r>
            <w:r w:rsidRPr="00C7048C" w:rsidR="00442902">
              <w:rPr>
                <w:bCs/>
                <w:sz w:val="22"/>
              </w:rPr>
              <w:t>7517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C7048C" w:rsidR="00825D9F" w:rsidP="00990BFF" w:rsidRDefault="00442902">
            <w:pPr>
              <w:pStyle w:val="Tabulkatext9"/>
              <w:rPr>
                <w:sz w:val="22"/>
              </w:rPr>
            </w:pPr>
            <w:proofErr w:type="spellStart"/>
            <w:r w:rsidRPr="00C7048C">
              <w:rPr>
                <w:sz w:val="22"/>
              </w:rPr>
              <w:t>Efektivizace</w:t>
            </w:r>
            <w:proofErr w:type="spellEnd"/>
            <w:r w:rsidRPr="00C7048C">
              <w:rPr>
                <w:sz w:val="22"/>
              </w:rPr>
              <w:t xml:space="preserve"> systému nemocniční </w:t>
            </w:r>
            <w:r w:rsidRPr="00C7048C" w:rsidR="006A7806">
              <w:rPr>
                <w:sz w:val="22"/>
              </w:rPr>
              <w:t>péče v ČR</w:t>
            </w:r>
            <w:r w:rsidRPr="00C7048C">
              <w:rPr>
                <w:sz w:val="22"/>
              </w:rPr>
              <w:t xml:space="preserve"> prostřednictvím dobrovolnické činnosti</w:t>
            </w:r>
          </w:p>
        </w:tc>
      </w:tr>
    </w:tbl>
    <w:p w:rsidRPr="00C7048C" w:rsidR="00825D9F" w:rsidP="00825D9F" w:rsidRDefault="00825D9F">
      <w:pPr>
        <w:rPr>
          <w:b/>
        </w:rPr>
      </w:pPr>
    </w:p>
    <w:p w:rsidRPr="00C7048C" w:rsidR="00825D9F" w:rsidP="00825D9F" w:rsidRDefault="00825D9F">
      <w:pPr>
        <w:rPr>
          <w:b/>
        </w:rPr>
      </w:pPr>
      <w:r w:rsidRPr="00C7048C">
        <w:rPr>
          <w:b/>
        </w:rPr>
        <w:t xml:space="preserve">INOVAČNÍ ZÁMĚR </w:t>
      </w:r>
    </w:p>
    <w:p w:rsidRPr="00C7048C" w:rsidR="00825D9F" w:rsidP="00825D9F" w:rsidRDefault="00825D9F">
      <w:pPr>
        <w:rPr>
          <w:b/>
        </w:rPr>
      </w:pPr>
      <w:r w:rsidRPr="00C7048C">
        <w:rPr>
          <w:b/>
        </w:rPr>
        <w:t>Kritéria</w:t>
      </w:r>
    </w:p>
    <w:tbl>
      <w:tblPr>
        <w:tblW w:w="10314" w:type="dxa"/>
        <w:tblLayout w:type="fixed"/>
        <w:tblLook w:firstRow="0" w:lastRow="0" w:firstColumn="0" w:lastColumn="0" w:noHBand="0" w:noVBand="0" w:val="0000"/>
      </w:tblPr>
      <w:tblGrid>
        <w:gridCol w:w="1241"/>
        <w:gridCol w:w="9073"/>
      </w:tblGrid>
      <w:tr w:rsidRPr="00C7048C" w:rsidR="00C7048C" w:rsidTr="00EF0289"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7D0061" w:rsidP="00F40891" w:rsidRDefault="007D0061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Název kritéria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7D0061" w:rsidP="007D0061" w:rsidRDefault="007D0061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POTŘEBNOST</w:t>
            </w:r>
          </w:p>
          <w:p w:rsidRPr="00C7048C" w:rsidR="007D0061" w:rsidP="00F40891" w:rsidRDefault="007D0061">
            <w:pPr>
              <w:spacing w:after="0" w:line="100" w:lineRule="atLeast"/>
              <w:rPr>
                <w:b/>
              </w:rPr>
            </w:pPr>
          </w:p>
        </w:tc>
      </w:tr>
      <w:tr w:rsidRPr="00C7048C" w:rsidR="00C7048C" w:rsidTr="00EF0289">
        <w:trPr>
          <w:trHeight w:val="1338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7D0061" w:rsidP="00F40891" w:rsidRDefault="007D0061">
            <w:pPr>
              <w:spacing w:after="0" w:line="100" w:lineRule="atLeast"/>
            </w:pPr>
            <w:r w:rsidRPr="00C7048C">
              <w:rPr>
                <w:b/>
              </w:rPr>
              <w:t>Popis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9A1789" w:rsidP="00C7048C" w:rsidRDefault="009A1789">
            <w:pPr>
              <w:jc w:val="both"/>
            </w:pPr>
            <w:r w:rsidRPr="00C7048C">
              <w:t xml:space="preserve">Žadatel poměrně dobře vymezuje řešený problém, ke kterému shromáždil (a v přílohách doložil) zajímavé množství relevantních informací. Jako dostatečně podložená se jeví žadatelova argumentace, že rozvoj dobrovolnictví v oblasti zdravotní péče má potenciál zlepšit mnoho aspektů zdravotní péče a rovněž jako podložený lze přijmout žadatelův předpoklad o ekonomické efektivitě investice do rozvoje dobrovolnictví. Přesto inovační záměr obsahuje významnou slabinu v oblasti vymezení problému, a sice v rozkrytí jeho detailních příčin. K dispozici jsou dobrá kvantitativní data o výskytu dobrovolnických programů i mnoho hlasů volajících po jejich dalším rozvoji. Žadatel však pouze různými </w:t>
            </w:r>
            <w:r w:rsidR="00C7048C">
              <w:t xml:space="preserve">způsoby opakuje, že problém je </w:t>
            </w:r>
            <w:r w:rsidRPr="00C7048C">
              <w:t xml:space="preserve">"malé celoplošné zapojení PZS do dobrovolnických programů", či "V ČR se prakticky nerozvíjí program dobrovolnictví u poskytovatelů zdravotnických služeb lůžkové péče". Žadatel však dostatečně konkrétně nepopsal, proč tomu tak je, kromě obecného tvrzení, že chybí centrální podpora, kterou chce projektem otestovat a zajistit. V čem se však tato absence konkrétně projevuje?  Zásadně chybí hlubší kvalitativní pochopení, proč u některých PZS dobrovolnické programy </w:t>
            </w:r>
            <w:r w:rsidRPr="00C7048C" w:rsidR="006A7806">
              <w:t>fungují, zatímco</w:t>
            </w:r>
            <w:r w:rsidRPr="00C7048C">
              <w:t xml:space="preserve"> jinde nikoliv. Co zde jsou klíčové faktory (ne)úspěchu? Co vede k tomu, že do některých PZS dobrovolníci přicházejí, zatímco jinam nikoliv. Proč někteří PZS dobrovolníky nepřijímají? Co z toho </w:t>
            </w:r>
            <w:r w:rsidRPr="00C7048C" w:rsidR="006A608D">
              <w:t>je vhodné ř</w:t>
            </w:r>
            <w:r w:rsidRPr="00C7048C">
              <w:t>ešit systémově? Příloha č. 1 má v tomto směru určitou užitečnost, dostatečná však není. S ohledem na absenci těchto informací se pak zvolený způsob řešení jeví jako nedostatečně podložený. Na tento problém by žadatel měl reagovat v rámci přípravy plné žádosti - ať už tím, že zmiňované oblasti lépe prozkoumá ještě před jejím podáním, nebo toto hlubší kvalitativní šetření naplánuje do úvodních měsíců projektu</w:t>
            </w:r>
            <w:r w:rsidRPr="00C7048C" w:rsidR="00B27DD9">
              <w:t xml:space="preserve"> (Žádost by v tomto případě měla obsahovat detailní popis průběhu této vstupní analýzy)</w:t>
            </w:r>
            <w:r w:rsidRPr="00C7048C">
              <w:t xml:space="preserve">. Dále se HK neztotožňuje s tvrzením žadatele, že "Program dobrovolnictví je u PZS v ČR zatím jen  nekoordinovaný, neaktualizovaný a vzhledem k celkovému počtu PZS i sporadický, </w:t>
            </w:r>
            <w:proofErr w:type="gramStart"/>
            <w:r w:rsidRPr="00C7048C">
              <w:t>tzn. že</w:t>
            </w:r>
            <w:proofErr w:type="gramEnd"/>
            <w:r w:rsidRPr="00C7048C">
              <w:t xml:space="preserve"> nemá t.</w:t>
            </w:r>
            <w:r w:rsidRPr="00C7048C" w:rsidR="00B27DD9">
              <w:t xml:space="preserve"> </w:t>
            </w:r>
            <w:r w:rsidRPr="00C7048C">
              <w:t>č. prakticky vliv na kvalitu a efektivitu poskytované zdravotní péče." I z přílohy č. 1 je patrné, že praktický vliv existuje, pouze není systematicky znám, což však není důkazem jeho absence. Rovněž se nelze ztotožnit s tvrzením, že "dobrovolnický program je postaven na individuálních aktivitách PZS či pak i externích NNO, není jednotně organizován ani koordinován [a tudíž je nevhodný]". I z tohoto důvodu HK poukazuje na důležitost hlubšího pochopení dobrovolnických programů tam, kde fungují, aby bylo možné podobné podmínky vytvářet i jinde.</w:t>
            </w:r>
            <w:r w:rsidR="00C7048C">
              <w:t xml:space="preserve"> </w:t>
            </w:r>
            <w:r w:rsidRPr="00C7048C" w:rsidR="00B27DD9">
              <w:t xml:space="preserve">Dále je uváděna </w:t>
            </w:r>
            <w:r w:rsidRPr="00C7048C" w:rsidR="00771B28">
              <w:t>kooperace daného řešení s řešením realizovaným v rámci projektu „Koncepce rozvoje dobrovolnictví v ČR“ (</w:t>
            </w:r>
            <w:proofErr w:type="spellStart"/>
            <w:proofErr w:type="gramStart"/>
            <w:r w:rsidRPr="00C7048C" w:rsidR="00771B28">
              <w:t>reg</w:t>
            </w:r>
            <w:proofErr w:type="gramEnd"/>
            <w:r w:rsidRPr="00C7048C" w:rsidR="00771B28">
              <w:t>.</w:t>
            </w:r>
            <w:proofErr w:type="gramStart"/>
            <w:r w:rsidRPr="00C7048C" w:rsidR="00771B28">
              <w:t>č</w:t>
            </w:r>
            <w:proofErr w:type="spellEnd"/>
            <w:r w:rsidRPr="00C7048C" w:rsidR="00771B28">
              <w:t>.</w:t>
            </w:r>
            <w:proofErr w:type="gramEnd"/>
            <w:r w:rsidRPr="00C7048C" w:rsidR="00771B28">
              <w:t xml:space="preserve"> </w:t>
            </w:r>
            <w:r w:rsidRPr="00C7048C" w:rsidR="00B27DD9">
              <w:t>CZ.03.2.63/0.0/15_029/0003724) v</w:t>
            </w:r>
            <w:r w:rsidRPr="00C7048C" w:rsidR="00771B28">
              <w:t xml:space="preserve"> gesci MV ČR. V</w:t>
            </w:r>
            <w:r w:rsidRPr="00C7048C" w:rsidR="00B27DD9">
              <w:t> </w:t>
            </w:r>
            <w:r w:rsidRPr="00C7048C" w:rsidR="00771B28">
              <w:t>plné</w:t>
            </w:r>
            <w:r w:rsidRPr="00C7048C" w:rsidR="00B27DD9">
              <w:t xml:space="preserve"> žádosti</w:t>
            </w:r>
            <w:r w:rsidRPr="00C7048C" w:rsidR="00771B28">
              <w:t xml:space="preserve"> však bude nutné „styčné body“ obou projektů jasně vyme</w:t>
            </w:r>
            <w:r w:rsidRPr="00C7048C" w:rsidR="00B27DD9">
              <w:t>zit (jak na sebe navazují a jak si budou vzájemně pomáhat).</w:t>
            </w:r>
            <w:r w:rsidR="00C7048C">
              <w:t xml:space="preserve"> </w:t>
            </w:r>
            <w:r w:rsidRPr="00C7048C" w:rsidR="00EF0289">
              <w:t>Jedním z definovaných rizik daného záměru je mj. nedostatek dobrovolníků, žadatel však blíže nedefinuje, nekvantifikuje potenciál lidských zdrojů pro tuto činnost.</w:t>
            </w:r>
            <w:r w:rsidRPr="00C7048C" w:rsidR="00D556F0">
              <w:t xml:space="preserve"> Kapacitu pro tuto činnost a kompetence k práci s dobrovolníky bude nutné </w:t>
            </w:r>
            <w:r w:rsidRPr="00C7048C" w:rsidR="00D556F0">
              <w:lastRenderedPageBreak/>
              <w:t xml:space="preserve">v rámci projektové žádosti prokázat. </w:t>
            </w:r>
            <w:r w:rsidRPr="00C7048C" w:rsidR="00B27DD9">
              <w:t xml:space="preserve"> HK pak v tomto smyslu stanovuje podmínky pro zpracování plné žádosti, které jsou uvedeny v souhrnném hodnocení.</w:t>
            </w:r>
            <w:r w:rsidR="00C7048C">
              <w:t xml:space="preserve"> </w:t>
            </w:r>
          </w:p>
        </w:tc>
      </w:tr>
      <w:tr w:rsidRPr="00C7048C" w:rsidR="007D0061" w:rsidTr="00EF0289">
        <w:trPr>
          <w:trHeight w:val="564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7D0061" w:rsidP="00F40891" w:rsidRDefault="007D0061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lastRenderedPageBreak/>
              <w:t>Slovní hodnocení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7D0061" w:rsidP="00F40891" w:rsidRDefault="009A1789">
            <w:pPr>
              <w:jc w:val="both"/>
              <w:rPr>
                <w:b/>
              </w:rPr>
            </w:pPr>
            <w:r w:rsidRPr="00C7048C">
              <w:rPr>
                <w:b/>
              </w:rPr>
              <w:t>Dostatečné</w:t>
            </w:r>
          </w:p>
        </w:tc>
      </w:tr>
    </w:tbl>
    <w:p w:rsidRPr="00C7048C" w:rsidR="007D0061" w:rsidP="00825D9F" w:rsidRDefault="007D0061">
      <w:pPr>
        <w:rPr>
          <w:b/>
        </w:rPr>
      </w:pPr>
    </w:p>
    <w:tbl>
      <w:tblPr>
        <w:tblW w:w="10314" w:type="dxa"/>
        <w:tblLayout w:type="fixed"/>
        <w:tblLook w:firstRow="0" w:lastRow="0" w:firstColumn="0" w:lastColumn="0" w:noHBand="0" w:noVBand="0" w:val="0000"/>
      </w:tblPr>
      <w:tblGrid>
        <w:gridCol w:w="1241"/>
        <w:gridCol w:w="9073"/>
      </w:tblGrid>
      <w:tr w:rsidRPr="00C7048C" w:rsidR="00C7048C" w:rsidTr="00A036AF"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Název kritéria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NOVOST A JEDINEČNOST INOVACE</w:t>
            </w:r>
          </w:p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</w:p>
        </w:tc>
      </w:tr>
      <w:tr w:rsidRPr="00C7048C" w:rsidR="00C7048C" w:rsidTr="00A036AF">
        <w:trPr>
          <w:trHeight w:val="1338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</w:pPr>
            <w:r w:rsidRPr="00C7048C">
              <w:rPr>
                <w:b/>
              </w:rPr>
              <w:t>Popis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2C1A36" w:rsidP="002C1A36" w:rsidRDefault="002C1A36">
            <w:pPr>
              <w:jc w:val="both"/>
            </w:pPr>
            <w:r w:rsidRPr="00C7048C">
              <w:t xml:space="preserve">Předložený záměr do určité míry navazuje na dosavadní realizovaná řešení a vytvořené metodické předpoklady, která jsou však pro danou oblast dobrovolnictví již nevyhovující. Taktéž koncept samotného </w:t>
            </w:r>
            <w:proofErr w:type="gramStart"/>
            <w:r w:rsidRPr="00C7048C">
              <w:t>dobrovolnictví v ZZ nelze</w:t>
            </w:r>
            <w:proofErr w:type="gramEnd"/>
            <w:r w:rsidRPr="00C7048C">
              <w:t xml:space="preserve"> považovat za zcela nový, neboť je u části PZS tato činnost v současnosti již vykonávána </w:t>
            </w:r>
            <w:r w:rsidR="004E581B">
              <w:t xml:space="preserve">a </w:t>
            </w:r>
            <w:r w:rsidRPr="00C7048C">
              <w:t>má určitou, byť značně diferencovanou historii. V rámci řešení budou rovněž využity zkušenosti z implementace obdobných opatření v zahraničí a fungování vytvořeného systému bude ověřeno v podmínkách ČR. Inovativnost řešení má spočívat v zavedení nového programu a systémového řešení a řízení na národní úrovni s dalšími vazbami na mezinárodní aktivity, právě systémovost řešení ve vazbě na legislativní podmínky však není jasně akcentována (přitom podpora ze strany plátců - ZP - je označována za „exkluzivní inovativní prvek“). Inovativní dimenzi řešení tak lze považovat za částečnou, ne však za radikální, a pro podporu tohoto kritéria HK doporučuje žadateli v plné PŽ nastavit zřetelnou linku na legislativní ukotvení dané problematiky. HK požaduje detailněji vymezit odlišnost pozice koordinátora dobrovolníků ve zdravotnických zařízení</w:t>
            </w:r>
            <w:r w:rsidR="007B3056">
              <w:t>ch</w:t>
            </w:r>
            <w:r w:rsidRPr="00C7048C">
              <w:t xml:space="preserve"> od již zavedené pozice koordinátora dobrovolníků v Národní soustavě povolání.</w:t>
            </w:r>
          </w:p>
          <w:p w:rsidRPr="00C7048C" w:rsidR="006A608D" w:rsidP="002C1A36" w:rsidRDefault="009A1789">
            <w:pPr>
              <w:jc w:val="both"/>
            </w:pPr>
            <w:r w:rsidRPr="00C7048C">
              <w:t>Hlavním aspektem novosti je především zapojení všech relevantních stakeholderů, což skrývá významný potenciál</w:t>
            </w:r>
            <w:r w:rsidRPr="00C7048C" w:rsidR="002C1A36">
              <w:t xml:space="preserve"> v případě, pokud se žadateli v plné žádosti podaří prokázat jejich skutečný zájem. </w:t>
            </w:r>
            <w:r w:rsidRPr="00C7048C">
              <w:t>U konkrétního řešení spatřuje HK určitá rizika v oblasti hierarchického, top-</w:t>
            </w:r>
            <w:proofErr w:type="spellStart"/>
            <w:r w:rsidRPr="00C7048C">
              <w:t>down</w:t>
            </w:r>
            <w:proofErr w:type="spellEnd"/>
            <w:r w:rsidRPr="00C7048C">
              <w:t xml:space="preserve"> a poněkud standardizačního přístupu k řešení, která jsou blíže popsána v kritériu Zlepšení a dopad inovace a která mají i mírně negativní dopad do hodnocení novosti přístupu. HK by zde uvítala ještě větší důraz na network-</w:t>
            </w:r>
            <w:proofErr w:type="spellStart"/>
            <w:r w:rsidRPr="00C7048C">
              <w:t>based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governance</w:t>
            </w:r>
            <w:proofErr w:type="spellEnd"/>
            <w:r w:rsidRPr="00C7048C">
              <w:t xml:space="preserve"> přístupy (pro vymezení hierarchického a network-</w:t>
            </w:r>
            <w:proofErr w:type="spellStart"/>
            <w:r w:rsidRPr="00C7048C">
              <w:t>based</w:t>
            </w:r>
            <w:proofErr w:type="spellEnd"/>
            <w:r w:rsidRPr="00C7048C">
              <w:t xml:space="preserve"> přístupu ke </w:t>
            </w:r>
            <w:proofErr w:type="spellStart"/>
            <w:r w:rsidRPr="00C7048C">
              <w:t>governance</w:t>
            </w:r>
            <w:proofErr w:type="spellEnd"/>
            <w:r w:rsidRPr="00C7048C">
              <w:t xml:space="preserve"> viz např. </w:t>
            </w:r>
            <w:proofErr w:type="spellStart"/>
            <w:r w:rsidRPr="00C7048C">
              <w:t>Meuleman</w:t>
            </w:r>
            <w:proofErr w:type="spellEnd"/>
            <w:r w:rsidRPr="00C7048C">
              <w:t xml:space="preserve">, L. 2008. Public Management and </w:t>
            </w:r>
            <w:proofErr w:type="spellStart"/>
            <w:r w:rsidRPr="00C7048C">
              <w:t>the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Metagovernance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of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Hierarchies</w:t>
            </w:r>
            <w:proofErr w:type="spellEnd"/>
            <w:r w:rsidRPr="00C7048C">
              <w:t xml:space="preserve">, </w:t>
            </w:r>
            <w:proofErr w:type="spellStart"/>
            <w:r w:rsidRPr="00C7048C">
              <w:t>Networks</w:t>
            </w:r>
            <w:proofErr w:type="spellEnd"/>
            <w:r w:rsidRPr="00C7048C">
              <w:t xml:space="preserve"> and </w:t>
            </w:r>
            <w:proofErr w:type="spellStart"/>
            <w:r w:rsidRPr="00C7048C">
              <w:t>Markets</w:t>
            </w:r>
            <w:proofErr w:type="spellEnd"/>
            <w:r w:rsidRPr="00C7048C">
              <w:t xml:space="preserve"> : </w:t>
            </w:r>
            <w:proofErr w:type="spellStart"/>
            <w:r w:rsidRPr="00C7048C">
              <w:t>The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Feasibility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of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Designing</w:t>
            </w:r>
            <w:proofErr w:type="spellEnd"/>
            <w:r w:rsidRPr="00C7048C">
              <w:t xml:space="preserve"> and </w:t>
            </w:r>
            <w:proofErr w:type="spellStart"/>
            <w:r w:rsidRPr="00C7048C">
              <w:t>Managing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Governance</w:t>
            </w:r>
            <w:proofErr w:type="spellEnd"/>
            <w:r w:rsidRPr="00C7048C">
              <w:t xml:space="preserve"> Style </w:t>
            </w:r>
            <w:proofErr w:type="spellStart"/>
            <w:r w:rsidRPr="00C7048C">
              <w:t>Combinations</w:t>
            </w:r>
            <w:proofErr w:type="spellEnd"/>
            <w:r w:rsidRPr="00C7048C">
              <w:t xml:space="preserve">. </w:t>
            </w:r>
            <w:proofErr w:type="gramStart"/>
            <w:r w:rsidRPr="00C7048C">
              <w:t xml:space="preserve">Heidelberg : </w:t>
            </w:r>
            <w:proofErr w:type="spellStart"/>
            <w:r w:rsidRPr="00C7048C">
              <w:t>Physica-Verlag</w:t>
            </w:r>
            <w:proofErr w:type="spellEnd"/>
            <w:proofErr w:type="gramEnd"/>
            <w:r w:rsidRPr="00C7048C">
              <w:t>).</w:t>
            </w:r>
          </w:p>
        </w:tc>
      </w:tr>
      <w:tr w:rsidRPr="00C7048C" w:rsidR="00825D9F" w:rsidTr="00A036AF">
        <w:trPr>
          <w:trHeight w:val="564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Slovní hodnocení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442902">
            <w:pPr>
              <w:jc w:val="both"/>
              <w:rPr>
                <w:b/>
              </w:rPr>
            </w:pPr>
            <w:r w:rsidRPr="00C7048C">
              <w:rPr>
                <w:b/>
              </w:rPr>
              <w:t>Dostatečné</w:t>
            </w:r>
          </w:p>
        </w:tc>
      </w:tr>
    </w:tbl>
    <w:p w:rsidRPr="00C7048C" w:rsidR="00825D9F" w:rsidP="00825D9F" w:rsidRDefault="00825D9F">
      <w:pPr>
        <w:rPr>
          <w:b/>
        </w:rPr>
      </w:pPr>
    </w:p>
    <w:tbl>
      <w:tblPr>
        <w:tblW w:w="10314" w:type="dxa"/>
        <w:tblLayout w:type="fixed"/>
        <w:tblLook w:firstRow="0" w:lastRow="0" w:firstColumn="0" w:lastColumn="0" w:noHBand="0" w:noVBand="0" w:val="0000"/>
      </w:tblPr>
      <w:tblGrid>
        <w:gridCol w:w="1242"/>
        <w:gridCol w:w="9072"/>
      </w:tblGrid>
      <w:tr w:rsidRPr="00C7048C" w:rsidR="00C7048C" w:rsidTr="00A036AF"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Název kritéria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</w:pPr>
            <w:r w:rsidRPr="00C7048C">
              <w:rPr>
                <w:b/>
              </w:rPr>
              <w:t>ZLEPŠENÍ A DOPAD INOVACE</w:t>
            </w:r>
          </w:p>
        </w:tc>
      </w:tr>
      <w:tr w:rsidRPr="00C7048C" w:rsidR="00C7048C" w:rsidTr="00A036AF">
        <w:trPr>
          <w:trHeight w:val="1338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</w:pPr>
            <w:r w:rsidRPr="00C7048C">
              <w:rPr>
                <w:b/>
              </w:rPr>
              <w:t>Popis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9A1789">
            <w:pPr>
              <w:spacing w:after="0" w:line="100" w:lineRule="atLeast"/>
              <w:jc w:val="both"/>
            </w:pPr>
            <w:r w:rsidRPr="00C7048C">
              <w:t xml:space="preserve">HK souhlasí se žadatelem, že větší rozvoj dobrovolnictví </w:t>
            </w:r>
            <w:r w:rsidRPr="00C7048C" w:rsidR="00442902">
              <w:t>by přinesl</w:t>
            </w:r>
            <w:r w:rsidRPr="00C7048C">
              <w:t xml:space="preserve"> významný posun směrem ke zlepšení mnoha aspektů zdravotní péče. HK však cítí určitá rizika, pokud jde o funkčnost předkládaného řešení, které je do značné míry postavené na top-</w:t>
            </w:r>
            <w:proofErr w:type="spellStart"/>
            <w:r w:rsidRPr="00C7048C">
              <w:t>down</w:t>
            </w:r>
            <w:proofErr w:type="spellEnd"/>
            <w:r w:rsidRPr="00C7048C">
              <w:t xml:space="preserve"> regulaci oblasti. HK obecně nezpochybňuje, že řadu problémů vzniku dobrovolnických programů je možné zmírnit kroky na centrální úrovni (zejména plošná propagace dobrovolnictví, či obecně vytvoření centrální</w:t>
            </w:r>
            <w:r w:rsidR="004E581B">
              <w:t>ho</w:t>
            </w:r>
            <w:r w:rsidRPr="00C7048C">
              <w:t xml:space="preserve"> místa, které by jednotlivým PZS mohlo poskytovat potřebnou podporu), nicméně navrhované řešení může skrývat nebezpečí přílišné regulace. Tyto nedostatky a rizika souvisí s následujícími otázkami, na které HK nenašla v inovačním záměru uspokojivé odpovědi: (1) V inovačním záměru není </w:t>
            </w:r>
            <w:r w:rsidRPr="00C7048C">
              <w:lastRenderedPageBreak/>
              <w:t xml:space="preserve">dostatečně argumentováno, proč by zavedení "řízení a koordinace na národní úrovni, speciální vzdělávací program pro koordinátory dobrovolníků ve zdravotních </w:t>
            </w:r>
            <w:proofErr w:type="gramStart"/>
            <w:r w:rsidRPr="00C7048C">
              <w:t>službách (...), vytvoření</w:t>
            </w:r>
            <w:proofErr w:type="gramEnd"/>
            <w:r w:rsidRPr="00C7048C">
              <w:t xml:space="preserve"> pozice KDZS v katalogu prací,  zavedení jednotné národní metodiky k dobrovolnictví u PZS s prvky kvality a bezpečí a měřitelnosti efektivity a vznik celostátního systému informovanosti o programu a jeho podmínkách jak na úrovni MZ ČR, tak krajů a zdravotních pojišťoven" mělo přinést "rozšíření dobrovolnictví a zvýšení počtu dobrovolníků". (2) Jak žadatel ošetří riziko typu "přístup </w:t>
            </w:r>
            <w:proofErr w:type="spellStart"/>
            <w:r w:rsidRPr="00C7048C">
              <w:t>one-size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fits</w:t>
            </w:r>
            <w:proofErr w:type="spellEnd"/>
            <w:r w:rsidRPr="00C7048C">
              <w:t xml:space="preserve"> </w:t>
            </w:r>
            <w:proofErr w:type="spellStart"/>
            <w:r w:rsidRPr="00C7048C">
              <w:t>all</w:t>
            </w:r>
            <w:proofErr w:type="spellEnd"/>
            <w:r w:rsidRPr="00C7048C">
              <w:t xml:space="preserve">"? Konkrétně jaký prostor bude ponechán pro jednotlivé PZS pro vlastní přístup k řešení dobrovolnictví? Jak bude zajištěno, že nový centrální přístup nezkomplikuje a nezbyrokratizuje činnost těch dobrovolnických programů, které již fungují?  Tato rizika je však možné dostatečně ošetřit či vysvětlit v plné projektové žádosti v souladu s požadavky uvedenými v závěrečném hodnocení. (3) V navrhované inovaci nejsou dostatečně využity zkušenosti těch DP, které fungují. Není dostatečně argumentováno, že řízení a koordinace na národní úrovni pomůže vytvořit obdobné podmínky i jinde. Dále HK upozorňuje, že evaluační plán (který není povinnou součástí IZ) má zatím určité rezervy. Zatímco poměrně dobře předkládá úvahy o konkrétních nástrojích měření dopadů dobrovolnictví (SROI aj.), HK zatím postrádá základní informace o vlastním výzkumném designu evaluace - půjde o přístup experimentální, </w:t>
            </w:r>
            <w:proofErr w:type="spellStart"/>
            <w:r w:rsidRPr="00C7048C">
              <w:t>kvaziexperimentální</w:t>
            </w:r>
            <w:proofErr w:type="spellEnd"/>
            <w:r w:rsidRPr="00C7048C">
              <w:t xml:space="preserve"> či neexperimentální? Jaké jsou základní jednotky analýzy? Tyto otázky si musí žadatel dobře zodpovědět před tím, než navrhne konkrétní podobu pilotáže nového přístupu.</w:t>
            </w:r>
          </w:p>
          <w:p w:rsidRPr="00C7048C" w:rsidR="00442902" w:rsidP="00C31C3A" w:rsidRDefault="00442902">
            <w:pPr>
              <w:spacing w:after="0" w:line="100" w:lineRule="atLeast"/>
              <w:jc w:val="both"/>
            </w:pPr>
          </w:p>
        </w:tc>
      </w:tr>
      <w:tr w:rsidRPr="00C7048C" w:rsidR="00825D9F" w:rsidTr="00A036AF">
        <w:trPr>
          <w:trHeight w:val="598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lastRenderedPageBreak/>
              <w:t>Slovní hodnocení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9A1789">
            <w:pPr>
              <w:rPr>
                <w:b/>
              </w:rPr>
            </w:pPr>
            <w:r w:rsidRPr="00C7048C">
              <w:rPr>
                <w:b/>
              </w:rPr>
              <w:t>Dostatečné</w:t>
            </w:r>
          </w:p>
        </w:tc>
      </w:tr>
    </w:tbl>
    <w:p w:rsidRPr="00C7048C" w:rsidR="00825D9F" w:rsidP="00825D9F" w:rsidRDefault="00825D9F">
      <w:pPr>
        <w:rPr>
          <w:b/>
        </w:rPr>
      </w:pPr>
    </w:p>
    <w:tbl>
      <w:tblPr>
        <w:tblW w:w="10314" w:type="dxa"/>
        <w:tblLayout w:type="fixed"/>
        <w:tblLook w:firstRow="0" w:lastRow="0" w:firstColumn="0" w:lastColumn="0" w:noHBand="0" w:noVBand="0" w:val="0000"/>
      </w:tblPr>
      <w:tblGrid>
        <w:gridCol w:w="1242"/>
        <w:gridCol w:w="9072"/>
      </w:tblGrid>
      <w:tr w:rsidRPr="00C7048C" w:rsidR="00C7048C" w:rsidTr="00A036AF"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Název kritéria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ZAPOJENÍ INOVAČNÍCH AKTÉRŮ</w:t>
            </w:r>
          </w:p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</w:p>
        </w:tc>
      </w:tr>
      <w:tr w:rsidRPr="00C7048C" w:rsidR="00C7048C" w:rsidTr="00A036AF">
        <w:trPr>
          <w:trHeight w:val="570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</w:pPr>
            <w:r w:rsidRPr="00C7048C">
              <w:rPr>
                <w:b/>
              </w:rPr>
              <w:t>Popis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1426DF" w:rsidP="007B3056" w:rsidRDefault="00442902">
            <w:pPr>
              <w:jc w:val="both"/>
            </w:pPr>
            <w:r w:rsidRPr="00C7048C">
              <w:t>Přestože jsou v rámci IZ aktéři definováni dost široce, pro realizaci záměru je vymezena jen jedna cílová skupina - Poskytovatelé a zadavatelé zdravotních služeb, což se však jeví jako odpovídající danému záměru. Participace jak CS, tak dalších aktérů je nastavena v rovině aktivní účasti na pilotáži řešení.  Doložena je účast části PZS a krajů na daném řešení, potvrzena však není participace zdravotních pojišťoven a tuto bude potřeba</w:t>
            </w:r>
            <w:r w:rsidRPr="00C7048C" w:rsidR="006A7806">
              <w:t xml:space="preserve"> </w:t>
            </w:r>
            <w:r w:rsidRPr="00C7048C">
              <w:t>v plné PŽ jasně vymezit a zvážit případné partnerství pro projekt s klíčovými stakeholdery. Motivaci subjektů zdravotnického systému prostřednictvím úspor vytvářených daných řešením, lze považovat za relevantní. Zcela explicitně není vyjádřen postup žadatele MZ k zajištění systémové, resp. legislativní změny a tyto kroky bude nutné upřesnit v rámci plné PŽ.</w:t>
            </w:r>
            <w:r w:rsidR="007B3056">
              <w:t xml:space="preserve"> </w:t>
            </w:r>
            <w:r w:rsidRPr="00C7048C" w:rsidR="00EF0289">
              <w:t xml:space="preserve">HK požaduje </w:t>
            </w:r>
            <w:r w:rsidRPr="00C7048C" w:rsidR="001426DF">
              <w:t xml:space="preserve">podrobněji </w:t>
            </w:r>
            <w:r w:rsidRPr="00C7048C" w:rsidR="00EF0289">
              <w:t xml:space="preserve">vysvětlit, jak bude žadatel pracovat s klíčovými </w:t>
            </w:r>
            <w:r w:rsidRPr="00C7048C" w:rsidR="001426DF">
              <w:t xml:space="preserve">aktéry včetně dobrovolníků a pacientů, kteří jsou koncovými příjemci řešení. </w:t>
            </w:r>
          </w:p>
        </w:tc>
      </w:tr>
      <w:tr w:rsidRPr="00C7048C" w:rsidR="00825D9F" w:rsidTr="00A036AF">
        <w:trPr>
          <w:trHeight w:val="564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Slovní hodnocení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442902" w:rsidRDefault="009A1789">
            <w:pPr>
              <w:rPr>
                <w:b/>
              </w:rPr>
            </w:pPr>
            <w:r w:rsidRPr="00C7048C">
              <w:rPr>
                <w:b/>
              </w:rPr>
              <w:t xml:space="preserve"> Dobré</w:t>
            </w:r>
          </w:p>
        </w:tc>
      </w:tr>
    </w:tbl>
    <w:p w:rsidR="00825D9F" w:rsidP="00825D9F" w:rsidRDefault="00825D9F">
      <w:pPr>
        <w:rPr>
          <w:b/>
        </w:rPr>
      </w:pPr>
    </w:p>
    <w:p w:rsidR="007B3056" w:rsidP="00825D9F" w:rsidRDefault="007B3056">
      <w:pPr>
        <w:rPr>
          <w:b/>
        </w:rPr>
      </w:pPr>
    </w:p>
    <w:p w:rsidRPr="00C7048C" w:rsidR="007B3056" w:rsidP="00825D9F" w:rsidRDefault="007B3056">
      <w:pPr>
        <w:rPr>
          <w:b/>
        </w:rPr>
      </w:pPr>
    </w:p>
    <w:tbl>
      <w:tblPr>
        <w:tblW w:w="10173" w:type="dxa"/>
        <w:tblLayout w:type="fixed"/>
        <w:tblLook w:firstRow="0" w:lastRow="0" w:firstColumn="0" w:lastColumn="0" w:noHBand="0" w:noVBand="0" w:val="0000"/>
      </w:tblPr>
      <w:tblGrid>
        <w:gridCol w:w="1242"/>
        <w:gridCol w:w="8931"/>
      </w:tblGrid>
      <w:tr w:rsidRPr="00C7048C" w:rsidR="00C7048C" w:rsidTr="00A036AF"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  <w:r w:rsidRPr="00C7048C">
              <w:rPr>
                <w:b/>
              </w:rPr>
              <w:t>Název kritéria</w:t>
            </w:r>
          </w:p>
        </w:tc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7B3056" w:rsidRDefault="00825D9F">
            <w:pPr>
              <w:keepNext/>
              <w:spacing w:after="0" w:line="100" w:lineRule="atLeast"/>
              <w:jc w:val="center"/>
              <w:rPr>
                <w:b/>
              </w:rPr>
            </w:pPr>
            <w:r w:rsidRPr="00C7048C">
              <w:rPr>
                <w:b/>
              </w:rPr>
              <w:t>ZÁVĚREČNÉ HODNOCENÍ</w:t>
            </w:r>
          </w:p>
          <w:p w:rsidRPr="00C7048C" w:rsidR="00825D9F" w:rsidP="00990BFF" w:rsidRDefault="00825D9F">
            <w:pPr>
              <w:spacing w:after="0" w:line="100" w:lineRule="atLeast"/>
              <w:rPr>
                <w:b/>
              </w:rPr>
            </w:pPr>
          </w:p>
        </w:tc>
      </w:tr>
      <w:tr w:rsidRPr="00C7048C" w:rsidR="00C7048C" w:rsidTr="00A036AF">
        <w:trPr>
          <w:trHeight w:val="995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rFonts w:cs="Calibri"/>
              </w:rPr>
            </w:pPr>
            <w:r w:rsidRPr="00C7048C">
              <w:rPr>
                <w:b/>
              </w:rPr>
              <w:t>Popis</w:t>
            </w:r>
          </w:p>
        </w:tc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1426DF" w:rsidP="00990BFF" w:rsidRDefault="006A608D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 xml:space="preserve">Žadatel předložil poměrně kvalitní IZ, který poukazuje na důležitou oblast s významným inovačním potenciálem. </w:t>
            </w:r>
          </w:p>
          <w:p w:rsidRPr="00C7048C" w:rsidR="001426DF" w:rsidP="00990BFF" w:rsidRDefault="001426DF">
            <w:pPr>
              <w:pStyle w:val="Bezmezer1"/>
              <w:jc w:val="both"/>
              <w:rPr>
                <w:rFonts w:cs="Calibri"/>
              </w:rPr>
            </w:pPr>
          </w:p>
          <w:p w:rsidRPr="00C7048C" w:rsidR="001426DF" w:rsidP="00990BFF" w:rsidRDefault="006A608D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 xml:space="preserve">Slabiny jsou především v oblasti argumentace, proč </w:t>
            </w:r>
            <w:r w:rsidRPr="00C7048C" w:rsidR="001426DF">
              <w:rPr>
                <w:rFonts w:cs="Calibri"/>
              </w:rPr>
              <w:t>je navrhováno právě toto řešení. HK doporučuje žadateli zpracovat plnou žádost, za předpokladu, že tato uspokojivě vyřeší následující nedostatky IZ:</w:t>
            </w:r>
          </w:p>
          <w:p w:rsidRPr="00C7048C" w:rsidR="001426DF" w:rsidP="00990BFF" w:rsidRDefault="001426DF">
            <w:pPr>
              <w:pStyle w:val="Bezmezer1"/>
              <w:jc w:val="both"/>
              <w:rPr>
                <w:rFonts w:cs="Calibri"/>
              </w:rPr>
            </w:pPr>
          </w:p>
          <w:p w:rsidR="00C31C3A" w:rsidP="00990BFF" w:rsidRDefault="006A608D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1) HK požaduje lepší argumentac</w:t>
            </w:r>
            <w:r w:rsidRPr="00C7048C" w:rsidR="001426DF">
              <w:rPr>
                <w:rFonts w:cs="Calibri"/>
              </w:rPr>
              <w:t>i</w:t>
            </w:r>
            <w:r w:rsidRPr="00C7048C">
              <w:rPr>
                <w:rFonts w:cs="Calibri"/>
              </w:rPr>
              <w:t xml:space="preserve"> očekávané kauzality, že zavedení "řízení a koordinace na národní úrovni, speciální vzdělávací program pro koordinátory dobrovolníků ve zdravotních </w:t>
            </w:r>
            <w:proofErr w:type="gramStart"/>
            <w:r w:rsidRPr="00C7048C">
              <w:rPr>
                <w:rFonts w:cs="Calibri"/>
              </w:rPr>
              <w:t>službách (...), vytvoření</w:t>
            </w:r>
            <w:proofErr w:type="gramEnd"/>
            <w:r w:rsidRPr="00C7048C">
              <w:rPr>
                <w:rFonts w:cs="Calibri"/>
              </w:rPr>
              <w:t xml:space="preserve"> pozice KDZS v katalogu prací,  zavedení jednotné národní metodiky k dobrovolnictví u PZS s prvky kvality a bezpečí a měřitelnosti efektivity a vznik celostátního systému informovanosti o programu a jeho podmínkách jak na úrovni MZ ČR, tak krajů a zdravotních pojišťoven" má přinést "rozšíření dobrovolnictví a zvýšení počtu dobrovolníků", HK uvítá především explicitní pojmenování teoretických předpokladů, na kterých tato projektová logika sto</w:t>
            </w:r>
            <w:r w:rsidRPr="00C7048C" w:rsidR="00C31C3A">
              <w:rPr>
                <w:rFonts w:cs="Calibri"/>
              </w:rPr>
              <w:t xml:space="preserve">jí.  Toto musí být </w:t>
            </w:r>
            <w:r w:rsidRPr="00C7048C" w:rsidR="001426DF">
              <w:rPr>
                <w:rFonts w:cs="Calibri"/>
              </w:rPr>
              <w:t>v ko</w:t>
            </w:r>
            <w:r w:rsidRPr="00C7048C" w:rsidR="00C31C3A">
              <w:rPr>
                <w:rFonts w:cs="Calibri"/>
              </w:rPr>
              <w:t>ntextu toho, co již v ČR funguje a co nikoli.</w:t>
            </w:r>
          </w:p>
          <w:p w:rsidRPr="00C7048C" w:rsidR="00A036AF" w:rsidP="00990BFF" w:rsidRDefault="00A036AF">
            <w:pPr>
              <w:pStyle w:val="Bezmezer1"/>
              <w:jc w:val="both"/>
              <w:rPr>
                <w:rFonts w:cs="Calibri"/>
              </w:rPr>
            </w:pPr>
          </w:p>
          <w:p w:rsidR="001426DF" w:rsidP="00990BFF" w:rsidRDefault="006A608D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2) HK požaduje vysvětlení, jak bude ošetřeno riziko "</w:t>
            </w:r>
            <w:proofErr w:type="spellStart"/>
            <w:r w:rsidRPr="00C7048C">
              <w:rPr>
                <w:rFonts w:cs="Calibri"/>
              </w:rPr>
              <w:t>one-size</w:t>
            </w:r>
            <w:proofErr w:type="spellEnd"/>
            <w:r w:rsidRPr="00C7048C">
              <w:rPr>
                <w:rFonts w:cs="Calibri"/>
              </w:rPr>
              <w:t xml:space="preserve"> </w:t>
            </w:r>
            <w:proofErr w:type="spellStart"/>
            <w:r w:rsidRPr="00C7048C">
              <w:rPr>
                <w:rFonts w:cs="Calibri"/>
              </w:rPr>
              <w:t>fits</w:t>
            </w:r>
            <w:proofErr w:type="spellEnd"/>
            <w:r w:rsidRPr="00C7048C">
              <w:rPr>
                <w:rFonts w:cs="Calibri"/>
              </w:rPr>
              <w:t xml:space="preserve"> </w:t>
            </w:r>
            <w:proofErr w:type="spellStart"/>
            <w:r w:rsidRPr="00C7048C">
              <w:rPr>
                <w:rFonts w:cs="Calibri"/>
              </w:rPr>
              <w:t>all</w:t>
            </w:r>
            <w:proofErr w:type="spellEnd"/>
            <w:r w:rsidRPr="00C7048C">
              <w:rPr>
                <w:rFonts w:cs="Calibri"/>
              </w:rPr>
              <w:t>", tj. jak nové řešení zajistí dostatečnou flexibilitu na klíčové úrovni, tj. na rozhraní PZS-dobrovolníci, aby pokryla veškerou variabilitu funkčních řešení.  HK požaduje vysvětlení, jak bude ošetřeno riziko, že nové řešení přinese zkomplikování a zbyrokratizování činností těch dobrovolnických programů, které již fungují.</w:t>
            </w:r>
          </w:p>
          <w:p w:rsidRPr="00C7048C" w:rsidR="00A036AF" w:rsidP="00990BFF" w:rsidRDefault="00A036AF">
            <w:pPr>
              <w:pStyle w:val="Bezmezer1"/>
              <w:jc w:val="both"/>
              <w:rPr>
                <w:rFonts w:cs="Calibri"/>
              </w:rPr>
            </w:pPr>
          </w:p>
          <w:p w:rsidR="001426DF" w:rsidP="00990BFF" w:rsidRDefault="001426DF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3</w:t>
            </w:r>
            <w:r w:rsidRPr="00C7048C" w:rsidR="006A608D">
              <w:rPr>
                <w:rFonts w:cs="Calibri"/>
              </w:rPr>
              <w:t xml:space="preserve">) HK požaduje, aby žadatel před </w:t>
            </w:r>
            <w:proofErr w:type="spellStart"/>
            <w:r w:rsidRPr="00C7048C" w:rsidR="006A608D">
              <w:rPr>
                <w:rFonts w:cs="Calibri"/>
              </w:rPr>
              <w:t>začátek</w:t>
            </w:r>
            <w:r w:rsidR="00032EF9">
              <w:rPr>
                <w:rFonts w:cs="Calibri"/>
              </w:rPr>
              <w:t>em</w:t>
            </w:r>
            <w:proofErr w:type="spellEnd"/>
            <w:r w:rsidRPr="00C7048C" w:rsidR="006A608D">
              <w:rPr>
                <w:rFonts w:cs="Calibri"/>
              </w:rPr>
              <w:t xml:space="preserve"> realizace podstatných částí projektu získal hlubší kvalitativní vhled do podmínek úspěchu těch DP, které fungují, i lepší zmapování překážek, proč jinde DP nefungují. Toto je možné realizovat buď před podáním plné žádosti, nebo toto lze zařadit jako aktivitu projektu předřazenou ostatním.</w:t>
            </w:r>
          </w:p>
          <w:p w:rsidRPr="00C7048C" w:rsidR="00A036AF" w:rsidP="00990BFF" w:rsidRDefault="00A036AF">
            <w:pPr>
              <w:pStyle w:val="Bezmezer1"/>
              <w:jc w:val="both"/>
              <w:rPr>
                <w:rFonts w:cs="Calibri"/>
              </w:rPr>
            </w:pPr>
          </w:p>
          <w:p w:rsidR="001426DF" w:rsidP="00990BFF" w:rsidRDefault="0056525F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4</w:t>
            </w:r>
            <w:r w:rsidR="007B3056">
              <w:rPr>
                <w:rFonts w:cs="Calibri"/>
              </w:rPr>
              <w:t>)</w:t>
            </w:r>
            <w:r w:rsidRPr="00C7048C">
              <w:rPr>
                <w:rFonts w:cs="Calibri"/>
              </w:rPr>
              <w:t xml:space="preserve"> </w:t>
            </w:r>
            <w:r w:rsidRPr="007B3056" w:rsidR="001426DF">
              <w:rPr>
                <w:rFonts w:cs="Calibri"/>
              </w:rPr>
              <w:t xml:space="preserve">HK </w:t>
            </w:r>
            <w:r w:rsidRPr="007B3056" w:rsidR="007B3056">
              <w:rPr>
                <w:rFonts w:cs="Calibri"/>
              </w:rPr>
              <w:t>požaduje</w:t>
            </w:r>
            <w:r w:rsidRPr="007B3056" w:rsidR="001426DF">
              <w:rPr>
                <w:rFonts w:cs="Calibri"/>
              </w:rPr>
              <w:t>, aby sou</w:t>
            </w:r>
            <w:r w:rsidRPr="007B3056" w:rsidR="007B3056">
              <w:rPr>
                <w:rFonts w:cs="Calibri"/>
              </w:rPr>
              <w:t>částí</w:t>
            </w:r>
            <w:r w:rsidRPr="007B3056" w:rsidR="001426DF">
              <w:rPr>
                <w:rFonts w:cs="Calibri"/>
              </w:rPr>
              <w:t xml:space="preserve"> pilot</w:t>
            </w:r>
            <w:r w:rsidRPr="007B3056" w:rsidR="007B3056">
              <w:rPr>
                <w:rFonts w:cs="Calibri"/>
              </w:rPr>
              <w:t>áže</w:t>
            </w:r>
            <w:r w:rsidRPr="007B3056" w:rsidR="001426DF">
              <w:rPr>
                <w:rFonts w:cs="Calibri"/>
              </w:rPr>
              <w:t xml:space="preserve"> byla v</w:t>
            </w:r>
            <w:r w:rsidRPr="007B3056" w:rsidR="007B3056">
              <w:rPr>
                <w:rFonts w:cs="Calibri"/>
              </w:rPr>
              <w:t>ýznamná skupina</w:t>
            </w:r>
            <w:r w:rsidRPr="007B3056" w:rsidR="001426DF">
              <w:rPr>
                <w:rFonts w:cs="Calibri"/>
              </w:rPr>
              <w:t xml:space="preserve"> PZS,</w:t>
            </w:r>
            <w:r w:rsidRPr="007B3056" w:rsidR="007B3056">
              <w:rPr>
                <w:rFonts w:cs="Calibri"/>
              </w:rPr>
              <w:t xml:space="preserve"> kteří zatím žádný</w:t>
            </w:r>
            <w:r w:rsidRPr="007B3056" w:rsidR="001426DF">
              <w:rPr>
                <w:rFonts w:cs="Calibri"/>
              </w:rPr>
              <w:t xml:space="preserve"> dobrovolnick</w:t>
            </w:r>
            <w:r w:rsidRPr="007B3056" w:rsidR="007B3056">
              <w:rPr>
                <w:rFonts w:cs="Calibri"/>
              </w:rPr>
              <w:t>ý</w:t>
            </w:r>
            <w:r w:rsidRPr="007B3056" w:rsidR="001426DF">
              <w:rPr>
                <w:rFonts w:cs="Calibri"/>
              </w:rPr>
              <w:t xml:space="preserve"> program nerealizovali.</w:t>
            </w:r>
          </w:p>
          <w:p w:rsidRPr="007B3056" w:rsidR="00A036AF" w:rsidP="00990BFF" w:rsidRDefault="00A036AF">
            <w:pPr>
              <w:pStyle w:val="Bezmezer1"/>
              <w:jc w:val="both"/>
              <w:rPr>
                <w:rFonts w:cs="Calibri"/>
              </w:rPr>
            </w:pPr>
          </w:p>
          <w:p w:rsidR="0056525F" w:rsidP="0056525F" w:rsidRDefault="0056525F">
            <w:pPr>
              <w:pStyle w:val="Bezmezer1"/>
              <w:jc w:val="both"/>
            </w:pPr>
            <w:r w:rsidRPr="007B3056">
              <w:rPr>
                <w:rFonts w:cs="Calibri"/>
              </w:rPr>
              <w:t>5</w:t>
            </w:r>
            <w:r w:rsidR="007B3056">
              <w:rPr>
                <w:rFonts w:cs="Calibri"/>
              </w:rPr>
              <w:t>)</w:t>
            </w:r>
            <w:r w:rsidRPr="007B3056">
              <w:rPr>
                <w:rFonts w:cs="Calibri"/>
              </w:rPr>
              <w:t xml:space="preserve"> H</w:t>
            </w:r>
            <w:r w:rsidR="007B3056">
              <w:rPr>
                <w:rFonts w:cs="Calibri"/>
              </w:rPr>
              <w:t>K</w:t>
            </w:r>
            <w:r w:rsidRPr="007B3056">
              <w:rPr>
                <w:rFonts w:cs="Calibri"/>
              </w:rPr>
              <w:t xml:space="preserve"> po</w:t>
            </w:r>
            <w:r w:rsidRPr="007B3056" w:rsidR="00162B77">
              <w:rPr>
                <w:rFonts w:cs="Calibri"/>
              </w:rPr>
              <w:t>ž</w:t>
            </w:r>
            <w:r w:rsidRPr="007B3056">
              <w:rPr>
                <w:rFonts w:cs="Calibri"/>
              </w:rPr>
              <w:t>aduje předložit představu o kapacitě dobrovolníků, se kterou pak žadatel bude schopen</w:t>
            </w:r>
            <w:r w:rsidRPr="00C7048C">
              <w:t xml:space="preserve"> pracovat v rámci pilotního ověření. Toto lze doložit prostřednictví</w:t>
            </w:r>
            <w:r w:rsidR="00032EF9">
              <w:t>m</w:t>
            </w:r>
            <w:r w:rsidRPr="00C7048C">
              <w:t xml:space="preserve"> partnerství s organizacemi zabývajícími se podporou dobrovolnictví, případně na základě spolupráce s nimi. </w:t>
            </w:r>
          </w:p>
          <w:p w:rsidRPr="00C7048C" w:rsidR="00A036AF" w:rsidP="0056525F" w:rsidRDefault="00A036AF">
            <w:pPr>
              <w:pStyle w:val="Bezmezer1"/>
              <w:jc w:val="both"/>
            </w:pPr>
          </w:p>
          <w:p w:rsidR="0056525F" w:rsidP="0056525F" w:rsidRDefault="0056525F">
            <w:pPr>
              <w:pStyle w:val="Bezmezer1"/>
              <w:jc w:val="both"/>
            </w:pPr>
            <w:r w:rsidRPr="00C7048C">
              <w:t>6</w:t>
            </w:r>
            <w:r w:rsidR="007B3056">
              <w:t>)</w:t>
            </w:r>
            <w:r w:rsidRPr="00C7048C">
              <w:t xml:space="preserve"> HK požaduje vysvětlit, jak bude žadatel pracovat s klíčovými aktéry včetně dobrovolníků. A dále</w:t>
            </w:r>
            <w:r w:rsidR="00032EF9">
              <w:t>,</w:t>
            </w:r>
            <w:r w:rsidRPr="00C7048C">
              <w:t xml:space="preserve"> </w:t>
            </w:r>
            <w:r w:rsidRPr="00C7048C" w:rsidR="00162B77">
              <w:t xml:space="preserve">jak bude </w:t>
            </w:r>
            <w:r w:rsidRPr="00C7048C">
              <w:t>vymezen</w:t>
            </w:r>
            <w:r w:rsidRPr="00C7048C" w:rsidR="00162B77">
              <w:t xml:space="preserve">a </w:t>
            </w:r>
            <w:r w:rsidRPr="00C7048C">
              <w:t>role pojišťoven</w:t>
            </w:r>
            <w:r w:rsidRPr="00C7048C" w:rsidR="00162B77">
              <w:t>.</w:t>
            </w:r>
          </w:p>
          <w:p w:rsidRPr="00C7048C" w:rsidR="00A036AF" w:rsidP="0056525F" w:rsidRDefault="00A036AF">
            <w:pPr>
              <w:pStyle w:val="Bezmezer1"/>
              <w:jc w:val="both"/>
            </w:pPr>
          </w:p>
          <w:p w:rsidR="0056525F" w:rsidP="0056525F" w:rsidRDefault="0056525F">
            <w:pPr>
              <w:pStyle w:val="Bezmezer1"/>
              <w:jc w:val="both"/>
            </w:pPr>
            <w:r w:rsidRPr="00C7048C">
              <w:t>7</w:t>
            </w:r>
            <w:r w:rsidR="007B3056">
              <w:t>)</w:t>
            </w:r>
            <w:r w:rsidRPr="00C7048C">
              <w:t xml:space="preserve"> HK požaduje detailněji vymezit odlišnost pozice koordinátora dobrovolníků ve </w:t>
            </w:r>
            <w:proofErr w:type="gramStart"/>
            <w:r w:rsidRPr="00C7048C">
              <w:t>zdravotnických</w:t>
            </w:r>
            <w:proofErr w:type="gramEnd"/>
            <w:r w:rsidRPr="00C7048C">
              <w:t xml:space="preserve"> zařízení od již zavedené pozice koordinátora dobrovolníků v Národní soustavě povolání.</w:t>
            </w:r>
          </w:p>
          <w:p w:rsidRPr="00C7048C" w:rsidR="00A036AF" w:rsidP="0056525F" w:rsidRDefault="00A036AF">
            <w:pPr>
              <w:pStyle w:val="Bezmezer1"/>
              <w:jc w:val="both"/>
              <w:rPr>
                <w:rFonts w:cs="Calibri"/>
              </w:rPr>
            </w:pPr>
          </w:p>
          <w:p w:rsidR="0056525F" w:rsidP="00990BFF" w:rsidRDefault="0056525F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8</w:t>
            </w:r>
            <w:r w:rsidRPr="00C7048C" w:rsidR="006A608D">
              <w:rPr>
                <w:rFonts w:cs="Calibri"/>
              </w:rPr>
              <w:t>) HK doporučuje, aby si žadatel vyjasnil design evaluace před vytvořením podoby pilotní aktivity, zejména pokud jde o to, zda evaluace bude stát na experimentální</w:t>
            </w:r>
            <w:r w:rsidRPr="00C7048C">
              <w:rPr>
                <w:rFonts w:cs="Calibri"/>
              </w:rPr>
              <w:t>m</w:t>
            </w:r>
            <w:r w:rsidRPr="00C7048C" w:rsidR="006A608D">
              <w:rPr>
                <w:rFonts w:cs="Calibri"/>
              </w:rPr>
              <w:t xml:space="preserve">, </w:t>
            </w:r>
            <w:proofErr w:type="spellStart"/>
            <w:r w:rsidRPr="00C7048C" w:rsidR="006A608D">
              <w:rPr>
                <w:rFonts w:cs="Calibri"/>
              </w:rPr>
              <w:t>kvaziexperimentální</w:t>
            </w:r>
            <w:r w:rsidRPr="00C7048C">
              <w:rPr>
                <w:rFonts w:cs="Calibri"/>
              </w:rPr>
              <w:t>m</w:t>
            </w:r>
            <w:proofErr w:type="spellEnd"/>
            <w:r w:rsidRPr="00C7048C" w:rsidR="006A608D">
              <w:rPr>
                <w:rFonts w:cs="Calibri"/>
              </w:rPr>
              <w:t xml:space="preserve"> či neexperimentální</w:t>
            </w:r>
            <w:r w:rsidRPr="00C7048C">
              <w:rPr>
                <w:rFonts w:cs="Calibri"/>
              </w:rPr>
              <w:t>m</w:t>
            </w:r>
            <w:r w:rsidRPr="00C7048C" w:rsidR="006A608D">
              <w:rPr>
                <w:rFonts w:cs="Calibri"/>
              </w:rPr>
              <w:t xml:space="preserve"> designu a jaké budou základní jednotky analýzy. </w:t>
            </w:r>
          </w:p>
          <w:p w:rsidRPr="00C7048C" w:rsidR="00A036AF" w:rsidP="00990BFF" w:rsidRDefault="00A036AF">
            <w:pPr>
              <w:pStyle w:val="Bezmezer1"/>
              <w:jc w:val="both"/>
              <w:rPr>
                <w:rFonts w:cs="Calibri"/>
              </w:rPr>
            </w:pPr>
            <w:bookmarkStart w:name="_GoBack" w:id="0"/>
            <w:bookmarkEnd w:id="0"/>
          </w:p>
          <w:p w:rsidRPr="00C7048C" w:rsidR="009A1789" w:rsidP="0056525F" w:rsidRDefault="0056525F">
            <w:pPr>
              <w:pStyle w:val="Bezmezer1"/>
              <w:jc w:val="both"/>
              <w:rPr>
                <w:rFonts w:cs="Calibri"/>
              </w:rPr>
            </w:pPr>
            <w:r w:rsidRPr="00C7048C">
              <w:rPr>
                <w:rFonts w:cs="Calibri"/>
              </w:rPr>
              <w:t>9</w:t>
            </w:r>
            <w:r w:rsidRPr="00C7048C" w:rsidR="006A608D">
              <w:rPr>
                <w:rFonts w:cs="Calibri"/>
              </w:rPr>
              <w:t>) Nad rámec hodnocení tohoto IZ HK předznamenává, že při posuzování plné projektové žádosti bude dbát na to, aby pilotní aspekt navrhované SI byl ústřední a nikoliv okrajovou aktivitou projektu, aby se zkušenosti z pilotáže byly dostatečně robustně evaluovány a aby tato zpětná vazba byla schopná d</w:t>
            </w:r>
            <w:r w:rsidRPr="00C7048C">
              <w:rPr>
                <w:rFonts w:cs="Calibri"/>
              </w:rPr>
              <w:t>ostatečně ovlivnit finální nasta</w:t>
            </w:r>
            <w:r w:rsidRPr="00C7048C" w:rsidR="006A608D">
              <w:rPr>
                <w:rFonts w:cs="Calibri"/>
              </w:rPr>
              <w:t>vení celého systému podpory dobrovolnictví.</w:t>
            </w:r>
          </w:p>
        </w:tc>
      </w:tr>
      <w:tr w:rsidRPr="00C7048C" w:rsidR="00825D9F" w:rsidTr="00A036AF">
        <w:trPr>
          <w:trHeight w:val="564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7048C" w:rsidR="00825D9F" w:rsidP="00990BFF" w:rsidRDefault="00825D9F">
            <w:pPr>
              <w:spacing w:after="0" w:line="100" w:lineRule="atLeast"/>
              <w:rPr>
                <w:rFonts w:cs="Calibri"/>
                <w:b/>
              </w:rPr>
            </w:pPr>
            <w:r w:rsidRPr="00C7048C">
              <w:rPr>
                <w:b/>
              </w:rPr>
              <w:lastRenderedPageBreak/>
              <w:t>Výsledné slovní hodnocení projektu</w:t>
            </w:r>
          </w:p>
        </w:tc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B3056" w:rsidR="00825D9F" w:rsidP="00AA7044" w:rsidRDefault="0056525F">
            <w:pPr>
              <w:pStyle w:val="Bezmezer1"/>
              <w:jc w:val="both"/>
              <w:rPr>
                <w:rFonts w:cs="Calibri"/>
                <w:b/>
              </w:rPr>
            </w:pPr>
            <w:r w:rsidRPr="007B3056">
              <w:rPr>
                <w:rFonts w:cs="Calibri"/>
                <w:b/>
              </w:rPr>
              <w:t>H</w:t>
            </w:r>
            <w:r w:rsidR="00AA7044">
              <w:rPr>
                <w:rFonts w:cs="Calibri"/>
                <w:b/>
              </w:rPr>
              <w:t xml:space="preserve">odnotící </w:t>
            </w:r>
            <w:proofErr w:type="gramStart"/>
            <w:r w:rsidR="00AA7044">
              <w:rPr>
                <w:rFonts w:cs="Calibri"/>
                <w:b/>
              </w:rPr>
              <w:t xml:space="preserve">komise </w:t>
            </w:r>
            <w:r w:rsidRPr="007B3056">
              <w:rPr>
                <w:rFonts w:cs="Calibri"/>
                <w:b/>
              </w:rPr>
              <w:t xml:space="preserve"> </w:t>
            </w:r>
            <w:r w:rsidRPr="007B3056" w:rsidR="007B3056">
              <w:rPr>
                <w:rFonts w:cs="Calibri"/>
                <w:b/>
              </w:rPr>
              <w:t>doporučuje</w:t>
            </w:r>
            <w:proofErr w:type="gramEnd"/>
            <w:r w:rsidRPr="007B3056">
              <w:rPr>
                <w:rFonts w:cs="Calibri"/>
                <w:b/>
              </w:rPr>
              <w:t xml:space="preserve"> předběžnou zadost k </w:t>
            </w:r>
            <w:r w:rsidR="007B3056">
              <w:rPr>
                <w:rFonts w:cs="Calibri"/>
                <w:b/>
              </w:rPr>
              <w:t>rozpracování</w:t>
            </w:r>
            <w:r w:rsidRPr="007B3056">
              <w:rPr>
                <w:rFonts w:cs="Calibri"/>
                <w:b/>
              </w:rPr>
              <w:t xml:space="preserve"> do </w:t>
            </w:r>
            <w:r w:rsidRPr="007B3056" w:rsidR="007B3056">
              <w:rPr>
                <w:rFonts w:cs="Calibri"/>
                <w:b/>
              </w:rPr>
              <w:t>plné</w:t>
            </w:r>
            <w:r w:rsidR="007B3056">
              <w:rPr>
                <w:rFonts w:cs="Calibri"/>
                <w:b/>
              </w:rPr>
              <w:t xml:space="preserve"> </w:t>
            </w:r>
            <w:r w:rsidR="00AA7044">
              <w:rPr>
                <w:rFonts w:cs="Calibri"/>
                <w:b/>
              </w:rPr>
              <w:t xml:space="preserve">projektové </w:t>
            </w:r>
            <w:r w:rsidR="007B3056">
              <w:rPr>
                <w:rFonts w:cs="Calibri"/>
                <w:b/>
              </w:rPr>
              <w:t>žádosti</w:t>
            </w:r>
            <w:r w:rsidRPr="007B3056">
              <w:rPr>
                <w:rFonts w:cs="Calibri"/>
                <w:b/>
              </w:rPr>
              <w:t xml:space="preserve"> za předpokladu </w:t>
            </w:r>
            <w:r w:rsidR="007B3056">
              <w:rPr>
                <w:rFonts w:cs="Calibri"/>
                <w:b/>
              </w:rPr>
              <w:t>zohlednění</w:t>
            </w:r>
            <w:r w:rsidRPr="007B3056">
              <w:rPr>
                <w:rFonts w:cs="Calibri"/>
                <w:b/>
              </w:rPr>
              <w:t xml:space="preserve"> podmínek stanovených HK. </w:t>
            </w:r>
          </w:p>
        </w:tc>
      </w:tr>
    </w:tbl>
    <w:p w:rsidRPr="00C7048C" w:rsidR="00043C1D" w:rsidRDefault="00A45720"/>
    <w:sectPr w:rsidRPr="00C7048C" w:rsidR="00043C1D" w:rsidSect="00A036A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5D9F" w:rsidP="00825D9F" w:rsidRDefault="00825D9F">
      <w:pPr>
        <w:spacing w:after="0" w:line="240" w:lineRule="auto"/>
      </w:pPr>
      <w:r>
        <w:separator/>
      </w:r>
    </w:p>
  </w:endnote>
  <w:endnote w:type="continuationSeparator" w:id="0">
    <w:p w:rsidR="00825D9F" w:rsidP="00825D9F" w:rsidRDefault="0082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5D9F" w:rsidP="00825D9F" w:rsidRDefault="00825D9F">
      <w:pPr>
        <w:spacing w:after="0" w:line="240" w:lineRule="auto"/>
      </w:pPr>
      <w:r>
        <w:separator/>
      </w:r>
    </w:p>
  </w:footnote>
  <w:footnote w:type="continuationSeparator" w:id="0">
    <w:p w:rsidR="00825D9F" w:rsidP="00825D9F" w:rsidRDefault="0082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5D9F" w:rsidP="00825D9F" w:rsidRDefault="00825D9F">
    <w:pPr>
      <w:pStyle w:val="Zhlav"/>
      <w:tabs>
        <w:tab w:val="clear" w:pos="4536"/>
        <w:tab w:val="clear" w:pos="9072"/>
        <w:tab w:val="left" w:pos="930"/>
      </w:tabs>
    </w:pPr>
    <w:r>
      <w:rPr>
        <w:noProof/>
        <w:lang w:eastAsia="cs-CZ"/>
      </w:rPr>
      <w:drawing>
        <wp:inline distT="0" distB="0" distL="0" distR="0">
          <wp:extent cx="3121660" cy="628015"/>
          <wp:effectExtent l="0" t="0" r="2540" b="63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9F"/>
    <w:rsid w:val="00032EF9"/>
    <w:rsid w:val="001426DF"/>
    <w:rsid w:val="00162B77"/>
    <w:rsid w:val="002C1A36"/>
    <w:rsid w:val="00442902"/>
    <w:rsid w:val="004E581B"/>
    <w:rsid w:val="0056525F"/>
    <w:rsid w:val="006A608D"/>
    <w:rsid w:val="006A7806"/>
    <w:rsid w:val="007214C5"/>
    <w:rsid w:val="00771B28"/>
    <w:rsid w:val="007B3056"/>
    <w:rsid w:val="007D0061"/>
    <w:rsid w:val="00825D9F"/>
    <w:rsid w:val="009A1789"/>
    <w:rsid w:val="00A036AF"/>
    <w:rsid w:val="00AA7044"/>
    <w:rsid w:val="00B27DD9"/>
    <w:rsid w:val="00C31C3A"/>
    <w:rsid w:val="00C7048C"/>
    <w:rsid w:val="00C806F0"/>
    <w:rsid w:val="00CE664C"/>
    <w:rsid w:val="00D556F0"/>
    <w:rsid w:val="00E80E88"/>
    <w:rsid w:val="00E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5D9F"/>
    <w:pPr>
      <w:suppressAutoHyphens/>
    </w:pPr>
    <w:rPr>
      <w:rFonts w:ascii="Calibri" w:hAnsi="Calibri" w:eastAsia="SimSun" w:cs="font29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1" w:customStyle="true">
    <w:name w:val="Bez mezer1"/>
    <w:rsid w:val="00825D9F"/>
    <w:pPr>
      <w:suppressAutoHyphens/>
      <w:spacing w:after="0" w:line="100" w:lineRule="atLeast"/>
    </w:pPr>
    <w:rPr>
      <w:rFonts w:ascii="Calibri" w:hAnsi="Calibri" w:eastAsia="SimSun" w:cs="font290"/>
      <w:lang w:eastAsia="ar-SA"/>
    </w:rPr>
  </w:style>
  <w:style w:type="paragraph" w:styleId="Tabulkatext9" w:customStyle="true">
    <w:name w:val="Tabulka text9"/>
    <w:rsid w:val="00825D9F"/>
    <w:pPr>
      <w:suppressAutoHyphens/>
      <w:spacing w:before="60" w:after="60" w:line="100" w:lineRule="atLeast"/>
      <w:ind w:left="57" w:right="57"/>
    </w:pPr>
    <w:rPr>
      <w:rFonts w:ascii="Calibri" w:hAnsi="Calibri" w:eastAsia="SimSun" w:cs="font290"/>
      <w:sz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25D9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25D9F"/>
    <w:rPr>
      <w:rFonts w:ascii="Calibri" w:hAnsi="Calibri" w:eastAsia="SimSun" w:cs="font29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25D9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25D9F"/>
    <w:rPr>
      <w:rFonts w:ascii="Calibri" w:hAnsi="Calibri" w:eastAsia="SimSun" w:cs="font29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5D9F"/>
    <w:rPr>
      <w:rFonts w:ascii="Tahoma" w:hAnsi="Tahoma" w:eastAsia="SimSun" w:cs="Tahoma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5D9F"/>
    <w:pPr>
      <w:suppressAutoHyphens/>
    </w:pPr>
    <w:rPr>
      <w:rFonts w:ascii="Calibri" w:cs="font290" w:eastAsia="SimSun" w:hAnsi="Calibri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ezmezer1" w:type="paragraph">
    <w:name w:val="Bez mezer1"/>
    <w:rsid w:val="00825D9F"/>
    <w:pPr>
      <w:suppressAutoHyphens/>
      <w:spacing w:after="0" w:line="100" w:lineRule="atLeast"/>
    </w:pPr>
    <w:rPr>
      <w:rFonts w:ascii="Calibri" w:cs="font290" w:eastAsia="SimSun" w:hAnsi="Calibri"/>
      <w:lang w:eastAsia="ar-SA"/>
    </w:rPr>
  </w:style>
  <w:style w:customStyle="1" w:styleId="Tabulkatext9" w:type="paragraph">
    <w:name w:val="Tabulka text9"/>
    <w:rsid w:val="00825D9F"/>
    <w:pPr>
      <w:suppressAutoHyphens/>
      <w:spacing w:after="60" w:before="60" w:line="100" w:lineRule="atLeast"/>
      <w:ind w:left="57" w:right="57"/>
    </w:pPr>
    <w:rPr>
      <w:rFonts w:ascii="Calibri" w:cs="font290" w:eastAsia="SimSun" w:hAnsi="Calibri"/>
      <w:sz w:val="20"/>
      <w:lang w:eastAsia="ar-SA"/>
    </w:rPr>
  </w:style>
  <w:style w:styleId="Zhlav" w:type="paragraph">
    <w:name w:val="header"/>
    <w:basedOn w:val="Normln"/>
    <w:link w:val="ZhlavChar"/>
    <w:uiPriority w:val="99"/>
    <w:unhideWhenUsed/>
    <w:rsid w:val="00825D9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25D9F"/>
    <w:rPr>
      <w:rFonts w:ascii="Calibri" w:cs="font290" w:eastAsia="SimSun" w:hAnsi="Calibri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825D9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25D9F"/>
    <w:rPr>
      <w:rFonts w:ascii="Calibri" w:cs="font290" w:eastAsia="SimSun" w:hAnsi="Calibri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25D9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5D9F"/>
    <w:rPr>
      <w:rFonts w:ascii="Tahoma" w:cs="Tahoma" w:eastAsia="SimSun" w:hAnsi="Tahoma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76962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240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8473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8472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29091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2390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1830</properties:Words>
  <properties:Characters>10801</properties:Characters>
  <properties:Lines>90</properties:Lines>
  <properties:Paragraphs>25</properties:Paragraphs>
  <properties:TotalTime>1393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2017-08-09T07:05:00Z</dcterms:created>
  <dc:creator/>
  <cp:lastModifiedBy/>
  <cp:lastPrinted>2017-08-10T07:06:00Z</cp:lastPrinted>
  <dcterms:modified xmlns:xsi="http://www.w3.org/2001/XMLSchema-instance" xsi:type="dcterms:W3CDTF">2017-08-11T05:53:00Z</dcterms:modified>
  <cp:revision>5</cp:revision>
</cp:coreProperties>
</file>