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F5374" w:rsidP="008B4D13" w:rsidRDefault="001F5374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2"/>
          <w:szCs w:val="22"/>
        </w:rPr>
      </w:pPr>
    </w:p>
    <w:p w:rsidRPr="00BE74FE" w:rsidR="00D349D8" w:rsidP="00D349D8" w:rsidRDefault="00D349D8">
      <w:pPr>
        <w:pStyle w:val="msolistparagraph0"/>
        <w:spacing w:before="0" w:beforeAutospacing="false" w:after="0" w:afterAutospacing="false"/>
        <w:jc w:val="center"/>
        <w:rPr>
          <w:rFonts w:eastAsia="Times New Roman" w:cs="Arial" w:asciiTheme="minorHAnsi" w:hAnsiTheme="minorHAnsi"/>
          <w:sz w:val="32"/>
          <w:szCs w:val="32"/>
        </w:rPr>
      </w:pPr>
      <w:r w:rsidRPr="00BE74FE">
        <w:rPr>
          <w:rFonts w:eastAsia="Times New Roman" w:cs="Arial" w:asciiTheme="minorHAnsi" w:hAnsiTheme="minorHAnsi"/>
          <w:sz w:val="32"/>
          <w:szCs w:val="32"/>
        </w:rPr>
        <w:t>Příloha č. 6 - Bližší specifikace předmětu plnění zakázky</w:t>
      </w:r>
    </w:p>
    <w:p w:rsidRPr="00BE74FE" w:rsidR="00D349D8" w:rsidP="008B4D13" w:rsidRDefault="00D349D8">
      <w:pPr>
        <w:pStyle w:val="msolistparagraph0"/>
        <w:spacing w:before="0" w:beforeAutospacing="false" w:after="0" w:afterAutospacing="false"/>
        <w:jc w:val="both"/>
        <w:rPr>
          <w:rFonts w:cs="Arial" w:asciiTheme="minorHAnsi" w:hAnsiTheme="minorHAnsi"/>
          <w:b/>
          <w:sz w:val="22"/>
          <w:szCs w:val="22"/>
        </w:rPr>
      </w:pPr>
    </w:p>
    <w:p w:rsidRPr="00BE74FE" w:rsidR="008B4D13" w:rsidP="00F41A72" w:rsidRDefault="008B4D13">
      <w:pPr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 xml:space="preserve">Předmětem plnění veřejné zakázky je zpracování analytické části, SWOT analýzy, strategické a implementační části </w:t>
      </w:r>
      <w:r w:rsidRPr="00BE74FE">
        <w:rPr>
          <w:rFonts w:cs="Arial" w:asciiTheme="minorHAnsi" w:hAnsiTheme="minorHAnsi"/>
          <w:b/>
          <w:sz w:val="22"/>
          <w:szCs w:val="22"/>
        </w:rPr>
        <w:t>Strategický rozvojový dokument Rozvoj Smart City v Milevsku: Živé Milevsko - Smart Region</w:t>
      </w:r>
      <w:r w:rsidRPr="00BE74FE">
        <w:rPr>
          <w:rFonts w:cs="Arial" w:asciiTheme="minorHAnsi" w:hAnsiTheme="minorHAnsi"/>
          <w:sz w:val="22"/>
          <w:szCs w:val="22"/>
        </w:rPr>
        <w:t xml:space="preserve"> v tomto rozsahu:</w:t>
      </w:r>
    </w:p>
    <w:p w:rsidRPr="00BE74FE" w:rsidR="003A697C" w:rsidP="003A697C" w:rsidRDefault="008B4D13">
      <w:pPr>
        <w:pStyle w:val="Nadpis1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Analytická část</w:t>
      </w:r>
    </w:p>
    <w:p w:rsidRPr="00BE74FE" w:rsidR="007F0D7B" w:rsidP="00ED78BB" w:rsidRDefault="007F0D7B">
      <w:pPr>
        <w:pStyle w:val="Odstavecseseznamem"/>
        <w:numPr>
          <w:ilvl w:val="0"/>
          <w:numId w:val="11"/>
        </w:numPr>
        <w:spacing w:after="160" w:line="256" w:lineRule="auto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 xml:space="preserve">Analýza současných rozvojových dokumentů a jejich vztahu k rozvoji a vývoji v oblasti Smart City </w:t>
      </w:r>
    </w:p>
    <w:p w:rsidRPr="00BE74FE" w:rsidR="007F0D7B" w:rsidP="00ED78BB" w:rsidRDefault="00F41A72">
      <w:pPr>
        <w:pStyle w:val="Odstavecseseznamem"/>
        <w:numPr>
          <w:ilvl w:val="0"/>
          <w:numId w:val="11"/>
        </w:numPr>
        <w:spacing w:after="160" w:line="256" w:lineRule="auto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Analýza stavu regionu – obecná</w:t>
      </w:r>
    </w:p>
    <w:p w:rsidRPr="00BE74FE" w:rsidR="00F41A72" w:rsidP="00F41A72" w:rsidRDefault="00F41A72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 xml:space="preserve">Se zaměřením </w:t>
      </w:r>
      <w:proofErr w:type="gramStart"/>
      <w:r w:rsidRPr="00BE74FE">
        <w:rPr>
          <w:rFonts w:cs="Arial" w:asciiTheme="minorHAnsi" w:hAnsiTheme="minorHAnsi"/>
          <w:sz w:val="22"/>
          <w:szCs w:val="22"/>
        </w:rPr>
        <w:t>na</w:t>
      </w:r>
      <w:proofErr w:type="gramEnd"/>
      <w:r w:rsidRPr="00BE74FE">
        <w:rPr>
          <w:rFonts w:cs="Arial" w:asciiTheme="minorHAnsi" w:hAnsiTheme="minorHAnsi"/>
          <w:sz w:val="22"/>
          <w:szCs w:val="22"/>
        </w:rPr>
        <w:t>: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Současný image města, profil regionu, „</w:t>
      </w:r>
      <w:proofErr w:type="spellStart"/>
      <w:r w:rsidRPr="00BE74FE">
        <w:rPr>
          <w:rFonts w:eastAsia="Times New Roman" w:cs="Arial" w:asciiTheme="minorHAnsi" w:hAnsiTheme="minorHAnsi"/>
          <w:lang w:eastAsia="cs-CZ"/>
        </w:rPr>
        <w:t>positioning</w:t>
      </w:r>
      <w:proofErr w:type="spellEnd"/>
      <w:r w:rsidRPr="00BE74FE">
        <w:rPr>
          <w:rFonts w:eastAsia="Times New Roman" w:cs="Arial" w:asciiTheme="minorHAnsi" w:hAnsiTheme="minorHAnsi"/>
          <w:lang w:eastAsia="cs-CZ"/>
        </w:rPr>
        <w:t xml:space="preserve">“ – jak chceme, aby lidé vnímali region Milevsko. 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Odkazy na historii města, symboly města, kulturní dědictví, významné osobnosti.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Podnikatelství a ekonomický rozvoj – komparativní výhody regionu.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Věda, výzkum, inovace – příležitosti, současní inovátoři v regionu.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Rozvoj města/regionu, územní plán – schválená koncepce s komentářem, estetické vnímání města, dlouhodobý územní rozvoj.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Bydlení – struktura typu bydliště obyvatel.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Kvalita života – zdraví, vzdělání, sport, kultura a volný čas.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Podpora ohrožených skupin obyvatelstva – jak je zajištěna podpora rodiny, boj s dlouhodobou nezaměstnaností, začleňování a příležitosti pro zdravotně postižené, podpora menšin apod.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Bezpečnost obyvatel a zajištění výkonu práva – moderní městská policie, moderní systémy varování, vyškolený krizový tým, zvládnuté situace v minulosti, vývoj kriminality apod.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 xml:space="preserve">Kvalita životního prostředí – ochrana přírody, kvalita ovzduší, pitná voda, teplo, kanalizace, </w:t>
      </w:r>
      <w:r w:rsidRPr="00BE74FE" w:rsidR="001F5374">
        <w:rPr>
          <w:rFonts w:eastAsia="Times New Roman" w:cs="Arial" w:asciiTheme="minorHAnsi" w:hAnsiTheme="minorHAnsi"/>
          <w:lang w:eastAsia="cs-CZ"/>
        </w:rPr>
        <w:t>čističky, hluk, prašnost</w:t>
      </w:r>
      <w:r w:rsidRPr="00BE74FE">
        <w:rPr>
          <w:rFonts w:eastAsia="Times New Roman" w:cs="Arial" w:asciiTheme="minorHAnsi" w:hAnsiTheme="minorHAnsi"/>
          <w:lang w:eastAsia="cs-CZ"/>
        </w:rPr>
        <w:t>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Doprava a dopravní infrastruktura dle typu – silnice, železnice, cyklostezky, pěší, vodní, letecká.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Partnerské regiony, globální spolupráce – zhodnocení přínosu kooperace pro region.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Efektivnost státní správy – zhodnocení modernizace vztahu občan – úřad, úřad – úřad, firma – úřad. Nové metody a technologie – inovace.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Finanční situace – účast v grantech.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 xml:space="preserve">Priority EU, priority státu/kraje </w:t>
      </w:r>
      <w:r w:rsidRPr="00BE74FE" w:rsidR="00ED78BB">
        <w:rPr>
          <w:rFonts w:eastAsia="Times New Roman" w:cs="Arial" w:asciiTheme="minorHAnsi" w:hAnsiTheme="minorHAnsi"/>
          <w:lang w:eastAsia="cs-CZ"/>
        </w:rPr>
        <w:t>-</w:t>
      </w:r>
      <w:r w:rsidRPr="00BE74FE">
        <w:rPr>
          <w:rFonts w:eastAsia="Times New Roman" w:cs="Arial" w:asciiTheme="minorHAnsi" w:hAnsiTheme="minorHAnsi"/>
          <w:lang w:eastAsia="cs-CZ"/>
        </w:rPr>
        <w:t xml:space="preserve"> které priority musí dodržet Milevsko.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Strategická vize = 1 úderná vize</w:t>
      </w:r>
      <w:r w:rsidRPr="00BE74FE" w:rsidR="001F5374">
        <w:rPr>
          <w:rFonts w:eastAsia="Times New Roman" w:cs="Arial" w:asciiTheme="minorHAnsi" w:hAnsiTheme="minorHAnsi"/>
          <w:lang w:eastAsia="cs-CZ"/>
        </w:rPr>
        <w:t xml:space="preserve"> (formulace priorit)</w:t>
      </w:r>
      <w:r w:rsidRPr="00BE74FE">
        <w:rPr>
          <w:rFonts w:eastAsia="Times New Roman" w:cs="Arial" w:asciiTheme="minorHAnsi" w:hAnsiTheme="minorHAnsi"/>
          <w:lang w:eastAsia="cs-CZ"/>
        </w:rPr>
        <w:t>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Plány města na střednědobý horizont 3-5 let v prioritních oblastech pro postupné dosažení vize a odstranění známých problémů.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Formulace SMARTER plánů.</w:t>
      </w:r>
    </w:p>
    <w:p w:rsidRPr="00BE74FE" w:rsidR="001F5374" w:rsidRDefault="001F5374">
      <w:pPr>
        <w:spacing w:after="200" w:line="276" w:lineRule="auto"/>
        <w:rPr>
          <w:rFonts w:asciiTheme="minorHAnsi" w:hAnsiTheme="minorHAnsi"/>
        </w:rPr>
      </w:pPr>
      <w:r w:rsidRPr="00BE74FE">
        <w:rPr>
          <w:rFonts w:asciiTheme="minorHAnsi" w:hAnsiTheme="minorHAnsi"/>
        </w:rPr>
        <w:br w:type="page"/>
      </w:r>
    </w:p>
    <w:p w:rsidRPr="00BE74FE" w:rsidR="001F5374" w:rsidP="001F5374" w:rsidRDefault="001F5374">
      <w:pPr>
        <w:rPr>
          <w:rFonts w:asciiTheme="minorHAnsi" w:hAnsiTheme="minorHAnsi"/>
        </w:rPr>
      </w:pPr>
    </w:p>
    <w:p w:rsidRPr="00BE74FE" w:rsidR="003A697C" w:rsidP="003A697C" w:rsidRDefault="00F41A72">
      <w:pPr>
        <w:pStyle w:val="Nadpis2"/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BE74FE">
        <w:rPr>
          <w:rFonts w:asciiTheme="minorHAnsi" w:hAnsiTheme="minorHAnsi"/>
          <w:i w:val="false"/>
          <w:sz w:val="22"/>
          <w:szCs w:val="22"/>
        </w:rPr>
        <w:t>Součástí analytické části bude rovněž</w:t>
      </w:r>
      <w:r w:rsidRPr="00BE74FE" w:rsidR="003A697C">
        <w:rPr>
          <w:rFonts w:asciiTheme="minorHAnsi" w:hAnsiTheme="minorHAnsi"/>
          <w:i w:val="false"/>
          <w:sz w:val="22"/>
          <w:szCs w:val="22"/>
        </w:rPr>
        <w:t>:</w:t>
      </w:r>
    </w:p>
    <w:p w:rsidRPr="00BE74FE" w:rsidR="003A697C" w:rsidP="003A697C" w:rsidRDefault="00ED78BB">
      <w:pPr>
        <w:pStyle w:val="Nadpis2"/>
        <w:numPr>
          <w:ilvl w:val="0"/>
          <w:numId w:val="14"/>
        </w:numPr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BE74FE">
        <w:rPr>
          <w:rFonts w:asciiTheme="minorHAnsi" w:hAnsiTheme="minorHAnsi"/>
          <w:i w:val="false"/>
          <w:sz w:val="22"/>
          <w:szCs w:val="22"/>
        </w:rPr>
        <w:t xml:space="preserve">Identifikace pilířů provádění návazných strategií  </w:t>
      </w:r>
    </w:p>
    <w:p w:rsidRPr="00BE74FE" w:rsidR="00F41A72" w:rsidP="00F41A72" w:rsidRDefault="00F41A72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Cílem tohoto úkolu je zjistit, které skutečnosti je třeba vykonat, které problémy odstranit, na co se dlouhodobě zaměřit, aby návazné strategie pro podnikatelství, cestovní ruch a dopravu byly úspěšné. K tomu je třeba sestavit dotazník, který schválí odborný garant a zástupce zadavatele. Výstupem je výzkumná zpráva z dotazníkového šetření. Tento výzkum je nutný pro o</w:t>
      </w:r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věření tzv. „</w:t>
      </w:r>
      <w:proofErr w:type="spellStart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defender</w:t>
      </w:r>
      <w:proofErr w:type="spellEnd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strategy</w:t>
      </w:r>
      <w:proofErr w:type="spellEnd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“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footnoteReference w:id="1"/>
      </w:r>
      <w:r w:rsidRPr="00BE74FE">
        <w:rPr>
          <w:rFonts w:cs="Arial" w:asciiTheme="minorHAnsi" w:hAnsiTheme="minorHAnsi"/>
          <w:bCs/>
          <w:iCs/>
          <w:sz w:val="22"/>
          <w:szCs w:val="22"/>
        </w:rPr>
        <w:t>, kdy se město či region musí nejprve rozvíjet tím, že odstraňuje bariéry růstu regionu (bydlení, životní prostředí, estetický dojem z města…) a bariéry v podobě současného portfolia služeb (zdravotní a sociální služby).</w:t>
      </w:r>
    </w:p>
    <w:p w:rsidRPr="00BE74FE" w:rsidR="00F41A72" w:rsidP="00F41A72" w:rsidRDefault="00F41A72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  <w:highlight w:val="yellow"/>
        </w:rPr>
      </w:pPr>
    </w:p>
    <w:p w:rsidRPr="00BE74FE" w:rsidR="00F41A72" w:rsidP="001F5374" w:rsidRDefault="003A697C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  <w:highlight w:val="yellow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P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rovedení šetření </w:t>
      </w:r>
      <w:r w:rsidRPr="00BE74FE" w:rsidR="00ED78BB">
        <w:rPr>
          <w:rFonts w:asciiTheme="minorHAnsi" w:hAnsiTheme="minorHAnsi"/>
          <w:b w:val="false"/>
          <w:i w:val="false"/>
          <w:sz w:val="22"/>
          <w:szCs w:val="22"/>
        </w:rPr>
        <w:t xml:space="preserve">bude provedeno 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na základě </w:t>
      </w:r>
      <w:r w:rsidRPr="00BE74FE" w:rsidR="00F41A72">
        <w:rPr>
          <w:rFonts w:asciiTheme="minorHAnsi" w:hAnsiTheme="minorHAnsi"/>
          <w:i w:val="false"/>
          <w:sz w:val="22"/>
          <w:szCs w:val="22"/>
        </w:rPr>
        <w:t>vlastního dotazníku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a metodiky provádění průzkumu, např. kompilací dotazníků s větším množstvím tzv. otevřených otázek s volnou výpovědí respondentů. Podmínkou je oslovení reprezentativního vzorku (min</w:t>
      </w:r>
      <w:r w:rsidR="004940A1">
        <w:rPr>
          <w:rFonts w:asciiTheme="minorHAnsi" w:hAnsiTheme="minorHAnsi"/>
          <w:b w:val="false"/>
          <w:i w:val="false"/>
          <w:sz w:val="22"/>
          <w:szCs w:val="22"/>
        </w:rPr>
        <w:t>.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  <w:r w:rsidR="0047147A">
        <w:rPr>
          <w:rFonts w:asciiTheme="minorHAnsi" w:hAnsiTheme="minorHAnsi"/>
          <w:b w:val="false"/>
          <w:i w:val="false"/>
          <w:sz w:val="22"/>
          <w:szCs w:val="22"/>
        </w:rPr>
        <w:t>1</w:t>
      </w:r>
      <w:r w:rsidR="004940A1">
        <w:rPr>
          <w:rFonts w:asciiTheme="minorHAnsi" w:hAnsiTheme="minorHAnsi"/>
          <w:b w:val="false"/>
          <w:i w:val="false"/>
          <w:sz w:val="22"/>
          <w:szCs w:val="22"/>
        </w:rPr>
        <w:t>5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respondentů v každé kategorii) obyvatel v těchto skupinách: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 xml:space="preserve">Podnikatelský sektor – malých a středních firem (9-249 zaměstnanců) 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 xml:space="preserve">Podnikatelský sektor – velkých firem </w:t>
      </w:r>
      <w:bookmarkStart w:name="_GoBack" w:id="0"/>
      <w:r w:rsidRPr="00BE74FE">
        <w:rPr>
          <w:rFonts w:cs="Arial" w:asciiTheme="minorHAnsi" w:hAnsiTheme="minorHAnsi"/>
          <w:bCs/>
          <w:iCs/>
          <w:sz w:val="22"/>
          <w:szCs w:val="22"/>
        </w:rPr>
        <w:t>(</w:t>
      </w:r>
      <w:r w:rsidR="00EE705C">
        <w:rPr>
          <w:rFonts w:cs="Arial" w:asciiTheme="minorHAnsi" w:hAnsiTheme="minorHAnsi"/>
          <w:bCs/>
          <w:iCs/>
          <w:sz w:val="22"/>
          <w:szCs w:val="22"/>
        </w:rPr>
        <w:t>250+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 xml:space="preserve"> zaměstnanců</w:t>
      </w:r>
      <w:bookmarkEnd w:id="0"/>
      <w:r w:rsidRPr="00BE74FE">
        <w:rPr>
          <w:rFonts w:cs="Arial" w:asciiTheme="minorHAnsi" w:hAnsiTheme="minorHAnsi"/>
          <w:bCs/>
          <w:iCs/>
          <w:sz w:val="22"/>
          <w:szCs w:val="22"/>
        </w:rPr>
        <w:t xml:space="preserve">) 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15-35 let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36-50 let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51+ let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Absolventi středních a vysokých škol v regionu (do 5 let po absolvování)</w:t>
      </w:r>
    </w:p>
    <w:p w:rsidRPr="00BE74FE" w:rsidR="00F41A72" w:rsidP="00F41A72" w:rsidRDefault="00F41A72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 xml:space="preserve">Otázky směřují na nutné podmínky rozvoje regionu pro obyvatele, co je třeba nejprve udělat, aby se v regionu žilo lépe. Zástupce zadavatele má právo účastnit se min. 10 % řízených rozhovorů. </w:t>
      </w:r>
    </w:p>
    <w:p w:rsidRPr="00BE74FE" w:rsidR="00F41A72" w:rsidP="00F41A72" w:rsidRDefault="00F41A72">
      <w:pPr>
        <w:spacing w:before="80"/>
        <w:jc w:val="both"/>
        <w:rPr>
          <w:rFonts w:cs="Arial" w:asciiTheme="minorHAnsi" w:hAnsiTheme="minorHAnsi"/>
          <w:bCs/>
          <w:i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/>
          <w:iCs/>
          <w:sz w:val="22"/>
          <w:szCs w:val="22"/>
        </w:rPr>
        <w:t>Získaná data budou zpracována (také ve formě tabulek, grafů, aj.), vyhodnocena a předána zadavateli včetně vyplněných zdrojových dotazníků.</w:t>
      </w:r>
    </w:p>
    <w:p w:rsidRPr="00BE74FE" w:rsidR="008B4D13" w:rsidP="003A697C" w:rsidRDefault="008B4D13">
      <w:pPr>
        <w:pStyle w:val="Nadpis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SWOT analýza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SWOT analýza bude vycházet ze zjištění v analytické části a z realizovan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 xml:space="preserve">ého dotazníkového 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>šetření.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V rámci realizace této části díla bude zpracovatelem zorganizována minimálně 1 skupinová diskuze, na kterou budou pozváni zástupci 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>veřejnosti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>, tj. zástupci relevantních partnerů, jejichž působnost se dotýká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>.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Jejich definitivní počet, místo konání, termín schůzky a struktura pozvaných subjektů bude odsouhlasen zadavatelem.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Zpracovatel bude aktivně koordinovat diskusi a bude vhodnými metodami hledat konsensus. Výstupy ze skupinových diskuzí budou doloženy prezenční listinou a zápisem.</w:t>
      </w:r>
    </w:p>
    <w:p w:rsidRPr="00BE74FE" w:rsidR="001F5374" w:rsidRDefault="001F5374">
      <w:pPr>
        <w:spacing w:after="200" w:line="276" w:lineRule="auto"/>
        <w:rPr>
          <w:rFonts w:asciiTheme="minorHAnsi" w:hAnsiTheme="minorHAnsi"/>
        </w:rPr>
      </w:pPr>
      <w:r w:rsidRPr="00BE74FE">
        <w:rPr>
          <w:rFonts w:asciiTheme="minorHAnsi" w:hAnsiTheme="minorHAnsi"/>
        </w:rPr>
        <w:br w:type="page"/>
      </w:r>
    </w:p>
    <w:p w:rsidRPr="00BE74FE" w:rsidR="003A697C" w:rsidP="00D96603" w:rsidRDefault="003A697C">
      <w:pPr>
        <w:keepNext/>
        <w:spacing w:before="240"/>
        <w:jc w:val="both"/>
        <w:outlineLvl w:val="0"/>
        <w:rPr>
          <w:rFonts w:cs="Arial" w:asciiTheme="minorHAnsi" w:hAnsiTheme="minorHAnsi"/>
          <w:b/>
          <w:bCs/>
          <w:vanish/>
          <w:kern w:val="32"/>
        </w:rPr>
      </w:pPr>
    </w:p>
    <w:p w:rsidRPr="00BE74FE" w:rsidR="003A697C" w:rsidP="00BE74FE" w:rsidRDefault="003A697C">
      <w:pPr>
        <w:pStyle w:val="Nadpis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 xml:space="preserve">Strategická část (návrhová) </w:t>
      </w:r>
      <w:r w:rsidRPr="00BE74FE" w:rsidR="00EC543E">
        <w:rPr>
          <w:rFonts w:asciiTheme="minorHAnsi" w:hAnsiTheme="minorHAnsi"/>
          <w:sz w:val="22"/>
          <w:szCs w:val="22"/>
        </w:rPr>
        <w:t>definování cílů/ výstupů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Na základě zpracování části 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>1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. Analytická </w:t>
      </w:r>
      <w:r w:rsidRPr="00BE74FE" w:rsidR="00076319">
        <w:rPr>
          <w:rFonts w:asciiTheme="minorHAnsi" w:hAnsiTheme="minorHAnsi"/>
          <w:b w:val="false"/>
          <w:i w:val="false"/>
          <w:sz w:val="22"/>
          <w:szCs w:val="22"/>
        </w:rPr>
        <w:t>(včetně výstupů z Identifikace pilířů provádění návazných strategií a SWOT analýzy)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 budou stanoveny minimálně následující části: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a)</w:t>
      </w:r>
      <w:r w:rsidRPr="00BE74FE">
        <w:rPr>
          <w:rFonts w:cs="Arial" w:asciiTheme="minorHAnsi" w:hAnsiTheme="minorHAnsi"/>
        </w:rPr>
        <w:tab/>
        <w:t>Strategie rozvoje a Smart programu v regionu Milevska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b)</w:t>
      </w:r>
      <w:r w:rsidRPr="00BE74FE">
        <w:rPr>
          <w:rFonts w:cs="Arial" w:asciiTheme="minorHAnsi" w:hAnsiTheme="minorHAnsi"/>
        </w:rPr>
        <w:tab/>
        <w:t>Marketing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c)</w:t>
      </w:r>
      <w:r w:rsidRPr="00BE74FE">
        <w:rPr>
          <w:rFonts w:cs="Arial" w:asciiTheme="minorHAnsi" w:hAnsiTheme="minorHAnsi"/>
        </w:rPr>
        <w:tab/>
        <w:t>Časový rámec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d)</w:t>
      </w:r>
      <w:r w:rsidRPr="00BE74FE">
        <w:rPr>
          <w:rFonts w:cs="Arial" w:asciiTheme="minorHAnsi" w:hAnsiTheme="minorHAnsi"/>
        </w:rPr>
        <w:tab/>
        <w:t>Územní dopad – uplatňování SC v podmínkách města Milevska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e)</w:t>
      </w:r>
      <w:r w:rsidRPr="00BE74FE">
        <w:rPr>
          <w:rFonts w:cs="Arial" w:asciiTheme="minorHAnsi" w:hAnsiTheme="minorHAnsi"/>
        </w:rPr>
        <w:tab/>
      </w:r>
      <w:proofErr w:type="spellStart"/>
      <w:r w:rsidRPr="00BE74FE">
        <w:rPr>
          <w:rFonts w:cs="Arial" w:asciiTheme="minorHAnsi" w:hAnsiTheme="minorHAnsi"/>
        </w:rPr>
        <w:t>Stakeholders</w:t>
      </w:r>
      <w:proofErr w:type="spellEnd"/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f)</w:t>
      </w:r>
      <w:r w:rsidRPr="00BE74FE">
        <w:rPr>
          <w:rFonts w:cs="Arial" w:asciiTheme="minorHAnsi" w:hAnsiTheme="minorHAnsi"/>
        </w:rPr>
        <w:tab/>
        <w:t>Zdroje financování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g)</w:t>
      </w:r>
      <w:r w:rsidRPr="00BE74FE">
        <w:rPr>
          <w:rFonts w:cs="Arial" w:asciiTheme="minorHAnsi" w:hAnsiTheme="minorHAnsi"/>
        </w:rPr>
        <w:tab/>
        <w:t>Rozvoj a filozofie SC v Milevsku a regionu</w:t>
      </w:r>
    </w:p>
    <w:p w:rsidRPr="00BE74FE" w:rsidR="00E457AB" w:rsidP="00E457AB" w:rsidRDefault="00E457AB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>Cílem je obohatit regionální strategii zejména o nová data a dodržet obvyklou strukturu řešených oblastí, které se při tvorbu strategií měst a regionů používají. Na základě relevantních koncepčních dokumentů:</w:t>
      </w:r>
    </w:p>
    <w:p w:rsidRPr="00BE74FE" w:rsidR="00E457AB" w:rsidP="00E457AB" w:rsidRDefault="00E457AB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Strategie regionálního rozvoje České republiky 2014 - 2020</w:t>
      </w:r>
    </w:p>
    <w:p w:rsidRPr="00BE74FE" w:rsidR="00E457AB" w:rsidP="00E457AB" w:rsidRDefault="00E457AB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 xml:space="preserve">Program rozvoje Jihočeského kraje 2014 – 2020 </w:t>
      </w:r>
    </w:p>
    <w:p w:rsidRPr="00BE74FE" w:rsidR="00E457AB" w:rsidP="00E457AB" w:rsidRDefault="00E457AB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Strategie území správního obvodu ORP Milevsko 2015 – 2024</w:t>
      </w:r>
    </w:p>
    <w:p w:rsidRPr="00BE74FE" w:rsidR="00076319" w:rsidP="00076319" w:rsidRDefault="00076319">
      <w:pPr>
        <w:spacing w:before="80"/>
        <w:jc w:val="both"/>
        <w:rPr>
          <w:rFonts w:eastAsia="Calibri" w:cs="Arial" w:asciiTheme="minorHAnsi" w:hAnsiTheme="minorHAnsi"/>
          <w:sz w:val="22"/>
          <w:szCs w:val="22"/>
          <w:lang w:eastAsia="en-US"/>
        </w:rPr>
      </w:pPr>
      <w:r w:rsidRPr="00BE74FE">
        <w:rPr>
          <w:rFonts w:eastAsia="Calibri" w:cs="Arial" w:asciiTheme="minorHAnsi" w:hAnsiTheme="minorHAnsi"/>
          <w:sz w:val="22"/>
          <w:szCs w:val="22"/>
          <w:lang w:eastAsia="en-US"/>
        </w:rPr>
        <w:t>(v případě že se návrhy budou vymykat koncepčním dokumentům uvést stručné zdůvodnění tohoto návrhu)</w:t>
      </w:r>
    </w:p>
    <w:p w:rsidRPr="00BE74FE" w:rsidR="00E457AB" w:rsidP="00E457AB" w:rsidRDefault="00E457AB">
      <w:pPr>
        <w:pStyle w:val="Nadpis1"/>
        <w:spacing w:after="0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Zhodnocení zralosti prováděných procesů státní správy</w:t>
      </w:r>
    </w:p>
    <w:p w:rsidRPr="00BE74FE" w:rsidR="00E457AB" w:rsidP="00E457AB" w:rsidRDefault="00E457AB">
      <w:pPr>
        <w:pStyle w:val="Odstavecseseznamem1"/>
        <w:tabs>
          <w:tab w:val="num" w:pos="0"/>
        </w:tabs>
        <w:spacing w:before="120" w:line="240" w:lineRule="auto"/>
        <w:ind w:left="0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 xml:space="preserve">Cílem tohoto úkolu je v základních obrysech zmapovat současnou situaci a procesní model organizace města. Výstupem je souhrnná zpráva, která hodnotí schopnost města implementovat strategii, doporučení k zvýšení znalostního stupně organizace, možnosti použití ICT a dalších </w:t>
      </w:r>
      <w:proofErr w:type="spellStart"/>
      <w:r w:rsidRPr="00BE74FE">
        <w:rPr>
          <w:rFonts w:cs="Arial" w:asciiTheme="minorHAnsi" w:hAnsiTheme="minorHAnsi"/>
        </w:rPr>
        <w:t>eGovernment</w:t>
      </w:r>
      <w:proofErr w:type="spellEnd"/>
      <w:r w:rsidRPr="00BE74FE">
        <w:rPr>
          <w:rFonts w:cs="Arial" w:asciiTheme="minorHAnsi" w:hAnsiTheme="minorHAnsi"/>
        </w:rPr>
        <w:t xml:space="preserve"> nástrojů.</w:t>
      </w:r>
    </w:p>
    <w:p w:rsidRPr="00BE74FE" w:rsidR="00530964" w:rsidP="00530964" w:rsidRDefault="00530964">
      <w:pPr>
        <w:pStyle w:val="Nadpis1"/>
        <w:numPr>
          <w:ilvl w:val="0"/>
          <w:numId w:val="17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Implementační část, včetně monitorování a evaluace</w:t>
      </w:r>
    </w:p>
    <w:p w:rsidRPr="00BE74FE" w:rsidR="00530964" w:rsidP="00530964" w:rsidRDefault="00530964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Harmonogram aktivit včetně stanovení finanční náročnosti</w:t>
      </w:r>
    </w:p>
    <w:p w:rsidRPr="00BE74FE" w:rsidR="00530964" w:rsidP="00530964" w:rsidRDefault="00530964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Metodika indikátorů</w:t>
      </w:r>
    </w:p>
    <w:p w:rsidRPr="00BE74FE" w:rsidR="00530964" w:rsidP="00530964" w:rsidRDefault="00530964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Měření naplňování</w:t>
      </w:r>
      <w:r w:rsidRPr="00BE74FE">
        <w:rPr>
          <w:rFonts w:asciiTheme="minorHAnsi" w:hAnsiTheme="minorHAnsi"/>
        </w:rPr>
        <w:t xml:space="preserve"> strategického plánu (vyhodnocování indikátorů)</w:t>
      </w:r>
    </w:p>
    <w:p w:rsidRPr="00BE74FE" w:rsidR="003A697C" w:rsidP="003A697C" w:rsidRDefault="003A697C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>Výstupem bude souhrnný dokument, celková struktura bude mít podobu publikace „</w:t>
      </w:r>
      <w:proofErr w:type="spellStart"/>
      <w:r w:rsidRPr="00BE74FE">
        <w:rPr>
          <w:rFonts w:cs="Arial" w:asciiTheme="minorHAnsi" w:hAnsiTheme="minorHAnsi"/>
          <w:sz w:val="22"/>
          <w:szCs w:val="22"/>
        </w:rPr>
        <w:t>White</w:t>
      </w:r>
      <w:proofErr w:type="spellEnd"/>
      <w:r w:rsidRPr="00BE74FE">
        <w:rPr>
          <w:rFonts w:cs="Arial" w:asciiTheme="minorHAnsi" w:hAnsiTheme="minorHAnsi"/>
          <w:sz w:val="22"/>
          <w:szCs w:val="22"/>
        </w:rPr>
        <w:t xml:space="preserve"> </w:t>
      </w:r>
      <w:proofErr w:type="spellStart"/>
      <w:r w:rsidRPr="00BE74FE">
        <w:rPr>
          <w:rFonts w:cs="Arial" w:asciiTheme="minorHAnsi" w:hAnsiTheme="minorHAnsi"/>
          <w:sz w:val="22"/>
          <w:szCs w:val="22"/>
        </w:rPr>
        <w:t>paper</w:t>
      </w:r>
      <w:proofErr w:type="spellEnd"/>
      <w:r w:rsidRPr="00BE74FE">
        <w:rPr>
          <w:rFonts w:cs="Arial" w:asciiTheme="minorHAnsi" w:hAnsiTheme="minorHAnsi"/>
          <w:sz w:val="22"/>
          <w:szCs w:val="22"/>
        </w:rPr>
        <w:t>“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footnoteReference w:id="2"/>
      </w:r>
      <w:r w:rsidRPr="00BE74FE">
        <w:rPr>
          <w:rFonts w:cs="Arial" w:asciiTheme="minorHAnsi" w:hAnsiTheme="minorHAnsi"/>
          <w:sz w:val="22"/>
          <w:szCs w:val="22"/>
        </w:rPr>
        <w:t>.</w:t>
      </w:r>
    </w:p>
    <w:p w:rsidRPr="00BE74FE" w:rsidR="003A697C" w:rsidP="003A697C" w:rsidRDefault="003A697C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color w:val="000000" w:themeColor="text1"/>
          <w:sz w:val="22"/>
          <w:szCs w:val="22"/>
        </w:rPr>
        <w:t>Klíčové pasáže:</w:t>
      </w:r>
      <w:r w:rsidRPr="00BE74FE">
        <w:rPr>
          <w:rFonts w:cs="Arial" w:asciiTheme="minorHAnsi" w:hAnsiTheme="minorHAnsi"/>
          <w:sz w:val="22"/>
          <w:szCs w:val="22"/>
        </w:rPr>
        <w:t xml:space="preserve"> </w:t>
      </w:r>
    </w:p>
    <w:p w:rsidRPr="00BE74FE" w:rsidR="003A697C" w:rsidP="003A697C" w:rsidRDefault="003A697C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V dokumentu je třeba jasně definovat vizi a misi regionu ve spolupráci se zadavatelem.</w:t>
      </w:r>
    </w:p>
    <w:p w:rsidRPr="00BE74FE" w:rsidR="003A697C" w:rsidP="003A697C" w:rsidRDefault="003A697C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 xml:space="preserve">Musí se použít </w:t>
      </w:r>
      <w:proofErr w:type="gramStart"/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S.M.</w:t>
      </w:r>
      <w:proofErr w:type="gramEnd"/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A.R.T.E.R. plánování pro definované cíle, které je a) specifické, b) měřitelné číslem, či stupněm, stavem, c) dosažitelné - v moci města ovlivnit, d) rozumné – v kapacitách města provést, s přímou vazbou na grant či dotační program, či uvedením konkrétních zdrojů financování, e) se smysluplným termínem splnění 1 maximálně 3 roky, f) s určením, kdo (osoba odpovědná) má dané opatření má na starosti a g) jak se bude vyhodnocovat dané opatření, a h) datum, kdy město provede re-evaluaci tohoto opatření a zváží jeho pokračování, redefinuje ho apod.</w:t>
      </w:r>
    </w:p>
    <w:p w:rsidRPr="00BE74FE" w:rsidR="00ED78BB" w:rsidP="008B4D13" w:rsidRDefault="00ED78BB">
      <w:pPr>
        <w:pStyle w:val="Odstavecseseznamem"/>
        <w:spacing w:before="80"/>
        <w:ind w:left="0"/>
        <w:jc w:val="both"/>
        <w:rPr>
          <w:rFonts w:cs="Arial" w:asciiTheme="minorHAnsi" w:hAnsiTheme="minorHAnsi"/>
          <w:highlight w:val="yellow"/>
        </w:rPr>
      </w:pPr>
    </w:p>
    <w:sectPr w:rsidRPr="00BE74FE" w:rsidR="00ED78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7967" w:rsidP="008B4D13" w:rsidRDefault="006F7967">
      <w:r>
        <w:separator/>
      </w:r>
    </w:p>
  </w:endnote>
  <w:endnote w:type="continuationSeparator" w:id="0">
    <w:p w:rsidR="006F7967" w:rsidP="008B4D13" w:rsidRDefault="006F79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089272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374" w:rsidRDefault="001F537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17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17D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5374" w:rsidRDefault="001F537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7967" w:rsidP="008B4D13" w:rsidRDefault="006F7967">
      <w:r>
        <w:separator/>
      </w:r>
    </w:p>
  </w:footnote>
  <w:footnote w:type="continuationSeparator" w:id="0">
    <w:p w:rsidR="006F7967" w:rsidP="008B4D13" w:rsidRDefault="006F7967">
      <w:r>
        <w:continuationSeparator/>
      </w:r>
    </w:p>
  </w:footnote>
  <w:footnote w:id="1">
    <w:p w:rsidRPr="00887310" w:rsidR="001F5374" w:rsidP="001F5374" w:rsidRDefault="001F5374">
      <w:pPr>
        <w:pStyle w:val="Textpoznpodarou"/>
        <w:jc w:val="both"/>
        <w:rPr>
          <w:sz w:val="18"/>
          <w:szCs w:val="18"/>
        </w:rPr>
      </w:pPr>
      <w:r w:rsidRPr="00887310">
        <w:rPr>
          <w:rStyle w:val="Znakapoznpodarou"/>
          <w:sz w:val="18"/>
          <w:szCs w:val="18"/>
        </w:rPr>
        <w:footnoteRef/>
      </w:r>
      <w:r w:rsidRPr="00887310">
        <w:rPr>
          <w:sz w:val="18"/>
          <w:szCs w:val="18"/>
        </w:rPr>
        <w:t xml:space="preserve"> JOHNSEN, </w:t>
      </w:r>
      <w:proofErr w:type="spellStart"/>
      <w:r w:rsidRPr="00887310">
        <w:rPr>
          <w:sz w:val="18"/>
          <w:szCs w:val="18"/>
        </w:rPr>
        <w:t>Åge</w:t>
      </w:r>
      <w:proofErr w:type="spellEnd"/>
      <w:r w:rsidRPr="00887310">
        <w:rPr>
          <w:sz w:val="18"/>
          <w:szCs w:val="18"/>
        </w:rPr>
        <w:t xml:space="preserve">, 2018. </w:t>
      </w:r>
      <w:proofErr w:type="spellStart"/>
      <w:r w:rsidRPr="00887310">
        <w:rPr>
          <w:sz w:val="18"/>
          <w:szCs w:val="18"/>
        </w:rPr>
        <w:t>Impacts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of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strategic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planning</w:t>
      </w:r>
      <w:proofErr w:type="spellEnd"/>
      <w:r w:rsidRPr="00887310">
        <w:rPr>
          <w:sz w:val="18"/>
          <w:szCs w:val="18"/>
        </w:rPr>
        <w:t xml:space="preserve"> and management in </w:t>
      </w:r>
      <w:proofErr w:type="spellStart"/>
      <w:r w:rsidRPr="00887310">
        <w:rPr>
          <w:sz w:val="18"/>
          <w:szCs w:val="18"/>
        </w:rPr>
        <w:t>municipal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government</w:t>
      </w:r>
      <w:proofErr w:type="spellEnd"/>
      <w:r w:rsidRPr="00887310">
        <w:rPr>
          <w:sz w:val="18"/>
          <w:szCs w:val="18"/>
        </w:rPr>
        <w:t xml:space="preserve">: </w:t>
      </w:r>
      <w:proofErr w:type="spellStart"/>
      <w:r w:rsidRPr="00887310">
        <w:rPr>
          <w:sz w:val="18"/>
          <w:szCs w:val="18"/>
        </w:rPr>
        <w:t>an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analysis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of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subjective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survey</w:t>
      </w:r>
      <w:proofErr w:type="spellEnd"/>
      <w:r w:rsidRPr="00887310">
        <w:rPr>
          <w:sz w:val="18"/>
          <w:szCs w:val="18"/>
        </w:rPr>
        <w:t xml:space="preserve"> and </w:t>
      </w:r>
      <w:proofErr w:type="spellStart"/>
      <w:r w:rsidRPr="00887310">
        <w:rPr>
          <w:sz w:val="18"/>
          <w:szCs w:val="18"/>
        </w:rPr>
        <w:t>objective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production</w:t>
      </w:r>
      <w:proofErr w:type="spellEnd"/>
      <w:r w:rsidRPr="00887310">
        <w:rPr>
          <w:sz w:val="18"/>
          <w:szCs w:val="18"/>
        </w:rPr>
        <w:t xml:space="preserve"> and </w:t>
      </w:r>
      <w:proofErr w:type="spellStart"/>
      <w:r w:rsidRPr="00887310">
        <w:rPr>
          <w:sz w:val="18"/>
          <w:szCs w:val="18"/>
        </w:rPr>
        <w:t>efficiency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measures</w:t>
      </w:r>
      <w:proofErr w:type="spellEnd"/>
      <w:r w:rsidRPr="00887310">
        <w:rPr>
          <w:sz w:val="18"/>
          <w:szCs w:val="18"/>
        </w:rPr>
        <w:t xml:space="preserve"> in </w:t>
      </w:r>
      <w:proofErr w:type="spellStart"/>
      <w:r w:rsidRPr="00887310">
        <w:rPr>
          <w:sz w:val="18"/>
          <w:szCs w:val="18"/>
        </w:rPr>
        <w:t>Norway</w:t>
      </w:r>
      <w:proofErr w:type="spellEnd"/>
      <w:r w:rsidRPr="00887310">
        <w:rPr>
          <w:sz w:val="18"/>
          <w:szCs w:val="18"/>
        </w:rPr>
        <w:t xml:space="preserve">. Public Management </w:t>
      </w:r>
      <w:proofErr w:type="spellStart"/>
      <w:r w:rsidRPr="00887310">
        <w:rPr>
          <w:sz w:val="18"/>
          <w:szCs w:val="18"/>
        </w:rPr>
        <w:t>Review</w:t>
      </w:r>
      <w:proofErr w:type="spellEnd"/>
      <w:r w:rsidRPr="00887310">
        <w:rPr>
          <w:sz w:val="18"/>
          <w:szCs w:val="18"/>
        </w:rPr>
        <w:t xml:space="preserve"> [online]. 20(3), 397–420. ISSN 1471-9037. Dostupné z: doi:10.1080/14719037.2017.1285115</w:t>
      </w:r>
    </w:p>
  </w:footnote>
  <w:footnote w:id="2">
    <w:p w:rsidRPr="00887310" w:rsidR="001F5374" w:rsidP="001F5374" w:rsidRDefault="001F5374">
      <w:pPr>
        <w:pStyle w:val="Textpoznpodarou"/>
        <w:rPr>
          <w:sz w:val="18"/>
          <w:szCs w:val="18"/>
        </w:rPr>
      </w:pPr>
      <w:r w:rsidRPr="00887310">
        <w:rPr>
          <w:rStyle w:val="Znakapoznpodarou"/>
          <w:sz w:val="18"/>
          <w:szCs w:val="18"/>
        </w:rPr>
        <w:footnoteRef/>
      </w:r>
      <w:r w:rsidRPr="00887310">
        <w:rPr>
          <w:rStyle w:val="Znakapoznpodarou"/>
        </w:rPr>
        <w:t xml:space="preserve"> </w:t>
      </w:r>
      <w:proofErr w:type="spellStart"/>
      <w:r w:rsidRPr="00887310">
        <w:rPr>
          <w:rStyle w:val="Znakapoznpodarou"/>
          <w:sz w:val="18"/>
          <w:szCs w:val="18"/>
        </w:rPr>
        <w:t>White</w:t>
      </w:r>
      <w:proofErr w:type="spellEnd"/>
      <w:r w:rsidRPr="00887310">
        <w:rPr>
          <w:rStyle w:val="Znakapoznpodarou"/>
          <w:sz w:val="18"/>
          <w:szCs w:val="18"/>
        </w:rPr>
        <w:t xml:space="preserve"> </w:t>
      </w:r>
      <w:proofErr w:type="spellStart"/>
      <w:r w:rsidRPr="00887310">
        <w:rPr>
          <w:rStyle w:val="Znakapoznpodarou"/>
          <w:sz w:val="18"/>
          <w:szCs w:val="18"/>
        </w:rPr>
        <w:t>paper</w:t>
      </w:r>
      <w:proofErr w:type="spellEnd"/>
      <w:r w:rsidRPr="00887310">
        <w:rPr>
          <w:rStyle w:val="Znakapoznpodarou"/>
          <w:sz w:val="18"/>
          <w:szCs w:val="18"/>
        </w:rPr>
        <w:t xml:space="preserve"> či Bílá kniha je typ publikace, je to zpráva, která představuje řešení problémů či nastiňuje jejich řešení.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49D8" w:rsidRDefault="00D349D8">
    <w:pPr>
      <w:pStyle w:val="Zhlav"/>
    </w:pPr>
    <w:r>
      <w:rPr>
        <w:noProof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6B26BB"/>
    <w:multiLevelType w:val="hybridMultilevel"/>
    <w:tmpl w:val="29D074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60A"/>
    <w:multiLevelType w:val="hybridMultilevel"/>
    <w:tmpl w:val="37145332"/>
    <w:lvl w:ilvl="0" w:tplc="FBF8F2A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1C7A52"/>
    <w:multiLevelType w:val="hybridMultilevel"/>
    <w:tmpl w:val="12AEE8A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4745D0"/>
    <w:multiLevelType w:val="hybridMultilevel"/>
    <w:tmpl w:val="DE34EA5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FED4338"/>
    <w:multiLevelType w:val="hybridMultilevel"/>
    <w:tmpl w:val="60565EAE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171087"/>
    <w:multiLevelType w:val="hybridMultilevel"/>
    <w:tmpl w:val="A0963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0E3B9C"/>
    <w:multiLevelType w:val="hybridMultilevel"/>
    <w:tmpl w:val="35A0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40D"/>
    <w:multiLevelType w:val="hybridMultilevel"/>
    <w:tmpl w:val="A43289D8"/>
    <w:lvl w:ilvl="0" w:tplc="ADD446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5DB6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54EE6D88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0">
    <w:nsid w:val="5FE93FED"/>
    <w:multiLevelType w:val="hybridMultilevel"/>
    <w:tmpl w:val="76BC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8DF"/>
    <w:multiLevelType w:val="hybridMultilevel"/>
    <w:tmpl w:val="8584A6D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701823A3"/>
    <w:multiLevelType w:val="multilevel"/>
    <w:tmpl w:val="146E1C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3">
    <w:nsid w:val="70F82600"/>
    <w:multiLevelType w:val="hybridMultilevel"/>
    <w:tmpl w:val="F496C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0186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4B2E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6D3C"/>
    <w:multiLevelType w:val="hybridMultilevel"/>
    <w:tmpl w:val="A696749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5B2121F"/>
    <w:multiLevelType w:val="hybridMultilevel"/>
    <w:tmpl w:val="E1AC0136"/>
    <w:lvl w:ilvl="0" w:tplc="0C0EC5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76319"/>
    <w:rsid w:val="00176423"/>
    <w:rsid w:val="001C28DB"/>
    <w:rsid w:val="001F5374"/>
    <w:rsid w:val="002C4699"/>
    <w:rsid w:val="003551BB"/>
    <w:rsid w:val="003A697C"/>
    <w:rsid w:val="0047147A"/>
    <w:rsid w:val="004940A1"/>
    <w:rsid w:val="004A208A"/>
    <w:rsid w:val="004D2235"/>
    <w:rsid w:val="00530964"/>
    <w:rsid w:val="006F7967"/>
    <w:rsid w:val="007403A5"/>
    <w:rsid w:val="007F0D7B"/>
    <w:rsid w:val="00860EDC"/>
    <w:rsid w:val="008617D3"/>
    <w:rsid w:val="008B4D13"/>
    <w:rsid w:val="00A667B6"/>
    <w:rsid w:val="00A94D53"/>
    <w:rsid w:val="00BE74FE"/>
    <w:rsid w:val="00C944AD"/>
    <w:rsid w:val="00D349D8"/>
    <w:rsid w:val="00D96603"/>
    <w:rsid w:val="00E457AB"/>
    <w:rsid w:val="00EC543E"/>
    <w:rsid w:val="00ED1364"/>
    <w:rsid w:val="00ED78BB"/>
    <w:rsid w:val="00EE705C"/>
    <w:rsid w:val="00F41A72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B4D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4D13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8B4D13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B4D13"/>
    <w:pPr>
      <w:spacing w:before="120" w:after="120"/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8B4D13"/>
    <w:rPr>
      <w:rFonts w:ascii="Times New Roman" w:hAnsi="Times New Roman" w:eastAsia="Times New Roman" w:cs="Times New Roman"/>
      <w:szCs w:val="24"/>
      <w:lang w:eastAsia="cs-CZ"/>
    </w:rPr>
  </w:style>
  <w:style w:type="paragraph" w:styleId="msolistparagraph0" w:customStyle="true">
    <w:name w:val="msolistparagraph"/>
    <w:basedOn w:val="Normln"/>
    <w:rsid w:val="008B4D13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dstavecseseznamem">
    <w:name w:val="List Paragraph"/>
    <w:basedOn w:val="Normln"/>
    <w:uiPriority w:val="34"/>
    <w:qFormat/>
    <w:rsid w:val="008B4D1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4D13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B4D13"/>
    <w:rPr>
      <w:vertAlign w:val="superscript"/>
    </w:rPr>
  </w:style>
  <w:style w:type="paragraph" w:styleId="Odstavecseseznamem1" w:customStyle="true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349D8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B4D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8B4D13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qFormat/>
    <w:rsid w:val="008B4D13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B4D13"/>
    <w:rPr>
      <w:rFonts w:ascii="Arial" w:cs="Arial" w:eastAsia="Times New Roman" w:hAnsi="Arial"/>
      <w:b/>
      <w:bCs/>
      <w:kern w:val="32"/>
      <w:sz w:val="32"/>
      <w:szCs w:val="32"/>
      <w:lang w:eastAsia="cs-CZ"/>
    </w:rPr>
  </w:style>
  <w:style w:customStyle="1" w:styleId="Nadpis2Char" w:type="character">
    <w:name w:val="Nadpis 2 Char"/>
    <w:basedOn w:val="Standardnpsmoodstavce"/>
    <w:link w:val="Nadpis2"/>
    <w:rsid w:val="008B4D13"/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rsid w:val="008B4D13"/>
    <w:pPr>
      <w:spacing w:after="120" w:before="120"/>
      <w:jc w:val="both"/>
    </w:pPr>
    <w:rPr>
      <w:sz w:val="22"/>
    </w:rPr>
  </w:style>
  <w:style w:customStyle="1" w:styleId="ZkladntextChar" w:type="character">
    <w:name w:val="Základní text Char"/>
    <w:basedOn w:val="Standardnpsmoodstavce"/>
    <w:link w:val="Zkladntext"/>
    <w:rsid w:val="008B4D13"/>
    <w:rPr>
      <w:rFonts w:ascii="Times New Roman" w:cs="Times New Roman" w:eastAsia="Times New Roman" w:hAnsi="Times New Roman"/>
      <w:szCs w:val="24"/>
      <w:lang w:eastAsia="cs-CZ"/>
    </w:rPr>
  </w:style>
  <w:style w:customStyle="1" w:styleId="msolistparagraph0" w:type="paragraph">
    <w:name w:val="msolistparagraph"/>
    <w:basedOn w:val="Normln"/>
    <w:rsid w:val="008B4D13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dstavecseseznamem" w:type="paragraph">
    <w:name w:val="List Paragraph"/>
    <w:basedOn w:val="Normln"/>
    <w:uiPriority w:val="34"/>
    <w:qFormat/>
    <w:rsid w:val="008B4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B4D13"/>
    <w:rPr>
      <w:rFonts w:ascii="Times New Roman" w:cs="Times New Roman" w:eastAsia="Times New Roman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unhideWhenUsed/>
    <w:rsid w:val="008B4D13"/>
    <w:rPr>
      <w:vertAlign w:val="superscript"/>
    </w:rPr>
  </w:style>
  <w:style w:customStyle="1" w:styleId="Odstavecseseznamem1" w:type="paragraph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349D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349D8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220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03954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712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795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3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692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3</properties:Pages>
  <properties:Words>965</properties:Words>
  <properties:Characters>5699</properties:Characters>
  <properties:Lines>47</properties:Lines>
  <properties:Paragraphs>13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2018-07-12T13:00:00Z</dcterms:created>
  <dc:creator/>
  <cp:lastModifiedBy/>
  <dcterms:modified xmlns:xsi="http://www.w3.org/2001/XMLSchema-instance" xsi:type="dcterms:W3CDTF">2018-07-12T18:04:00Z</dcterms:modified>
  <cp:revision>3</cp:revision>
</cp:coreProperties>
</file>