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F5374" w:rsidP="008B4D13" w:rsidRDefault="001F5374" w14:paraId="73597AE8" w14:textId="77777777">
      <w:pPr>
        <w:pStyle w:val="msolistparagraph0"/>
        <w:spacing w:before="0" w:beforeAutospacing="false" w:after="0" w:afterAutospacing="false"/>
        <w:jc w:val="both"/>
        <w:rPr>
          <w:rFonts w:ascii="Arial" w:hAnsi="Arial" w:cs="Arial"/>
          <w:b/>
          <w:sz w:val="22"/>
          <w:szCs w:val="22"/>
        </w:rPr>
      </w:pPr>
    </w:p>
    <w:p w:rsidRPr="00176423" w:rsidR="00D349D8" w:rsidP="00D349D8" w:rsidRDefault="00D349D8" w14:paraId="4ACD0879" w14:textId="77777777">
      <w:pPr>
        <w:pStyle w:val="msolistparagraph0"/>
        <w:spacing w:before="0" w:beforeAutospacing="false" w:after="0" w:afterAutospacing="false"/>
        <w:jc w:val="center"/>
        <w:rPr>
          <w:rFonts w:eastAsia="Times New Roman" w:cs="Arial" w:asciiTheme="minorHAnsi" w:hAnsiTheme="minorHAnsi"/>
          <w:sz w:val="32"/>
          <w:szCs w:val="32"/>
        </w:rPr>
      </w:pPr>
      <w:r w:rsidRPr="00176423">
        <w:rPr>
          <w:rFonts w:eastAsia="Times New Roman" w:cs="Arial" w:asciiTheme="minorHAnsi" w:hAnsiTheme="minorHAnsi"/>
          <w:sz w:val="32"/>
          <w:szCs w:val="32"/>
        </w:rPr>
        <w:t>Příloha č. 6 - Bližší specifikace předmětu plnění zakázky</w:t>
      </w:r>
    </w:p>
    <w:p w:rsidRPr="00176423" w:rsidR="00D349D8" w:rsidP="008B4D13" w:rsidRDefault="00D349D8" w14:paraId="36CADCE7" w14:textId="77777777">
      <w:pPr>
        <w:pStyle w:val="msolistparagraph0"/>
        <w:spacing w:before="0" w:beforeAutospacing="false" w:after="0" w:afterAutospacing="false"/>
        <w:jc w:val="both"/>
        <w:rPr>
          <w:rFonts w:cs="Arial" w:asciiTheme="minorHAnsi" w:hAnsiTheme="minorHAnsi"/>
          <w:b/>
          <w:sz w:val="22"/>
          <w:szCs w:val="22"/>
        </w:rPr>
      </w:pPr>
    </w:p>
    <w:p w:rsidR="008B4D13" w:rsidP="00F41A72" w:rsidRDefault="008B4D13" w14:paraId="1F8966AE" w14:textId="77777777">
      <w:pPr>
        <w:jc w:val="both"/>
        <w:rPr>
          <w:rFonts w:cs="Arial" w:asciiTheme="minorHAnsi" w:hAnsiTheme="minorHAnsi"/>
          <w:sz w:val="22"/>
          <w:szCs w:val="22"/>
        </w:rPr>
      </w:pPr>
      <w:r w:rsidRPr="00176423">
        <w:rPr>
          <w:rFonts w:cs="Arial" w:asciiTheme="minorHAnsi" w:hAnsiTheme="minorHAnsi"/>
          <w:sz w:val="22"/>
          <w:szCs w:val="22"/>
        </w:rPr>
        <w:t xml:space="preserve">Předmětem plnění veřejné zakázky je zpracování analytické části, SWOT analýzy, strategické a implementační části </w:t>
      </w:r>
      <w:r w:rsidR="008249A1">
        <w:rPr>
          <w:rFonts w:cs="Arial" w:asciiTheme="minorHAnsi" w:hAnsiTheme="minorHAnsi"/>
          <w:b/>
          <w:sz w:val="22"/>
          <w:szCs w:val="22"/>
        </w:rPr>
        <w:t>2</w:t>
      </w:r>
      <w:r w:rsidRPr="002D77EB" w:rsidR="002D77EB">
        <w:rPr>
          <w:rFonts w:cs="Arial" w:asciiTheme="minorHAnsi" w:hAnsiTheme="minorHAnsi"/>
          <w:b/>
          <w:sz w:val="22"/>
          <w:szCs w:val="22"/>
        </w:rPr>
        <w:t>.</w:t>
      </w:r>
      <w:r w:rsidRPr="002D77EB" w:rsidR="002D77EB">
        <w:rPr>
          <w:rFonts w:cs="Arial" w:asciiTheme="minorHAnsi" w:hAnsiTheme="minorHAnsi"/>
          <w:b/>
          <w:sz w:val="22"/>
          <w:szCs w:val="22"/>
        </w:rPr>
        <w:tab/>
        <w:t>Strategie rozvoje podnikatelského parku Milevsko současně se strategií podpory malého a středního podnikání v Milevsku a strategie inkubačního a akceleračního programu v</w:t>
      </w:r>
      <w:r w:rsidR="008249A1">
        <w:rPr>
          <w:rFonts w:cs="Arial" w:asciiTheme="minorHAnsi" w:hAnsiTheme="minorHAnsi"/>
          <w:b/>
          <w:sz w:val="22"/>
          <w:szCs w:val="22"/>
        </w:rPr>
        <w:t> </w:t>
      </w:r>
      <w:r w:rsidRPr="002D77EB" w:rsidR="002D77EB">
        <w:rPr>
          <w:rFonts w:cs="Arial" w:asciiTheme="minorHAnsi" w:hAnsiTheme="minorHAnsi"/>
          <w:b/>
          <w:sz w:val="22"/>
          <w:szCs w:val="22"/>
        </w:rPr>
        <w:t>Milevsku</w:t>
      </w:r>
      <w:r w:rsidR="008249A1">
        <w:rPr>
          <w:rFonts w:cs="Arial" w:asciiTheme="minorHAnsi" w:hAnsiTheme="minorHAnsi"/>
          <w:b/>
          <w:sz w:val="22"/>
          <w:szCs w:val="22"/>
        </w:rPr>
        <w:t xml:space="preserve"> </w:t>
      </w:r>
      <w:r w:rsidRPr="00176423">
        <w:rPr>
          <w:rFonts w:cs="Arial" w:asciiTheme="minorHAnsi" w:hAnsiTheme="minorHAnsi"/>
          <w:sz w:val="22"/>
          <w:szCs w:val="22"/>
        </w:rPr>
        <w:t>v tomto rozsahu:</w:t>
      </w:r>
    </w:p>
    <w:p w:rsidRPr="00176423" w:rsidR="002D77EB" w:rsidP="00F41A72" w:rsidRDefault="002D77EB" w14:paraId="7534F61A" w14:textId="77777777">
      <w:pPr>
        <w:jc w:val="both"/>
        <w:rPr>
          <w:rFonts w:cs="Arial" w:asciiTheme="minorHAnsi" w:hAnsiTheme="minorHAnsi"/>
          <w:sz w:val="22"/>
          <w:szCs w:val="22"/>
        </w:rPr>
      </w:pPr>
    </w:p>
    <w:p w:rsidRPr="00176423" w:rsidR="003A697C" w:rsidP="003A697C" w:rsidRDefault="008B4D13" w14:paraId="0BD23BEF" w14:textId="77777777">
      <w:pPr>
        <w:pStyle w:val="Nadpis1"/>
        <w:numPr>
          <w:ilvl w:val="0"/>
          <w:numId w:val="13"/>
        </w:numPr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176423">
        <w:rPr>
          <w:rFonts w:asciiTheme="minorHAnsi" w:hAnsiTheme="minorHAnsi"/>
          <w:sz w:val="22"/>
          <w:szCs w:val="22"/>
        </w:rPr>
        <w:t>Analytická část</w:t>
      </w:r>
    </w:p>
    <w:p w:rsidR="00C80AA6" w:rsidP="00C80AA6" w:rsidRDefault="00C80AA6" w14:paraId="1B51F64D" w14:textId="77777777">
      <w:pPr>
        <w:pStyle w:val="Nadpis2"/>
        <w:numPr>
          <w:ilvl w:val="0"/>
          <w:numId w:val="14"/>
        </w:numPr>
        <w:spacing w:before="80" w:after="0"/>
        <w:jc w:val="both"/>
        <w:rPr>
          <w:rFonts w:asciiTheme="minorHAnsi" w:hAnsiTheme="minorHAnsi"/>
          <w:i w:val="false"/>
          <w:sz w:val="22"/>
          <w:szCs w:val="22"/>
        </w:rPr>
      </w:pPr>
      <w:r w:rsidRPr="0069183F">
        <w:rPr>
          <w:rFonts w:asciiTheme="minorHAnsi" w:hAnsiTheme="minorHAnsi"/>
          <w:i w:val="false"/>
          <w:sz w:val="22"/>
          <w:szCs w:val="22"/>
        </w:rPr>
        <w:t>Zpracování dodatečných analýz pro dokument strategie</w:t>
      </w:r>
    </w:p>
    <w:p w:rsidRPr="00AF6FC6" w:rsidR="00C80AA6" w:rsidP="00C80AA6" w:rsidRDefault="00C80AA6" w14:paraId="32629D79" w14:textId="77777777">
      <w:pPr>
        <w:pStyle w:val="Odstavecseseznamem"/>
        <w:numPr>
          <w:ilvl w:val="0"/>
          <w:numId w:val="14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 xml:space="preserve">Zpracování podkladů pro </w:t>
      </w:r>
      <w:proofErr w:type="spellStart"/>
      <w:r w:rsidRPr="00AF6FC6">
        <w:rPr>
          <w:rFonts w:cs="Arial" w:asciiTheme="minorHAnsi" w:hAnsiTheme="minorHAnsi"/>
          <w:b/>
          <w:bCs/>
          <w:iCs/>
        </w:rPr>
        <w:t>brandingovou</w:t>
      </w:r>
      <w:proofErr w:type="spellEnd"/>
      <w:r w:rsidRPr="00AF6FC6">
        <w:rPr>
          <w:rFonts w:cs="Arial" w:asciiTheme="minorHAnsi" w:hAnsiTheme="minorHAnsi"/>
          <w:b/>
          <w:bCs/>
          <w:iCs/>
        </w:rPr>
        <w:t xml:space="preserve"> strategii města</w:t>
      </w:r>
    </w:p>
    <w:p w:rsidR="00C80AA6" w:rsidP="00C80AA6" w:rsidRDefault="00C80AA6" w14:paraId="0C3FF8F6" w14:textId="345A3B41">
      <w:pPr>
        <w:pStyle w:val="Odstavecseseznamem"/>
        <w:numPr>
          <w:ilvl w:val="0"/>
          <w:numId w:val="14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 xml:space="preserve">Sestavení ukazatelů pro městský </w:t>
      </w:r>
      <w:proofErr w:type="spellStart"/>
      <w:r w:rsidRPr="00AF6FC6">
        <w:rPr>
          <w:rFonts w:cs="Arial" w:asciiTheme="minorHAnsi" w:hAnsiTheme="minorHAnsi"/>
          <w:b/>
          <w:bCs/>
          <w:iCs/>
        </w:rPr>
        <w:t>Dashboard</w:t>
      </w:r>
      <w:proofErr w:type="spellEnd"/>
      <w:r w:rsidR="00F629A5">
        <w:rPr>
          <w:rFonts w:cs="Arial" w:asciiTheme="minorHAnsi" w:hAnsiTheme="minorHAnsi"/>
          <w:b/>
          <w:bCs/>
          <w:iCs/>
        </w:rPr>
        <w:t xml:space="preserve"> (nástěnku)</w:t>
      </w:r>
    </w:p>
    <w:p w:rsidR="00C80AA6" w:rsidP="00C80AA6" w:rsidRDefault="00C80AA6" w14:paraId="0D3EAC38" w14:textId="77777777">
      <w:pPr>
        <w:pStyle w:val="Odstavecseseznamem"/>
        <w:numPr>
          <w:ilvl w:val="0"/>
          <w:numId w:val="14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>Zhodnocení zralosti prováděných procesů státní správy</w:t>
      </w:r>
    </w:p>
    <w:p w:rsidR="00C80AA6" w:rsidP="00C80AA6" w:rsidRDefault="00C80AA6" w14:paraId="38619252" w14:textId="77777777">
      <w:pPr>
        <w:pStyle w:val="Odstavecseseznamem"/>
        <w:numPr>
          <w:ilvl w:val="0"/>
          <w:numId w:val="14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>Nástroje pro udržení ekonomicky aktivních lidí v</w:t>
      </w:r>
      <w:r>
        <w:rPr>
          <w:rFonts w:cs="Arial" w:asciiTheme="minorHAnsi" w:hAnsiTheme="minorHAnsi"/>
          <w:b/>
          <w:bCs/>
          <w:iCs/>
        </w:rPr>
        <w:t> </w:t>
      </w:r>
      <w:r w:rsidRPr="00AF6FC6">
        <w:rPr>
          <w:rFonts w:cs="Arial" w:asciiTheme="minorHAnsi" w:hAnsiTheme="minorHAnsi"/>
          <w:b/>
          <w:bCs/>
          <w:iCs/>
        </w:rPr>
        <w:t>regionu</w:t>
      </w:r>
    </w:p>
    <w:p w:rsidRPr="00C80AA6" w:rsidR="00C80AA6" w:rsidP="00C80AA6" w:rsidRDefault="00C80AA6" w14:paraId="1237338D" w14:textId="77777777">
      <w:pPr>
        <w:pStyle w:val="Odstavecseseznamem"/>
        <w:numPr>
          <w:ilvl w:val="0"/>
          <w:numId w:val="14"/>
        </w:numPr>
        <w:rPr>
          <w:rFonts w:cs="Arial" w:asciiTheme="minorHAnsi" w:hAnsiTheme="minorHAnsi"/>
          <w:b/>
          <w:bCs/>
          <w:iCs/>
        </w:rPr>
      </w:pPr>
      <w:r w:rsidRPr="00C80AA6">
        <w:rPr>
          <w:rFonts w:cs="Arial" w:asciiTheme="minorHAnsi" w:hAnsiTheme="minorHAnsi"/>
          <w:b/>
          <w:bCs/>
          <w:iCs/>
        </w:rPr>
        <w:t>SWOT analýza</w:t>
      </w:r>
    </w:p>
    <w:p w:rsidR="00C80AA6" w:rsidP="00C80AA6" w:rsidRDefault="00C80AA6" w14:paraId="6AC160F1" w14:textId="77777777">
      <w:pPr>
        <w:pStyle w:val="Nadpis1"/>
        <w:numPr>
          <w:ilvl w:val="0"/>
          <w:numId w:val="17"/>
        </w:numPr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176423">
        <w:rPr>
          <w:rFonts w:asciiTheme="minorHAnsi" w:hAnsiTheme="minorHAnsi"/>
          <w:sz w:val="22"/>
          <w:szCs w:val="22"/>
        </w:rPr>
        <w:t xml:space="preserve">Strategická část (návrhová) </w:t>
      </w:r>
      <w:r w:rsidRPr="00EC543E">
        <w:rPr>
          <w:rFonts w:asciiTheme="minorHAnsi" w:hAnsiTheme="minorHAnsi"/>
          <w:sz w:val="22"/>
          <w:szCs w:val="22"/>
        </w:rPr>
        <w:t>definování cílů/ výstupů</w:t>
      </w:r>
    </w:p>
    <w:p w:rsidR="008D3D12" w:rsidP="008D3D12" w:rsidRDefault="008D3D12" w14:paraId="17B0EAA6" w14:textId="77777777">
      <w:pPr>
        <w:pStyle w:val="Nadpis1"/>
        <w:numPr>
          <w:ilvl w:val="0"/>
          <w:numId w:val="17"/>
        </w:numPr>
        <w:spacing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8D3D12">
        <w:rPr>
          <w:rFonts w:asciiTheme="minorHAnsi" w:hAnsiTheme="minorHAnsi"/>
          <w:sz w:val="22"/>
          <w:szCs w:val="22"/>
        </w:rPr>
        <w:t>Implementační část, včetně monitorování a evaluace</w:t>
      </w:r>
    </w:p>
    <w:p w:rsidRPr="008D3D12" w:rsidR="008D3D12" w:rsidP="008D3D12" w:rsidRDefault="008D3D12" w14:paraId="7926A7C3" w14:textId="77777777"/>
    <w:p w:rsidRPr="008D3D12" w:rsidR="008D3D12" w:rsidP="008D3D12" w:rsidRDefault="008D3D12" w14:paraId="5AFECC4A" w14:textId="77777777"/>
    <w:p w:rsidRPr="00C34A7F" w:rsidR="00C80AA6" w:rsidP="00C34A7F" w:rsidRDefault="00C80AA6" w14:paraId="7BF014D0" w14:textId="77777777">
      <w:pPr>
        <w:pStyle w:val="Nadpis1"/>
        <w:numPr>
          <w:ilvl w:val="0"/>
          <w:numId w:val="28"/>
        </w:numPr>
        <w:rPr>
          <w:sz w:val="24"/>
        </w:rPr>
      </w:pPr>
      <w:r w:rsidRPr="00C34A7F">
        <w:rPr>
          <w:sz w:val="24"/>
        </w:rPr>
        <w:t>Analytická část</w:t>
      </w:r>
    </w:p>
    <w:p w:rsidRPr="00176423" w:rsidR="00F41A72" w:rsidP="00C80AA6" w:rsidRDefault="00C80AA6" w14:paraId="7F6ECB77" w14:textId="47635CCA">
      <w:pPr>
        <w:spacing w:after="160" w:line="256" w:lineRule="auto"/>
        <w:jc w:val="both"/>
        <w:rPr>
          <w:rFonts w:cs="Arial" w:asciiTheme="minorHAnsi" w:hAnsiTheme="minorHAnsi"/>
          <w:sz w:val="22"/>
          <w:szCs w:val="22"/>
        </w:rPr>
      </w:pPr>
      <w:r w:rsidRPr="00C34A7F">
        <w:rPr>
          <w:rFonts w:asciiTheme="minorHAnsi" w:hAnsiTheme="minorHAnsi"/>
        </w:rPr>
        <w:t>Analýza současného stavu podnikaní v Milevsku a milevském regionu</w:t>
      </w:r>
      <w:r>
        <w:rPr>
          <w:rFonts w:cs="Arial" w:asciiTheme="minorHAnsi" w:hAnsiTheme="minorHAnsi"/>
        </w:rPr>
        <w:t xml:space="preserve"> a a</w:t>
      </w:r>
      <w:r w:rsidRPr="00C80AA6">
        <w:rPr>
          <w:rFonts w:cs="Arial" w:asciiTheme="minorHAnsi" w:hAnsiTheme="minorHAnsi"/>
        </w:rPr>
        <w:t>nalýza</w:t>
      </w:r>
      <w:r w:rsidRPr="00C34A7F">
        <w:rPr>
          <w:rFonts w:asciiTheme="minorHAnsi" w:hAnsiTheme="minorHAnsi"/>
        </w:rPr>
        <w:t xml:space="preserve"> zaměstnanosti</w:t>
      </w:r>
      <w:r>
        <w:rPr>
          <w:rFonts w:cs="Arial" w:asciiTheme="minorHAnsi" w:hAnsiTheme="minorHAnsi"/>
          <w:sz w:val="22"/>
          <w:szCs w:val="22"/>
        </w:rPr>
        <w:t xml:space="preserve"> s</w:t>
      </w:r>
      <w:r w:rsidRPr="00176423" w:rsidR="00F41A72">
        <w:rPr>
          <w:rFonts w:cs="Arial" w:asciiTheme="minorHAnsi" w:hAnsiTheme="minorHAnsi"/>
          <w:sz w:val="22"/>
          <w:szCs w:val="22"/>
        </w:rPr>
        <w:t xml:space="preserve">e zaměřením </w:t>
      </w:r>
      <w:proofErr w:type="gramStart"/>
      <w:r w:rsidRPr="00176423" w:rsidR="00F41A72">
        <w:rPr>
          <w:rFonts w:cs="Arial" w:asciiTheme="minorHAnsi" w:hAnsiTheme="minorHAnsi"/>
          <w:sz w:val="22"/>
          <w:szCs w:val="22"/>
        </w:rPr>
        <w:t>na</w:t>
      </w:r>
      <w:proofErr w:type="gramEnd"/>
      <w:r w:rsidRPr="00176423" w:rsidR="00F41A72">
        <w:rPr>
          <w:rFonts w:cs="Arial" w:asciiTheme="minorHAnsi" w:hAnsiTheme="minorHAnsi"/>
          <w:sz w:val="22"/>
          <w:szCs w:val="22"/>
        </w:rPr>
        <w:t>:</w:t>
      </w:r>
    </w:p>
    <w:p w:rsidRPr="00176423" w:rsidR="00F41A72" w:rsidP="00AA73EE" w:rsidRDefault="00F41A72" w14:paraId="588098DA" w14:textId="77777777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>Podnikatelství a ekonomický rozvoj – komparativní výhody regionu.</w:t>
      </w:r>
    </w:p>
    <w:p w:rsidRPr="00176423" w:rsidR="00F41A72" w:rsidP="00AA73EE" w:rsidRDefault="00F41A72" w14:paraId="5874D084" w14:textId="77777777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>Věda, výzkum, inovace – příležitosti, současní inovátoři v regionu.</w:t>
      </w:r>
    </w:p>
    <w:p w:rsidRPr="00176423" w:rsidR="00F41A72" w:rsidP="00AA73EE" w:rsidRDefault="00F41A72" w14:paraId="14703252" w14:textId="77777777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>Rozvoj města/regionu, územní plán – schválená koncepce s komentářem, estetické vnímání města, dlouhodobý územní rozvoj.</w:t>
      </w:r>
    </w:p>
    <w:p w:rsidRPr="00176423" w:rsidR="00F41A72" w:rsidP="00AA73EE" w:rsidRDefault="00F41A72" w14:paraId="2F472984" w14:textId="77777777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>Podpora ohrožených skupin obyvatelstva – jak je zajištěna podpora rodiny, boj s dlouhodobou nezaměstnaností, začleňování a příležitosti pro zdravotně postižené, podpora menšin apod.</w:t>
      </w:r>
    </w:p>
    <w:p w:rsidRPr="00176423" w:rsidR="00F41A72" w:rsidP="00AA73EE" w:rsidRDefault="00AA73EE" w14:paraId="5810697E" w14:textId="17D7B364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>
        <w:rPr>
          <w:rFonts w:eastAsia="Times New Roman" w:cs="Arial" w:asciiTheme="minorHAnsi" w:hAnsiTheme="minorHAnsi"/>
          <w:lang w:eastAsia="cs-CZ"/>
        </w:rPr>
        <w:t>Mobilita pracovní síly, ochota dojíždět za prací</w:t>
      </w:r>
      <w:r w:rsidRPr="00176423" w:rsidR="00F41A72">
        <w:rPr>
          <w:rFonts w:eastAsia="Times New Roman" w:cs="Arial" w:asciiTheme="minorHAnsi" w:hAnsiTheme="minorHAnsi"/>
          <w:lang w:eastAsia="cs-CZ"/>
        </w:rPr>
        <w:t>.</w:t>
      </w:r>
    </w:p>
    <w:p w:rsidRPr="00176423" w:rsidR="00F41A72" w:rsidP="00AA73EE" w:rsidRDefault="00F41A72" w14:paraId="08ABFDFD" w14:textId="159FA409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>Partnerské regiony, globální spolupráce – zhodnocení přínosu kooperace pro region</w:t>
      </w:r>
    </w:p>
    <w:p w:rsidRPr="00176423" w:rsidR="00F41A72" w:rsidP="00AA73EE" w:rsidRDefault="00F41A72" w14:paraId="55C5777D" w14:textId="2864ABC3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 xml:space="preserve">Efektivnost </w:t>
      </w:r>
      <w:r w:rsidR="00CA57D2">
        <w:rPr>
          <w:rFonts w:eastAsia="Times New Roman" w:cs="Arial" w:asciiTheme="minorHAnsi" w:hAnsiTheme="minorHAnsi"/>
          <w:lang w:eastAsia="cs-CZ"/>
        </w:rPr>
        <w:t>samosprávy</w:t>
      </w:r>
      <w:r w:rsidRPr="00176423">
        <w:rPr>
          <w:rFonts w:eastAsia="Times New Roman" w:cs="Arial" w:asciiTheme="minorHAnsi" w:hAnsiTheme="minorHAnsi"/>
          <w:lang w:eastAsia="cs-CZ"/>
        </w:rPr>
        <w:t xml:space="preserve"> – zhodnocení modernizace vztahu občan – úřad, úřad – úřad, firma – úřad. Nové metody a technologie – inovace.</w:t>
      </w:r>
    </w:p>
    <w:p w:rsidRPr="00176423" w:rsidR="00F41A72" w:rsidP="00AA73EE" w:rsidRDefault="00F41A72" w14:paraId="493B8603" w14:textId="44E40EE0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 xml:space="preserve">Finanční situace – </w:t>
      </w:r>
      <w:r w:rsidR="00AA73EE">
        <w:rPr>
          <w:rFonts w:eastAsia="Times New Roman" w:cs="Arial" w:asciiTheme="minorHAnsi" w:hAnsiTheme="minorHAnsi"/>
          <w:lang w:eastAsia="cs-CZ"/>
        </w:rPr>
        <w:t xml:space="preserve">doporučení k </w:t>
      </w:r>
      <w:r w:rsidRPr="00176423">
        <w:rPr>
          <w:rFonts w:eastAsia="Times New Roman" w:cs="Arial" w:asciiTheme="minorHAnsi" w:hAnsiTheme="minorHAnsi"/>
          <w:lang w:eastAsia="cs-CZ"/>
        </w:rPr>
        <w:t>účast</w:t>
      </w:r>
      <w:r w:rsidR="00AA73EE">
        <w:rPr>
          <w:rFonts w:eastAsia="Times New Roman" w:cs="Arial" w:asciiTheme="minorHAnsi" w:hAnsiTheme="minorHAnsi"/>
          <w:lang w:eastAsia="cs-CZ"/>
        </w:rPr>
        <w:t>i a sledování</w:t>
      </w:r>
      <w:r w:rsidR="00F31053">
        <w:rPr>
          <w:rFonts w:eastAsia="Times New Roman" w:cs="Arial" w:asciiTheme="minorHAnsi" w:hAnsiTheme="minorHAnsi"/>
          <w:lang w:eastAsia="cs-CZ"/>
        </w:rPr>
        <w:t xml:space="preserve"> </w:t>
      </w:r>
      <w:r w:rsidRPr="00176423" w:rsidR="00AA73EE">
        <w:rPr>
          <w:rFonts w:eastAsia="Times New Roman" w:cs="Arial" w:asciiTheme="minorHAnsi" w:hAnsiTheme="minorHAnsi"/>
          <w:lang w:eastAsia="cs-CZ"/>
        </w:rPr>
        <w:t>grant</w:t>
      </w:r>
      <w:r w:rsidR="00AA73EE">
        <w:rPr>
          <w:rFonts w:eastAsia="Times New Roman" w:cs="Arial" w:asciiTheme="minorHAnsi" w:hAnsiTheme="minorHAnsi"/>
          <w:lang w:eastAsia="cs-CZ"/>
        </w:rPr>
        <w:t>ů, výzev a programů pro region</w:t>
      </w:r>
      <w:r w:rsidRPr="00176423">
        <w:rPr>
          <w:rFonts w:eastAsia="Times New Roman" w:cs="Arial" w:asciiTheme="minorHAnsi" w:hAnsiTheme="minorHAnsi"/>
          <w:lang w:eastAsia="cs-CZ"/>
        </w:rPr>
        <w:t>.</w:t>
      </w:r>
    </w:p>
    <w:p w:rsidRPr="00176423" w:rsidR="00F41A72" w:rsidP="00AA73EE" w:rsidRDefault="00F41A72" w14:paraId="0B90F649" w14:textId="7C1B7513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>Priority EU, priority státu/</w:t>
      </w:r>
      <w:r w:rsidR="00731C76">
        <w:rPr>
          <w:rFonts w:eastAsia="Times New Roman" w:cs="Arial" w:asciiTheme="minorHAnsi" w:hAnsiTheme="minorHAnsi"/>
          <w:lang w:eastAsia="cs-CZ"/>
        </w:rPr>
        <w:t xml:space="preserve"> </w:t>
      </w:r>
      <w:r w:rsidRPr="00176423">
        <w:rPr>
          <w:rFonts w:eastAsia="Times New Roman" w:cs="Arial" w:asciiTheme="minorHAnsi" w:hAnsiTheme="minorHAnsi"/>
          <w:lang w:eastAsia="cs-CZ"/>
        </w:rPr>
        <w:t>kraje</w:t>
      </w:r>
      <w:r w:rsidR="00DC589A">
        <w:rPr>
          <w:rFonts w:eastAsia="Times New Roman" w:cs="Arial" w:asciiTheme="minorHAnsi" w:hAnsiTheme="minorHAnsi"/>
          <w:lang w:eastAsia="cs-CZ"/>
        </w:rPr>
        <w:t xml:space="preserve"> – </w:t>
      </w:r>
      <w:r w:rsidRPr="00176423">
        <w:rPr>
          <w:rFonts w:eastAsia="Times New Roman" w:cs="Arial" w:asciiTheme="minorHAnsi" w:hAnsiTheme="minorHAnsi"/>
          <w:lang w:eastAsia="cs-CZ"/>
        </w:rPr>
        <w:t>které</w:t>
      </w:r>
      <w:r w:rsidR="00DC589A">
        <w:rPr>
          <w:rFonts w:eastAsia="Times New Roman" w:cs="Arial" w:asciiTheme="minorHAnsi" w:hAnsiTheme="minorHAnsi"/>
          <w:lang w:eastAsia="cs-CZ"/>
        </w:rPr>
        <w:t xml:space="preserve"> </w:t>
      </w:r>
      <w:r w:rsidRPr="00176423">
        <w:rPr>
          <w:rFonts w:eastAsia="Times New Roman" w:cs="Arial" w:asciiTheme="minorHAnsi" w:hAnsiTheme="minorHAnsi"/>
          <w:lang w:eastAsia="cs-CZ"/>
        </w:rPr>
        <w:t>priority musí dodržet Milevsko.</w:t>
      </w:r>
    </w:p>
    <w:p w:rsidR="00F41A72" w:rsidP="00AA73EE" w:rsidRDefault="00F41A72" w14:paraId="53451626" w14:textId="77777777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176423">
        <w:rPr>
          <w:rFonts w:eastAsia="Times New Roman" w:cs="Arial" w:asciiTheme="minorHAnsi" w:hAnsiTheme="minorHAnsi"/>
          <w:lang w:eastAsia="cs-CZ"/>
        </w:rPr>
        <w:t>Strategická vize = 1 úderná vize</w:t>
      </w:r>
      <w:r w:rsidRPr="00176423" w:rsidR="001F5374">
        <w:rPr>
          <w:rFonts w:eastAsia="Times New Roman" w:cs="Arial" w:asciiTheme="minorHAnsi" w:hAnsiTheme="minorHAnsi"/>
          <w:lang w:eastAsia="cs-CZ"/>
        </w:rPr>
        <w:t xml:space="preserve"> (formulace priorit)</w:t>
      </w:r>
      <w:r w:rsidRPr="00176423">
        <w:rPr>
          <w:rFonts w:eastAsia="Times New Roman" w:cs="Arial" w:asciiTheme="minorHAnsi" w:hAnsiTheme="minorHAnsi"/>
          <w:lang w:eastAsia="cs-CZ"/>
        </w:rPr>
        <w:t>.</w:t>
      </w:r>
    </w:p>
    <w:p w:rsidR="00DC589A" w:rsidP="00AA73EE" w:rsidRDefault="00DC589A" w14:paraId="1C6FA286" w14:textId="77777777">
      <w:pPr>
        <w:pStyle w:val="Odstavecseseznamem"/>
        <w:numPr>
          <w:ilvl w:val="1"/>
          <w:numId w:val="10"/>
        </w:numPr>
        <w:spacing w:after="160" w:line="256" w:lineRule="auto"/>
        <w:ind w:left="567" w:hanging="425"/>
        <w:jc w:val="both"/>
        <w:rPr>
          <w:rFonts w:eastAsia="Times New Roman" w:cs="Arial" w:asciiTheme="minorHAnsi" w:hAnsiTheme="minorHAnsi"/>
          <w:lang w:eastAsia="cs-CZ"/>
        </w:rPr>
      </w:pPr>
      <w:r w:rsidRPr="00DC589A">
        <w:rPr>
          <w:rFonts w:eastAsia="Times New Roman" w:cs="Arial" w:asciiTheme="minorHAnsi" w:hAnsiTheme="minorHAnsi"/>
          <w:lang w:eastAsia="cs-CZ"/>
        </w:rPr>
        <w:t>Plány města na střednědobý horizont 3-5 let v prioritních oblastech pro postupné dosažení vize a odstranění známých problémů</w:t>
      </w:r>
      <w:r>
        <w:rPr>
          <w:rFonts w:eastAsia="Times New Roman" w:cs="Arial" w:asciiTheme="minorHAnsi" w:hAnsiTheme="minorHAnsi"/>
          <w:lang w:eastAsia="cs-CZ"/>
        </w:rPr>
        <w:t>.</w:t>
      </w:r>
    </w:p>
    <w:p w:rsidRPr="00C34A7F" w:rsidR="00DC589A" w:rsidP="00AA73EE" w:rsidRDefault="00DC589A" w14:paraId="7072C41F" w14:textId="6B9D52F3">
      <w:pPr>
        <w:pStyle w:val="Odstavecseseznamem"/>
        <w:numPr>
          <w:ilvl w:val="1"/>
          <w:numId w:val="10"/>
        </w:numPr>
        <w:spacing w:before="80" w:after="160" w:line="256" w:lineRule="auto"/>
        <w:ind w:left="567" w:hanging="425"/>
        <w:jc w:val="both"/>
        <w:rPr>
          <w:rFonts w:cs="Arial" w:asciiTheme="minorHAnsi" w:hAnsiTheme="minorHAnsi"/>
          <w:bCs/>
          <w:iCs/>
        </w:rPr>
      </w:pPr>
      <w:r w:rsidRPr="00C34A7F">
        <w:rPr>
          <w:rFonts w:cs="Arial" w:asciiTheme="minorHAnsi" w:hAnsiTheme="minorHAnsi"/>
          <w:bCs/>
          <w:iCs/>
        </w:rPr>
        <w:t>Analýza zaměstnanosti mapuje zejména strukturu, vývoj a udržitelnost vysoké zaměstnanosti v regionu, aktuální problémy a překážky zaměstnatelnosti uchazečů o zaměstnání, připravenost na nové výzvy typu Společnost 4.0, Průmysl 4.0 a Práce 4.0 a podobné koncepty), analyzuje dlouhodobou nezaměstnanost a programy zaměřené na aktivní politiku zaměstnanosti.</w:t>
      </w:r>
    </w:p>
    <w:p w:rsidRPr="00176423" w:rsidR="001F5374" w:rsidP="001F5374" w:rsidRDefault="001F5374" w14:paraId="7DDAD724" w14:textId="77777777">
      <w:pPr>
        <w:rPr>
          <w:rFonts w:asciiTheme="minorHAnsi" w:hAnsiTheme="minorHAnsi"/>
        </w:rPr>
      </w:pPr>
    </w:p>
    <w:p w:rsidRPr="00176423" w:rsidR="003A697C" w:rsidP="003A697C" w:rsidRDefault="00F41A72" w14:paraId="4F7C76FD" w14:textId="77777777">
      <w:pPr>
        <w:pStyle w:val="Nadpis2"/>
        <w:spacing w:before="80" w:after="0"/>
        <w:jc w:val="both"/>
        <w:rPr>
          <w:rFonts w:asciiTheme="minorHAnsi" w:hAnsiTheme="minorHAnsi"/>
          <w:i w:val="false"/>
          <w:sz w:val="22"/>
          <w:szCs w:val="22"/>
        </w:rPr>
      </w:pPr>
      <w:r w:rsidRPr="00176423">
        <w:rPr>
          <w:rFonts w:asciiTheme="minorHAnsi" w:hAnsiTheme="minorHAnsi"/>
          <w:i w:val="false"/>
          <w:sz w:val="22"/>
          <w:szCs w:val="22"/>
        </w:rPr>
        <w:lastRenderedPageBreak/>
        <w:t>Součástí analytické části bude rovněž</w:t>
      </w:r>
      <w:r w:rsidRPr="00176423" w:rsidR="003A697C">
        <w:rPr>
          <w:rFonts w:asciiTheme="minorHAnsi" w:hAnsiTheme="minorHAnsi"/>
          <w:i w:val="false"/>
          <w:sz w:val="22"/>
          <w:szCs w:val="22"/>
        </w:rPr>
        <w:t>:</w:t>
      </w:r>
    </w:p>
    <w:p w:rsidR="003A697C" w:rsidP="00AA73EE" w:rsidRDefault="0069183F" w14:paraId="74EDABF0" w14:textId="77777777">
      <w:pPr>
        <w:pStyle w:val="Nadpis2"/>
        <w:numPr>
          <w:ilvl w:val="0"/>
          <w:numId w:val="26"/>
        </w:numPr>
        <w:spacing w:before="80" w:after="0"/>
        <w:jc w:val="both"/>
        <w:rPr>
          <w:rFonts w:asciiTheme="minorHAnsi" w:hAnsiTheme="minorHAnsi"/>
          <w:i w:val="false"/>
          <w:sz w:val="22"/>
          <w:szCs w:val="22"/>
        </w:rPr>
      </w:pPr>
      <w:r w:rsidRPr="0069183F">
        <w:rPr>
          <w:rFonts w:asciiTheme="minorHAnsi" w:hAnsiTheme="minorHAnsi"/>
          <w:i w:val="false"/>
          <w:sz w:val="22"/>
          <w:szCs w:val="22"/>
        </w:rPr>
        <w:t>Zpracování dodatečných analýz pro dokument strategie</w:t>
      </w:r>
      <w:r w:rsidRPr="00176423" w:rsidR="00ED78BB">
        <w:rPr>
          <w:rFonts w:asciiTheme="minorHAnsi" w:hAnsiTheme="minorHAnsi"/>
          <w:i w:val="false"/>
          <w:sz w:val="22"/>
          <w:szCs w:val="22"/>
        </w:rPr>
        <w:t xml:space="preserve">  </w:t>
      </w:r>
    </w:p>
    <w:p w:rsidRPr="00C34A7F" w:rsidR="008D3D12" w:rsidP="00C34A7F" w:rsidRDefault="008D3D12" w14:paraId="5CEA02D5" w14:textId="77777777">
      <w:pPr>
        <w:rPr>
          <w:i/>
        </w:rPr>
      </w:pPr>
    </w:p>
    <w:p w:rsidR="00F21569" w:rsidP="00F41A72" w:rsidRDefault="0069183F" w14:paraId="187B8DE8" w14:textId="4CD53502">
      <w:pPr>
        <w:spacing w:before="80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69183F">
        <w:rPr>
          <w:rFonts w:cs="Arial" w:asciiTheme="minorHAnsi" w:hAnsiTheme="minorHAnsi"/>
          <w:bCs/>
          <w:iCs/>
          <w:sz w:val="22"/>
          <w:szCs w:val="22"/>
        </w:rPr>
        <w:t xml:space="preserve">Cílem tohoto úkolu je provést dodatečné analýzy pro finální </w:t>
      </w:r>
      <w:r w:rsidR="008D3D12">
        <w:rPr>
          <w:rFonts w:cs="Arial" w:asciiTheme="minorHAnsi" w:hAnsiTheme="minorHAnsi"/>
          <w:bCs/>
          <w:iCs/>
          <w:sz w:val="22"/>
          <w:szCs w:val="22"/>
        </w:rPr>
        <w:t>doporučení a implementační část</w:t>
      </w:r>
      <w:r w:rsidRPr="0069183F">
        <w:rPr>
          <w:rFonts w:cs="Arial" w:asciiTheme="minorHAnsi" w:hAnsiTheme="minorHAnsi"/>
          <w:bCs/>
          <w:iCs/>
          <w:sz w:val="22"/>
          <w:szCs w:val="22"/>
        </w:rPr>
        <w:t>.</w:t>
      </w:r>
      <w:r w:rsidR="00F21569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</w:p>
    <w:p w:rsidR="008D3D12" w:rsidP="00F41A72" w:rsidRDefault="008D3D12" w14:paraId="56FFBFAB" w14:textId="77777777">
      <w:pPr>
        <w:spacing w:before="80"/>
        <w:jc w:val="both"/>
        <w:rPr>
          <w:rFonts w:cs="Arial" w:asciiTheme="minorHAnsi" w:hAnsiTheme="minorHAnsi"/>
          <w:bCs/>
          <w:iCs/>
          <w:sz w:val="22"/>
          <w:szCs w:val="22"/>
        </w:rPr>
      </w:pPr>
    </w:p>
    <w:p w:rsidRPr="00AF6FC6" w:rsidR="00F21569" w:rsidP="00AF6FC6" w:rsidRDefault="00F21569" w14:paraId="2C68DA6A" w14:textId="77777777">
      <w:pPr>
        <w:pStyle w:val="Odstavecseseznamem"/>
        <w:numPr>
          <w:ilvl w:val="0"/>
          <w:numId w:val="23"/>
        </w:numPr>
        <w:spacing w:before="80"/>
        <w:jc w:val="both"/>
        <w:rPr>
          <w:rFonts w:cs="Arial" w:asciiTheme="minorHAnsi" w:hAnsiTheme="minorHAnsi"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>Analýza technologické a znalostní náročnosti odvětví v regionu</w:t>
      </w:r>
      <w:r w:rsidRPr="00AF6FC6">
        <w:rPr>
          <w:rFonts w:cs="Arial" w:asciiTheme="minorHAnsi" w:hAnsiTheme="minorHAnsi"/>
          <w:bCs/>
          <w:iCs/>
        </w:rPr>
        <w:t xml:space="preserve">. </w:t>
      </w:r>
    </w:p>
    <w:p w:rsidRPr="00AF6FC6" w:rsidR="00F21569" w:rsidP="00F629A5" w:rsidRDefault="00F21569" w14:paraId="4D8FDF70" w14:textId="624CCE8A">
      <w:pPr>
        <w:spacing w:before="80"/>
        <w:jc w:val="both"/>
        <w:rPr>
          <w:rFonts w:cs="Arial" w:asciiTheme="minorHAnsi" w:hAnsiTheme="minorHAnsi"/>
          <w:bCs/>
          <w:iCs/>
        </w:rPr>
      </w:pPr>
      <w:r w:rsidRPr="00AF6FC6">
        <w:rPr>
          <w:rFonts w:cs="Arial" w:asciiTheme="minorHAnsi" w:hAnsiTheme="minorHAnsi"/>
          <w:bCs/>
          <w:iCs/>
        </w:rPr>
        <w:t xml:space="preserve">Technologická </w:t>
      </w:r>
      <w:r w:rsidR="00094633">
        <w:rPr>
          <w:rFonts w:cs="Arial" w:asciiTheme="minorHAnsi" w:hAnsiTheme="minorHAnsi"/>
          <w:bCs/>
          <w:iCs/>
        </w:rPr>
        <w:t xml:space="preserve">a znalostní </w:t>
      </w:r>
      <w:r w:rsidRPr="00AF6FC6">
        <w:rPr>
          <w:rFonts w:cs="Arial" w:asciiTheme="minorHAnsi" w:hAnsiTheme="minorHAnsi"/>
          <w:bCs/>
          <w:iCs/>
        </w:rPr>
        <w:t xml:space="preserve">náročnost bude vycházet z členění </w:t>
      </w:r>
      <w:proofErr w:type="spellStart"/>
      <w:r w:rsidRPr="00AF6FC6">
        <w:rPr>
          <w:rFonts w:cs="Arial" w:asciiTheme="minorHAnsi" w:hAnsiTheme="minorHAnsi"/>
          <w:bCs/>
          <w:iCs/>
        </w:rPr>
        <w:t>Eurostatu</w:t>
      </w:r>
      <w:proofErr w:type="spellEnd"/>
      <w:r w:rsidRPr="00887310">
        <w:rPr>
          <w:color w:val="000000" w:themeColor="text1"/>
          <w:vertAlign w:val="superscript"/>
        </w:rPr>
        <w:footnoteReference w:id="2"/>
      </w:r>
      <w:r w:rsidRPr="00AA73EE">
        <w:rPr>
          <w:color w:val="000000" w:themeColor="text1"/>
        </w:rPr>
        <w:t xml:space="preserve"> </w:t>
      </w:r>
      <w:r w:rsidRPr="00AF6FC6">
        <w:rPr>
          <w:rFonts w:cs="Arial" w:asciiTheme="minorHAnsi" w:hAnsiTheme="minorHAnsi"/>
          <w:bCs/>
          <w:iCs/>
        </w:rPr>
        <w:t xml:space="preserve"> a firemní data o regionu budou vzhledem ke kompletnosti účetních závěrek využita z roku 2016. Výstupem je přehled odvětví a podíly technologické náročnosti na úrovni </w:t>
      </w:r>
      <w:r w:rsidR="00094633">
        <w:rPr>
          <w:rFonts w:cs="Arial" w:asciiTheme="minorHAnsi" w:hAnsiTheme="minorHAnsi"/>
          <w:bCs/>
          <w:iCs/>
        </w:rPr>
        <w:t>třímístného kódování</w:t>
      </w:r>
      <w:r w:rsidR="00244C74">
        <w:rPr>
          <w:rStyle w:val="Znakapoznpodarou"/>
          <w:rFonts w:cs="Arial" w:asciiTheme="minorHAnsi" w:hAnsiTheme="minorHAnsi"/>
          <w:bCs/>
          <w:iCs/>
        </w:rPr>
        <w:footnoteReference w:id="3"/>
      </w:r>
      <w:r w:rsidRPr="00AF6FC6">
        <w:rPr>
          <w:rFonts w:cs="Arial" w:asciiTheme="minorHAnsi" w:hAnsiTheme="minorHAnsi"/>
          <w:bCs/>
          <w:iCs/>
        </w:rPr>
        <w:t xml:space="preserve"> </w:t>
      </w:r>
      <w:r w:rsidR="00094633">
        <w:rPr>
          <w:rFonts w:cs="Arial" w:asciiTheme="minorHAnsi" w:hAnsiTheme="minorHAnsi"/>
          <w:bCs/>
          <w:iCs/>
        </w:rPr>
        <w:t>k</w:t>
      </w:r>
      <w:r w:rsidRPr="00094633" w:rsidR="00094633">
        <w:rPr>
          <w:rFonts w:cs="Arial" w:asciiTheme="minorHAnsi" w:hAnsiTheme="minorHAnsi"/>
          <w:bCs/>
          <w:iCs/>
        </w:rPr>
        <w:t>lasifikace ekonomických činností CZ-NACE dle Českého statistického úřadu</w:t>
      </w:r>
      <w:r w:rsidRPr="00AF6FC6">
        <w:rPr>
          <w:rFonts w:cs="Arial" w:asciiTheme="minorHAnsi" w:hAnsiTheme="minorHAnsi"/>
          <w:bCs/>
          <w:iCs/>
        </w:rPr>
        <w:t>.</w:t>
      </w:r>
    </w:p>
    <w:p w:rsidRPr="00AF6FC6" w:rsidR="00F21569" w:rsidP="00AF6FC6" w:rsidRDefault="00F21569" w14:paraId="237B97BE" w14:textId="77777777">
      <w:pPr>
        <w:pStyle w:val="Odstavecseseznamem"/>
        <w:numPr>
          <w:ilvl w:val="0"/>
          <w:numId w:val="23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 xml:space="preserve">Vnímání regionu jeho okolím. </w:t>
      </w:r>
    </w:p>
    <w:p w:rsidRPr="00AF6FC6" w:rsidR="00F41A72" w:rsidP="00F629A5" w:rsidRDefault="00F21569" w14:paraId="57791582" w14:textId="633015F3">
      <w:pPr>
        <w:spacing w:before="80"/>
        <w:jc w:val="both"/>
        <w:rPr>
          <w:rFonts w:cs="Arial" w:asciiTheme="minorHAnsi" w:hAnsiTheme="minorHAnsi"/>
          <w:bCs/>
          <w:iCs/>
        </w:rPr>
      </w:pPr>
      <w:r w:rsidRPr="00AF6FC6">
        <w:rPr>
          <w:rFonts w:cs="Arial" w:asciiTheme="minorHAnsi" w:hAnsiTheme="minorHAnsi"/>
          <w:bCs/>
          <w:iCs/>
        </w:rPr>
        <w:t>Cílem tohoto dotazování je zjistit, jak je vnímán region populací České republiky, která v regionu nežije</w:t>
      </w:r>
      <w:r w:rsidRPr="00F31053" w:rsidR="00F31053">
        <w:rPr>
          <w:rFonts w:cs="Arial" w:asciiTheme="minorHAnsi" w:hAnsiTheme="minorHAnsi"/>
          <w:bCs/>
          <w:iCs/>
        </w:rPr>
        <w:t xml:space="preserve"> (Tábor, Příbram, Písek a Benešov, Praha</w:t>
      </w:r>
      <w:r w:rsidR="00F31053">
        <w:rPr>
          <w:rFonts w:cs="Arial" w:asciiTheme="minorHAnsi" w:hAnsiTheme="minorHAnsi"/>
          <w:bCs/>
          <w:iCs/>
        </w:rPr>
        <w:t>)</w:t>
      </w:r>
      <w:r w:rsidRPr="00AF6FC6">
        <w:rPr>
          <w:rFonts w:cs="Arial" w:asciiTheme="minorHAnsi" w:hAnsiTheme="minorHAnsi"/>
          <w:bCs/>
          <w:iCs/>
        </w:rPr>
        <w:t xml:space="preserve"> </w:t>
      </w:r>
      <w:r w:rsidRPr="00AF6FC6" w:rsidR="00F41A72">
        <w:rPr>
          <w:rFonts w:cs="Arial" w:asciiTheme="minorHAnsi" w:hAnsiTheme="minorHAnsi"/>
          <w:bCs/>
          <w:iCs/>
        </w:rPr>
        <w:t xml:space="preserve">K tomu je třeba sestavit dotazník, který schválí odborný garant a zástupce zadavatele. Výstupem je výzkumná zpráva z dotazníkového šetření. </w:t>
      </w:r>
    </w:p>
    <w:p w:rsidRPr="00176423" w:rsidR="00F41A72" w:rsidP="00F41A72" w:rsidRDefault="00F41A72" w14:paraId="5B3B12FD" w14:textId="77777777">
      <w:pPr>
        <w:pStyle w:val="Nadpis2"/>
        <w:spacing w:before="80" w:after="0"/>
        <w:jc w:val="both"/>
        <w:rPr>
          <w:rFonts w:asciiTheme="minorHAnsi" w:hAnsiTheme="minorHAnsi"/>
          <w:b w:val="false"/>
          <w:i w:val="false"/>
          <w:sz w:val="22"/>
          <w:szCs w:val="22"/>
          <w:highlight w:val="yellow"/>
        </w:rPr>
      </w:pPr>
    </w:p>
    <w:p w:rsidRPr="00176423" w:rsidR="00F41A72" w:rsidP="00F629A5" w:rsidRDefault="003A697C" w14:paraId="045449EF" w14:textId="0F11198F">
      <w:pPr>
        <w:pStyle w:val="Nadpis2"/>
        <w:spacing w:before="80" w:after="0"/>
        <w:jc w:val="both"/>
        <w:rPr>
          <w:rFonts w:asciiTheme="minorHAnsi" w:hAnsiTheme="minorHAnsi"/>
          <w:b w:val="false"/>
          <w:i w:val="false"/>
          <w:sz w:val="22"/>
          <w:szCs w:val="22"/>
          <w:highlight w:val="yellow"/>
        </w:rPr>
      </w:pPr>
      <w:r w:rsidRPr="00176423">
        <w:rPr>
          <w:rFonts w:asciiTheme="minorHAnsi" w:hAnsiTheme="minorHAnsi"/>
          <w:b w:val="false"/>
          <w:i w:val="false"/>
          <w:sz w:val="22"/>
          <w:szCs w:val="22"/>
        </w:rPr>
        <w:t>P</w:t>
      </w:r>
      <w:r w:rsidRPr="00176423" w:rsidR="00F41A72">
        <w:rPr>
          <w:rFonts w:asciiTheme="minorHAnsi" w:hAnsiTheme="minorHAnsi"/>
          <w:b w:val="false"/>
          <w:i w:val="false"/>
          <w:sz w:val="22"/>
          <w:szCs w:val="22"/>
        </w:rPr>
        <w:t xml:space="preserve">rovedení šetření </w:t>
      </w:r>
      <w:r w:rsidRPr="00176423" w:rsidR="00ED78BB">
        <w:rPr>
          <w:rFonts w:asciiTheme="minorHAnsi" w:hAnsiTheme="minorHAnsi"/>
          <w:b w:val="false"/>
          <w:i w:val="false"/>
          <w:sz w:val="22"/>
          <w:szCs w:val="22"/>
        </w:rPr>
        <w:t xml:space="preserve">bude provedeno </w:t>
      </w:r>
      <w:r w:rsidRPr="00176423" w:rsidR="00F41A72">
        <w:rPr>
          <w:rFonts w:asciiTheme="minorHAnsi" w:hAnsiTheme="minorHAnsi"/>
          <w:b w:val="false"/>
          <w:i w:val="false"/>
          <w:sz w:val="22"/>
          <w:szCs w:val="22"/>
        </w:rPr>
        <w:t xml:space="preserve">na základě </w:t>
      </w:r>
      <w:r w:rsidRPr="00176423" w:rsidR="00F41A72">
        <w:rPr>
          <w:rFonts w:asciiTheme="minorHAnsi" w:hAnsiTheme="minorHAnsi"/>
          <w:i w:val="false"/>
          <w:sz w:val="22"/>
          <w:szCs w:val="22"/>
        </w:rPr>
        <w:t>vlastního dotazníku</w:t>
      </w:r>
      <w:r w:rsidRPr="00176423" w:rsidR="00F41A72">
        <w:rPr>
          <w:rFonts w:asciiTheme="minorHAnsi" w:hAnsiTheme="minorHAnsi"/>
          <w:b w:val="false"/>
          <w:i w:val="false"/>
          <w:sz w:val="22"/>
          <w:szCs w:val="22"/>
        </w:rPr>
        <w:t xml:space="preserve"> a metodiky provádění průzkumu, např. kompilací dotazníků s větším množstvím tzv. otevřených otázek s volnou výpovědí respondentů. Podmínkou je oslovení reprezentativního vzorku (min </w:t>
      </w:r>
      <w:r w:rsidR="00CA57D2">
        <w:rPr>
          <w:rFonts w:asciiTheme="minorHAnsi" w:hAnsiTheme="minorHAnsi"/>
          <w:b w:val="false"/>
          <w:i w:val="false"/>
          <w:sz w:val="22"/>
          <w:szCs w:val="22"/>
        </w:rPr>
        <w:t>15</w:t>
      </w:r>
      <w:r w:rsidRPr="00176423" w:rsidR="00094633">
        <w:rPr>
          <w:rFonts w:asciiTheme="minorHAnsi" w:hAnsiTheme="minorHAnsi"/>
          <w:b w:val="false"/>
          <w:i w:val="false"/>
          <w:sz w:val="22"/>
          <w:szCs w:val="22"/>
        </w:rPr>
        <w:t xml:space="preserve"> </w:t>
      </w:r>
      <w:r w:rsidRPr="00176423" w:rsidR="00F41A72">
        <w:rPr>
          <w:rFonts w:asciiTheme="minorHAnsi" w:hAnsiTheme="minorHAnsi"/>
          <w:b w:val="false"/>
          <w:i w:val="false"/>
          <w:sz w:val="22"/>
          <w:szCs w:val="22"/>
        </w:rPr>
        <w:t>respondentů v každé kategorii) obyvatel v těchto skupinách:</w:t>
      </w:r>
    </w:p>
    <w:p w:rsidRPr="008249A1" w:rsidR="008249A1" w:rsidP="00F629A5" w:rsidRDefault="008249A1" w14:paraId="30A4F705" w14:textId="77777777">
      <w:pPr>
        <w:spacing w:before="80"/>
        <w:ind w:left="426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•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ab/>
        <w:t>Podnikatelský sektor – mikro firem (do 9 zaměstnanců)</w:t>
      </w:r>
    </w:p>
    <w:p w:rsidRPr="008249A1" w:rsidR="008249A1" w:rsidP="00F629A5" w:rsidRDefault="008249A1" w14:paraId="43A54033" w14:textId="484C99C5">
      <w:pPr>
        <w:spacing w:before="80"/>
        <w:ind w:left="426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•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ab/>
        <w:t>Podnikatelský sektor – malých a středních firem (</w:t>
      </w:r>
      <w:r w:rsidR="00AA73EE">
        <w:rPr>
          <w:rFonts w:cs="Arial" w:asciiTheme="minorHAnsi" w:hAnsiTheme="minorHAnsi"/>
          <w:bCs/>
          <w:iCs/>
          <w:sz w:val="22"/>
          <w:szCs w:val="22"/>
        </w:rPr>
        <w:t>10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-249 zaměstnanců) </w:t>
      </w:r>
    </w:p>
    <w:p w:rsidRPr="008249A1" w:rsidR="008249A1" w:rsidP="00F629A5" w:rsidRDefault="008249A1" w14:paraId="359CC603" w14:textId="3DB3F8D4">
      <w:pPr>
        <w:spacing w:before="80"/>
        <w:ind w:left="426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•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ab/>
        <w:t>Podnikatelský sektor – velkých firem (</w:t>
      </w:r>
      <w:r w:rsidR="00AA73EE">
        <w:rPr>
          <w:rFonts w:cs="Arial" w:asciiTheme="minorHAnsi" w:hAnsiTheme="minorHAnsi"/>
          <w:bCs/>
          <w:iCs/>
          <w:sz w:val="22"/>
          <w:szCs w:val="22"/>
        </w:rPr>
        <w:t>250+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 zaměstnanců) </w:t>
      </w:r>
    </w:p>
    <w:p w:rsidRPr="008249A1" w:rsidR="008249A1" w:rsidP="00F629A5" w:rsidRDefault="008249A1" w14:paraId="5A6520A1" w14:textId="77777777">
      <w:pPr>
        <w:spacing w:before="80"/>
        <w:ind w:left="426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•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ab/>
        <w:t>Domácnosti – věková kategorie respondenta 15-35 let</w:t>
      </w:r>
    </w:p>
    <w:p w:rsidRPr="008249A1" w:rsidR="008249A1" w:rsidP="00F629A5" w:rsidRDefault="008249A1" w14:paraId="74A19B86" w14:textId="77777777">
      <w:pPr>
        <w:spacing w:before="80"/>
        <w:ind w:left="426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•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ab/>
        <w:t>Domácnosti – věková kategorie respondenta 36-50 let</w:t>
      </w:r>
    </w:p>
    <w:p w:rsidRPr="008249A1" w:rsidR="008249A1" w:rsidP="00F629A5" w:rsidRDefault="008249A1" w14:paraId="76D8581E" w14:textId="77777777">
      <w:pPr>
        <w:spacing w:before="80"/>
        <w:ind w:left="426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•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ab/>
        <w:t>Domácnosti – věková kategorie respondenta 51+ let</w:t>
      </w:r>
    </w:p>
    <w:p w:rsidRPr="008249A1" w:rsidR="008249A1" w:rsidP="00F629A5" w:rsidRDefault="008249A1" w14:paraId="64B95B3A" w14:textId="77777777">
      <w:pPr>
        <w:spacing w:before="80"/>
        <w:ind w:left="426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•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ab/>
        <w:t>Absolventi středních a vysokých škol v regionu (do 5 let po absolvování)</w:t>
      </w:r>
    </w:p>
    <w:p w:rsidRPr="00176423" w:rsidR="00F41A72" w:rsidP="00F629A5" w:rsidRDefault="00F41A72" w14:paraId="35EDA24D" w14:textId="77777777">
      <w:pPr>
        <w:spacing w:before="80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176423">
        <w:rPr>
          <w:rFonts w:cs="Arial" w:asciiTheme="minorHAnsi" w:hAnsiTheme="minorHAnsi"/>
          <w:bCs/>
          <w:iCs/>
          <w:sz w:val="22"/>
          <w:szCs w:val="22"/>
        </w:rPr>
        <w:t xml:space="preserve">Otázky směřují na nutné podmínky rozvoje regionu pro obyvatele, co je třeba nejprve udělat, aby se v regionu žilo lépe. Zástupce zadavatele má právo účastnit se min. 10 % řízených rozhovorů. </w:t>
      </w:r>
    </w:p>
    <w:p w:rsidR="00F41A72" w:rsidP="00F629A5" w:rsidRDefault="00F41A72" w14:paraId="787842D4" w14:textId="77777777">
      <w:pPr>
        <w:spacing w:before="80"/>
        <w:jc w:val="both"/>
        <w:rPr>
          <w:rFonts w:cs="Arial" w:asciiTheme="minorHAnsi" w:hAnsiTheme="minorHAnsi"/>
          <w:bCs/>
          <w:i/>
          <w:iCs/>
          <w:sz w:val="22"/>
          <w:szCs w:val="22"/>
        </w:rPr>
      </w:pPr>
      <w:r w:rsidRPr="00176423">
        <w:rPr>
          <w:rFonts w:cs="Arial" w:asciiTheme="minorHAnsi" w:hAnsiTheme="minorHAnsi"/>
          <w:bCs/>
          <w:i/>
          <w:iCs/>
          <w:sz w:val="22"/>
          <w:szCs w:val="22"/>
        </w:rPr>
        <w:t>Získaná data budou zpracována (také ve formě tabulek, grafů, aj.), vyhodnocena a předána zadavateli včetně vyplněných zdrojových dotazníků.</w:t>
      </w:r>
    </w:p>
    <w:p w:rsidR="00F21569" w:rsidP="00F41A72" w:rsidRDefault="00F21569" w14:paraId="38A8BD92" w14:textId="77777777">
      <w:pPr>
        <w:spacing w:before="80"/>
        <w:jc w:val="both"/>
        <w:rPr>
          <w:rFonts w:cs="Arial" w:asciiTheme="minorHAnsi" w:hAnsiTheme="minorHAnsi"/>
          <w:bCs/>
          <w:i/>
          <w:iCs/>
          <w:sz w:val="22"/>
          <w:szCs w:val="22"/>
        </w:rPr>
      </w:pPr>
    </w:p>
    <w:p w:rsidR="0069183F" w:rsidP="00AF6FC6" w:rsidRDefault="0069183F" w14:paraId="3C7D5BF0" w14:textId="77777777">
      <w:pPr>
        <w:pStyle w:val="Odstavecseseznamem"/>
        <w:numPr>
          <w:ilvl w:val="0"/>
          <w:numId w:val="23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>Analýza cen nemovitostí v regionu, prognóza vývoje cen.</w:t>
      </w:r>
    </w:p>
    <w:p w:rsidRPr="00F31053" w:rsidR="00AA73EE" w:rsidP="00F31053" w:rsidRDefault="00AA73EE" w14:paraId="7AC6E4C0" w14:textId="2D05ADD6">
      <w:pPr>
        <w:spacing w:before="80"/>
        <w:ind w:left="360"/>
        <w:jc w:val="both"/>
        <w:rPr>
          <w:rFonts w:cs="Arial" w:asciiTheme="minorHAnsi" w:hAnsiTheme="minorHAnsi"/>
          <w:bCs/>
          <w:iCs/>
          <w:sz w:val="22"/>
          <w:szCs w:val="22"/>
        </w:rPr>
      </w:pPr>
      <w:r>
        <w:rPr>
          <w:rFonts w:cs="Arial" w:asciiTheme="minorHAnsi" w:hAnsiTheme="minorHAnsi"/>
          <w:bCs/>
          <w:iCs/>
          <w:sz w:val="22"/>
          <w:szCs w:val="22"/>
        </w:rPr>
        <w:t>V</w:t>
      </w:r>
      <w:r w:rsidRPr="00F31053">
        <w:rPr>
          <w:rFonts w:cs="Arial" w:asciiTheme="minorHAnsi" w:hAnsiTheme="minorHAnsi"/>
          <w:bCs/>
          <w:iCs/>
          <w:sz w:val="22"/>
          <w:szCs w:val="22"/>
        </w:rPr>
        <w:t>ývoj v prodejních cenách za metr čtvereční (ideálně ze smluv uložených v katastru nemovitostí). Variantou je analyzovat i nájemní ceny daných kategorií z inzerátů.</w:t>
      </w:r>
    </w:p>
    <w:p w:rsidR="00AA73EE" w:rsidP="00F31053" w:rsidRDefault="00AA73EE" w14:paraId="5C3FDE11" w14:textId="77777777">
      <w:pPr>
        <w:pStyle w:val="Odstavecseseznamem"/>
        <w:numPr>
          <w:ilvl w:val="0"/>
          <w:numId w:val="30"/>
        </w:numPr>
        <w:spacing w:before="80"/>
        <w:jc w:val="both"/>
        <w:rPr>
          <w:rFonts w:cs="Arial" w:asciiTheme="minorHAnsi" w:hAnsiTheme="minorHAnsi"/>
          <w:bCs/>
          <w:iCs/>
        </w:rPr>
      </w:pPr>
      <w:r w:rsidRPr="00F31053">
        <w:rPr>
          <w:rFonts w:cs="Arial" w:asciiTheme="minorHAnsi" w:hAnsiTheme="minorHAnsi"/>
          <w:bCs/>
          <w:iCs/>
        </w:rPr>
        <w:t xml:space="preserve">Byty (v paneláku, činžáku, obytném domě) </w:t>
      </w:r>
    </w:p>
    <w:p w:rsidRPr="00F31053" w:rsidR="00AA73EE" w:rsidP="00F31053" w:rsidRDefault="00AA73EE" w14:paraId="2A8B959E" w14:textId="77777777">
      <w:pPr>
        <w:pStyle w:val="Odstavecseseznamem"/>
        <w:numPr>
          <w:ilvl w:val="0"/>
          <w:numId w:val="30"/>
        </w:numPr>
        <w:spacing w:before="80"/>
        <w:jc w:val="both"/>
        <w:rPr>
          <w:rFonts w:cs="Arial" w:asciiTheme="minorHAnsi" w:hAnsiTheme="minorHAnsi"/>
          <w:bCs/>
          <w:iCs/>
        </w:rPr>
      </w:pPr>
      <w:r w:rsidRPr="00F31053">
        <w:rPr>
          <w:rFonts w:eastAsia="Times New Roman" w:cs="Arial" w:asciiTheme="minorHAnsi" w:hAnsiTheme="minorHAnsi"/>
          <w:bCs/>
          <w:iCs/>
          <w:lang w:eastAsia="cs-CZ"/>
        </w:rPr>
        <w:t xml:space="preserve">Domy (celé rodinné domy), </w:t>
      </w:r>
    </w:p>
    <w:p w:rsidRPr="00F31053" w:rsidR="00AA73EE" w:rsidP="00F31053" w:rsidRDefault="00AA73EE" w14:paraId="626DFC54" w14:textId="77777777">
      <w:pPr>
        <w:pStyle w:val="Odstavecseseznamem"/>
        <w:numPr>
          <w:ilvl w:val="0"/>
          <w:numId w:val="30"/>
        </w:numPr>
        <w:spacing w:before="80"/>
        <w:jc w:val="both"/>
        <w:rPr>
          <w:rFonts w:cs="Arial" w:asciiTheme="minorHAnsi" w:hAnsiTheme="minorHAnsi"/>
          <w:bCs/>
          <w:iCs/>
        </w:rPr>
      </w:pPr>
      <w:r w:rsidRPr="00F31053">
        <w:rPr>
          <w:rFonts w:eastAsia="Times New Roman" w:cs="Arial" w:asciiTheme="minorHAnsi" w:hAnsiTheme="minorHAnsi"/>
          <w:bCs/>
          <w:iCs/>
          <w:lang w:eastAsia="cs-CZ"/>
        </w:rPr>
        <w:lastRenderedPageBreak/>
        <w:t xml:space="preserve">Rekreační nemovitosti (chaty a chalupy, zahradní domky), </w:t>
      </w:r>
    </w:p>
    <w:p w:rsidRPr="00F31053" w:rsidR="00AA73EE" w:rsidP="00F31053" w:rsidRDefault="00AA73EE" w14:paraId="39918BFC" w14:textId="77777777">
      <w:pPr>
        <w:pStyle w:val="Odstavecseseznamem"/>
        <w:numPr>
          <w:ilvl w:val="0"/>
          <w:numId w:val="30"/>
        </w:numPr>
        <w:spacing w:before="80"/>
        <w:jc w:val="both"/>
        <w:rPr>
          <w:rFonts w:cs="Arial" w:asciiTheme="minorHAnsi" w:hAnsiTheme="minorHAnsi"/>
          <w:bCs/>
          <w:iCs/>
        </w:rPr>
      </w:pPr>
      <w:r w:rsidRPr="00F31053">
        <w:rPr>
          <w:rFonts w:eastAsia="Times New Roman" w:cs="Arial" w:asciiTheme="minorHAnsi" w:hAnsiTheme="minorHAnsi"/>
          <w:bCs/>
          <w:iCs/>
          <w:lang w:eastAsia="cs-CZ"/>
        </w:rPr>
        <w:t xml:space="preserve">Pozemky (s možností stavby), </w:t>
      </w:r>
    </w:p>
    <w:p w:rsidRPr="00F31053" w:rsidR="00AA73EE" w:rsidP="00F31053" w:rsidRDefault="00AA73EE" w14:paraId="6A9AEEF0" w14:textId="1FB426CE">
      <w:pPr>
        <w:pStyle w:val="Odstavecseseznamem"/>
        <w:numPr>
          <w:ilvl w:val="0"/>
          <w:numId w:val="30"/>
        </w:numPr>
        <w:spacing w:before="80"/>
        <w:jc w:val="both"/>
        <w:rPr>
          <w:rFonts w:cs="Arial" w:asciiTheme="minorHAnsi" w:hAnsiTheme="minorHAnsi"/>
          <w:bCs/>
          <w:iCs/>
        </w:rPr>
      </w:pPr>
      <w:r w:rsidRPr="00F31053">
        <w:rPr>
          <w:rFonts w:eastAsia="Times New Roman" w:cs="Arial" w:asciiTheme="minorHAnsi" w:hAnsiTheme="minorHAnsi"/>
          <w:bCs/>
          <w:iCs/>
          <w:lang w:eastAsia="cs-CZ"/>
        </w:rPr>
        <w:t>Nebytové komerční prostory (kanceláře, administrativní budovy apod.).</w:t>
      </w:r>
    </w:p>
    <w:p w:rsidRPr="00F31053" w:rsidR="00F21569" w:rsidP="00AF6FC6" w:rsidRDefault="00F21569" w14:paraId="303CCE1F" w14:textId="77777777">
      <w:pPr>
        <w:pStyle w:val="Odstavecseseznamem"/>
        <w:spacing w:before="80"/>
        <w:ind w:left="1065"/>
        <w:jc w:val="both"/>
        <w:rPr>
          <w:rFonts w:eastAsia="Times New Roman" w:cs="Arial" w:asciiTheme="minorHAnsi" w:hAnsiTheme="minorHAnsi"/>
          <w:bCs/>
          <w:iCs/>
          <w:lang w:eastAsia="cs-CZ"/>
        </w:rPr>
      </w:pPr>
    </w:p>
    <w:p w:rsidRPr="00AF6FC6" w:rsidR="0069183F" w:rsidP="00AF6FC6" w:rsidRDefault="0069183F" w14:paraId="27BC3D20" w14:textId="77777777">
      <w:pPr>
        <w:pStyle w:val="Odstavecseseznamem"/>
        <w:numPr>
          <w:ilvl w:val="0"/>
          <w:numId w:val="23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>Analýza demografické pyramidy, prognóza vývoje za jinak nezměněných podmínek.</w:t>
      </w:r>
    </w:p>
    <w:p w:rsidRPr="00AF6FC6" w:rsidR="00F21569" w:rsidP="00AF6FC6" w:rsidRDefault="00F21569" w14:paraId="7B81C180" w14:textId="77777777">
      <w:pPr>
        <w:pStyle w:val="Odstavecseseznamem"/>
        <w:spacing w:before="80"/>
        <w:ind w:left="1065"/>
        <w:jc w:val="both"/>
        <w:rPr>
          <w:rFonts w:cs="Arial" w:asciiTheme="minorHAnsi" w:hAnsiTheme="minorHAnsi"/>
          <w:b/>
          <w:bCs/>
          <w:iCs/>
        </w:rPr>
      </w:pPr>
    </w:p>
    <w:p w:rsidRPr="00AF6FC6" w:rsidR="0069183F" w:rsidP="00C34A7F" w:rsidRDefault="0069183F" w14:paraId="3BE93347" w14:textId="77777777">
      <w:pPr>
        <w:pStyle w:val="Odstavecseseznamem"/>
        <w:numPr>
          <w:ilvl w:val="0"/>
          <w:numId w:val="26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 xml:space="preserve"> Zpracování podkladů pro </w:t>
      </w:r>
      <w:proofErr w:type="spellStart"/>
      <w:r w:rsidRPr="00AF6FC6">
        <w:rPr>
          <w:rFonts w:cs="Arial" w:asciiTheme="minorHAnsi" w:hAnsiTheme="minorHAnsi"/>
          <w:b/>
          <w:bCs/>
          <w:iCs/>
        </w:rPr>
        <w:t>brandingovou</w:t>
      </w:r>
      <w:proofErr w:type="spellEnd"/>
      <w:r w:rsidRPr="00AF6FC6">
        <w:rPr>
          <w:rFonts w:cs="Arial" w:asciiTheme="minorHAnsi" w:hAnsiTheme="minorHAnsi"/>
          <w:b/>
          <w:bCs/>
          <w:iCs/>
        </w:rPr>
        <w:t xml:space="preserve"> strategii města</w:t>
      </w:r>
    </w:p>
    <w:p w:rsidRPr="008249A1" w:rsidR="0069183F" w:rsidP="00CA57D2" w:rsidRDefault="0069183F" w14:paraId="7C60F44B" w14:textId="29970ED7">
      <w:pPr>
        <w:spacing w:before="80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Cílem tohoto úkolu je zmapovat současnou </w:t>
      </w:r>
      <w:proofErr w:type="spellStart"/>
      <w:r w:rsidRPr="008249A1">
        <w:rPr>
          <w:rFonts w:cs="Arial" w:asciiTheme="minorHAnsi" w:hAnsiTheme="minorHAnsi"/>
          <w:bCs/>
          <w:iCs/>
          <w:sz w:val="22"/>
          <w:szCs w:val="22"/>
        </w:rPr>
        <w:t>brandingovou</w:t>
      </w:r>
      <w:proofErr w:type="spellEnd"/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 strategii města, zhodnotit marketingové nástroje města, symboly, jména, slogany, památky, akce, kterými se prezentuje a přidat kritiku používaných nástrojů a navrhnout možná řešení. Výstupem je souhrnná zpráva. Výzkum je postaven na pilotním </w:t>
      </w:r>
      <w:r w:rsidR="00CA57D2">
        <w:rPr>
          <w:rFonts w:cs="Arial" w:asciiTheme="minorHAnsi" w:hAnsiTheme="minorHAnsi"/>
          <w:bCs/>
          <w:iCs/>
          <w:sz w:val="22"/>
          <w:szCs w:val="22"/>
        </w:rPr>
        <w:t>vzorku respondentů z regionu (5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0 respondentů), jejich vnímání základních symbolů a znalost </w:t>
      </w:r>
      <w:proofErr w:type="spellStart"/>
      <w:r w:rsidRPr="008249A1">
        <w:rPr>
          <w:rFonts w:cs="Arial" w:asciiTheme="minorHAnsi" w:hAnsiTheme="minorHAnsi"/>
          <w:bCs/>
          <w:iCs/>
          <w:sz w:val="22"/>
          <w:szCs w:val="22"/>
        </w:rPr>
        <w:t>makretingových</w:t>
      </w:r>
      <w:proofErr w:type="spellEnd"/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 projektů města, a minimálně </w:t>
      </w:r>
      <w:r w:rsidR="00C53498">
        <w:rPr>
          <w:rFonts w:cs="Arial" w:asciiTheme="minorHAnsi" w:hAnsiTheme="minorHAnsi"/>
          <w:bCs/>
          <w:iCs/>
          <w:sz w:val="22"/>
          <w:szCs w:val="22"/>
        </w:rPr>
        <w:t>názor</w:t>
      </w:r>
      <w:r w:rsidR="00C64108">
        <w:rPr>
          <w:rFonts w:cs="Arial" w:asciiTheme="minorHAnsi" w:hAnsiTheme="minorHAnsi"/>
          <w:bCs/>
          <w:iCs/>
          <w:sz w:val="22"/>
          <w:szCs w:val="22"/>
        </w:rPr>
        <w:t>ů</w:t>
      </w:r>
      <w:r w:rsidR="00C53498">
        <w:rPr>
          <w:rFonts w:cs="Arial" w:asciiTheme="minorHAnsi" w:hAnsiTheme="minorHAnsi"/>
          <w:bCs/>
          <w:iCs/>
          <w:sz w:val="22"/>
          <w:szCs w:val="22"/>
        </w:rPr>
        <w:t xml:space="preserve"> </w:t>
      </w:r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5 odborníků z </w:t>
      </w:r>
      <w:proofErr w:type="spellStart"/>
      <w:r w:rsidRPr="008249A1">
        <w:rPr>
          <w:rFonts w:cs="Arial" w:asciiTheme="minorHAnsi" w:hAnsiTheme="minorHAnsi"/>
          <w:bCs/>
          <w:iCs/>
          <w:sz w:val="22"/>
          <w:szCs w:val="22"/>
        </w:rPr>
        <w:t>brandingové</w:t>
      </w:r>
      <w:proofErr w:type="spellEnd"/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 a marketingové praxe. </w:t>
      </w:r>
    </w:p>
    <w:p w:rsidRPr="00C34A7F" w:rsidR="008D3D12" w:rsidP="00C34A7F" w:rsidRDefault="0069183F" w14:paraId="2E88E8B8" w14:textId="45054DA9">
      <w:pPr>
        <w:pStyle w:val="Odstavecseseznamem"/>
        <w:numPr>
          <w:ilvl w:val="0"/>
          <w:numId w:val="26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 xml:space="preserve"> Sestavení ukazatelů pro městský </w:t>
      </w:r>
      <w:proofErr w:type="spellStart"/>
      <w:r w:rsidRPr="00AF6FC6">
        <w:rPr>
          <w:rFonts w:cs="Arial" w:asciiTheme="minorHAnsi" w:hAnsiTheme="minorHAnsi"/>
          <w:b/>
          <w:bCs/>
          <w:iCs/>
        </w:rPr>
        <w:t>Dashboard</w:t>
      </w:r>
      <w:proofErr w:type="spellEnd"/>
      <w:r w:rsidR="00CA57D2">
        <w:rPr>
          <w:rFonts w:cs="Arial" w:asciiTheme="minorHAnsi" w:hAnsiTheme="minorHAnsi"/>
          <w:b/>
          <w:bCs/>
          <w:iCs/>
        </w:rPr>
        <w:t xml:space="preserve"> </w:t>
      </w:r>
    </w:p>
    <w:p w:rsidRPr="008249A1" w:rsidR="0069183F" w:rsidP="00CA57D2" w:rsidRDefault="0069183F" w14:paraId="55549DE7" w14:textId="77777777">
      <w:pPr>
        <w:spacing w:before="80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Cílem tohoto úkolu je zmapovat ukazatele, které může město reportovat online na svém portálu.</w:t>
      </w:r>
    </w:p>
    <w:p w:rsidRPr="00AF6FC6" w:rsidR="0069183F" w:rsidP="00C64108" w:rsidRDefault="0069183F" w14:paraId="2A3A9690" w14:textId="45773518">
      <w:pPr>
        <w:pStyle w:val="Odstavecseseznamem"/>
        <w:numPr>
          <w:ilvl w:val="0"/>
          <w:numId w:val="26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 xml:space="preserve"> Zhodnocení zralosti prováděných procesů </w:t>
      </w:r>
      <w:r w:rsidRPr="00C64108" w:rsidR="00C64108">
        <w:rPr>
          <w:rFonts w:cs="Arial" w:asciiTheme="minorHAnsi" w:hAnsiTheme="minorHAnsi"/>
          <w:b/>
          <w:bCs/>
          <w:iCs/>
        </w:rPr>
        <w:t>samospráv</w:t>
      </w:r>
      <w:r w:rsidR="00C64108">
        <w:rPr>
          <w:rFonts w:cs="Arial" w:asciiTheme="minorHAnsi" w:hAnsiTheme="minorHAnsi"/>
          <w:b/>
          <w:bCs/>
          <w:iCs/>
        </w:rPr>
        <w:t>y</w:t>
      </w:r>
      <w:r w:rsidRPr="00AF6FC6">
        <w:rPr>
          <w:rFonts w:cs="Arial" w:asciiTheme="minorHAnsi" w:hAnsiTheme="minorHAnsi"/>
          <w:b/>
          <w:bCs/>
          <w:iCs/>
        </w:rPr>
        <w:t xml:space="preserve"> </w:t>
      </w:r>
    </w:p>
    <w:p w:rsidRPr="008249A1" w:rsidR="0069183F" w:rsidP="00CA57D2" w:rsidRDefault="0069183F" w14:paraId="24AEDE84" w14:textId="77777777">
      <w:pPr>
        <w:spacing w:before="80"/>
        <w:jc w:val="both"/>
        <w:rPr>
          <w:rFonts w:cs="Arial" w:asciiTheme="minorHAnsi" w:hAnsiTheme="minorHAnsi"/>
          <w:bCs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Cílem tohoto úkolu je v základních obrysech zmapovat současnou situaci a procesní model organizace města. Výstupem je souhrnná zpráva, která hodnotí schopnost města implementovat strategii, doporučení k zvýšení znalostního stupně organizace, možnosti použití ICT a dalších </w:t>
      </w:r>
      <w:proofErr w:type="spellStart"/>
      <w:r w:rsidRPr="008249A1">
        <w:rPr>
          <w:rFonts w:cs="Arial" w:asciiTheme="minorHAnsi" w:hAnsiTheme="minorHAnsi"/>
          <w:bCs/>
          <w:iCs/>
          <w:sz w:val="22"/>
          <w:szCs w:val="22"/>
        </w:rPr>
        <w:t>eGovernment</w:t>
      </w:r>
      <w:proofErr w:type="spellEnd"/>
      <w:r w:rsidRPr="008249A1">
        <w:rPr>
          <w:rFonts w:cs="Arial" w:asciiTheme="minorHAnsi" w:hAnsiTheme="minorHAnsi"/>
          <w:bCs/>
          <w:iCs/>
          <w:sz w:val="22"/>
          <w:szCs w:val="22"/>
        </w:rPr>
        <w:t xml:space="preserve"> nástrojů.</w:t>
      </w:r>
    </w:p>
    <w:p w:rsidRPr="00AF6FC6" w:rsidR="0069183F" w:rsidP="00C34A7F" w:rsidRDefault="0069183F" w14:paraId="639B3D60" w14:textId="77777777">
      <w:pPr>
        <w:pStyle w:val="Odstavecseseznamem"/>
        <w:numPr>
          <w:ilvl w:val="0"/>
          <w:numId w:val="26"/>
        </w:numPr>
        <w:spacing w:before="80"/>
        <w:jc w:val="both"/>
        <w:rPr>
          <w:rFonts w:cs="Arial" w:asciiTheme="minorHAnsi" w:hAnsiTheme="minorHAnsi"/>
          <w:b/>
          <w:bCs/>
          <w:iCs/>
        </w:rPr>
      </w:pPr>
      <w:r w:rsidRPr="00AF6FC6">
        <w:rPr>
          <w:rFonts w:cs="Arial" w:asciiTheme="minorHAnsi" w:hAnsiTheme="minorHAnsi"/>
          <w:b/>
          <w:bCs/>
          <w:iCs/>
        </w:rPr>
        <w:t xml:space="preserve"> Nástroje pro udržení ekonomicky aktivních lidí v regionu</w:t>
      </w:r>
    </w:p>
    <w:p w:rsidRPr="00176423" w:rsidR="0069183F" w:rsidP="0069183F" w:rsidRDefault="0069183F" w14:paraId="558E7A65" w14:textId="77777777">
      <w:pPr>
        <w:spacing w:before="80"/>
        <w:jc w:val="both"/>
        <w:rPr>
          <w:rFonts w:cs="Arial" w:asciiTheme="minorHAnsi" w:hAnsiTheme="minorHAnsi"/>
          <w:bCs/>
          <w:i/>
          <w:iCs/>
          <w:sz w:val="22"/>
          <w:szCs w:val="22"/>
        </w:rPr>
      </w:pPr>
      <w:r w:rsidRPr="008249A1">
        <w:rPr>
          <w:rFonts w:cs="Arial" w:asciiTheme="minorHAnsi" w:hAnsiTheme="minorHAnsi"/>
          <w:bCs/>
          <w:iCs/>
          <w:sz w:val="22"/>
          <w:szCs w:val="22"/>
        </w:rPr>
        <w:t>Cílem tohoto úkolu je zmapovat možnosti povolené veřejné podpory pro lákání či udržení mladých lidí v regionu, resp. ekonomicky aktivních pro jejich druhé bydlení. Cílem je dále zmapovat možnosti otevření kombinovaného studia soukromé či veřejné vysoké školy, která by poskytovala bakalářský, navazující magisterský program a program celoživotního vzdělávání. Oslovení škol a získání zpětné vazby, analýza možností města takový projekt veřejně podpořit. Výstupem je souhrnná zpráva, která mapuje danou problematiku.</w:t>
      </w:r>
    </w:p>
    <w:p w:rsidRPr="00176423" w:rsidR="008B4D13" w:rsidP="00C34A7F" w:rsidRDefault="008B4D13" w14:paraId="55FA4B75" w14:textId="77777777">
      <w:pPr>
        <w:pStyle w:val="Nadpis1"/>
        <w:numPr>
          <w:ilvl w:val="0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176423">
        <w:rPr>
          <w:rFonts w:asciiTheme="minorHAnsi" w:hAnsiTheme="minorHAnsi"/>
          <w:sz w:val="22"/>
          <w:szCs w:val="22"/>
        </w:rPr>
        <w:t>SWOT analýza</w:t>
      </w:r>
    </w:p>
    <w:p w:rsidRPr="00176423" w:rsidR="008B4D13" w:rsidP="008B4D13" w:rsidRDefault="008B4D13" w14:paraId="7E2DAE61" w14:textId="77777777">
      <w:pPr>
        <w:pStyle w:val="Nadpis2"/>
        <w:spacing w:before="80" w:after="0"/>
        <w:jc w:val="both"/>
        <w:rPr>
          <w:rFonts w:asciiTheme="minorHAnsi" w:hAnsiTheme="minorHAnsi"/>
          <w:b w:val="false"/>
          <w:i w:val="false"/>
          <w:sz w:val="22"/>
          <w:szCs w:val="22"/>
        </w:rPr>
      </w:pPr>
      <w:r w:rsidRPr="00176423">
        <w:rPr>
          <w:rFonts w:asciiTheme="minorHAnsi" w:hAnsiTheme="minorHAnsi"/>
          <w:b w:val="false"/>
          <w:i w:val="false"/>
          <w:sz w:val="22"/>
          <w:szCs w:val="22"/>
        </w:rPr>
        <w:t>SWOT analýza bude vycházet ze zjištění v analytické části a z realizovan</w:t>
      </w:r>
      <w:r w:rsidRPr="00176423" w:rsidR="003A697C">
        <w:rPr>
          <w:rFonts w:asciiTheme="minorHAnsi" w:hAnsiTheme="minorHAnsi"/>
          <w:b w:val="false"/>
          <w:i w:val="false"/>
          <w:sz w:val="22"/>
          <w:szCs w:val="22"/>
        </w:rPr>
        <w:t xml:space="preserve">ého dotazníkového </w:t>
      </w:r>
      <w:r w:rsidRPr="00176423">
        <w:rPr>
          <w:rFonts w:asciiTheme="minorHAnsi" w:hAnsiTheme="minorHAnsi"/>
          <w:b w:val="false"/>
          <w:i w:val="false"/>
          <w:sz w:val="22"/>
          <w:szCs w:val="22"/>
        </w:rPr>
        <w:t>šetření.</w:t>
      </w:r>
    </w:p>
    <w:p w:rsidRPr="00176423" w:rsidR="008B4D13" w:rsidP="008B4D13" w:rsidRDefault="008B4D13" w14:paraId="3987A823" w14:textId="77777777">
      <w:pPr>
        <w:pStyle w:val="Nadpis2"/>
        <w:spacing w:before="80" w:after="0"/>
        <w:jc w:val="both"/>
        <w:rPr>
          <w:rFonts w:asciiTheme="minorHAnsi" w:hAnsiTheme="minorHAnsi"/>
          <w:b w:val="false"/>
          <w:i w:val="false"/>
          <w:sz w:val="22"/>
          <w:szCs w:val="22"/>
        </w:rPr>
      </w:pPr>
      <w:r w:rsidRPr="00176423">
        <w:rPr>
          <w:rFonts w:asciiTheme="minorHAnsi" w:hAnsiTheme="minorHAnsi"/>
          <w:b w:val="false"/>
          <w:i w:val="false"/>
          <w:sz w:val="22"/>
          <w:szCs w:val="22"/>
        </w:rPr>
        <w:t xml:space="preserve">V rámci realizace této části díla bude zpracovatelem zorganizována minimálně 1 skupinová diskuze, na kterou budou pozváni zástupci </w:t>
      </w:r>
      <w:r w:rsidRPr="00176423" w:rsidR="003A697C">
        <w:rPr>
          <w:rFonts w:asciiTheme="minorHAnsi" w:hAnsiTheme="minorHAnsi"/>
          <w:b w:val="false"/>
          <w:i w:val="false"/>
          <w:sz w:val="22"/>
          <w:szCs w:val="22"/>
        </w:rPr>
        <w:t>veřejnosti</w:t>
      </w:r>
      <w:r w:rsidRPr="00176423">
        <w:rPr>
          <w:rFonts w:asciiTheme="minorHAnsi" w:hAnsiTheme="minorHAnsi"/>
          <w:b w:val="false"/>
          <w:i w:val="false"/>
          <w:sz w:val="22"/>
          <w:szCs w:val="22"/>
        </w:rPr>
        <w:t>, tj. zástupci relevantních partnerů, jejichž působnost se dotýká</w:t>
      </w:r>
      <w:r w:rsidRPr="00176423" w:rsidR="003A697C">
        <w:rPr>
          <w:rFonts w:asciiTheme="minorHAnsi" w:hAnsiTheme="minorHAnsi"/>
          <w:b w:val="false"/>
          <w:i w:val="false"/>
          <w:sz w:val="22"/>
          <w:szCs w:val="22"/>
        </w:rPr>
        <w:t>.</w:t>
      </w:r>
      <w:r w:rsidRPr="00176423">
        <w:rPr>
          <w:rFonts w:asciiTheme="minorHAnsi" w:hAnsiTheme="minorHAnsi"/>
          <w:b w:val="false"/>
          <w:i w:val="false"/>
          <w:sz w:val="22"/>
          <w:szCs w:val="22"/>
        </w:rPr>
        <w:t xml:space="preserve"> </w:t>
      </w:r>
    </w:p>
    <w:p w:rsidRPr="00176423" w:rsidR="008B4D13" w:rsidP="008B4D13" w:rsidRDefault="008B4D13" w14:paraId="244A2BF2" w14:textId="77777777">
      <w:pPr>
        <w:pStyle w:val="Nadpis2"/>
        <w:spacing w:before="80" w:after="0"/>
        <w:jc w:val="both"/>
        <w:rPr>
          <w:rFonts w:asciiTheme="minorHAnsi" w:hAnsiTheme="minorHAnsi"/>
          <w:b w:val="false"/>
          <w:i w:val="false"/>
          <w:sz w:val="22"/>
          <w:szCs w:val="22"/>
        </w:rPr>
      </w:pPr>
      <w:r w:rsidRPr="00176423">
        <w:rPr>
          <w:rFonts w:asciiTheme="minorHAnsi" w:hAnsiTheme="minorHAnsi"/>
          <w:b w:val="false"/>
          <w:i w:val="false"/>
          <w:sz w:val="22"/>
          <w:szCs w:val="22"/>
        </w:rPr>
        <w:t>Jejich definitivní počet, místo konání, termín schůzky a struktura pozvaných subjektů bude odsouhlasen zadavatelem.</w:t>
      </w:r>
    </w:p>
    <w:p w:rsidR="008B4D13" w:rsidP="008B4D13" w:rsidRDefault="008B4D13" w14:paraId="4C84A59A" w14:textId="77777777">
      <w:pPr>
        <w:pStyle w:val="Nadpis2"/>
        <w:spacing w:before="80" w:after="0"/>
        <w:jc w:val="both"/>
        <w:rPr>
          <w:rFonts w:asciiTheme="minorHAnsi" w:hAnsiTheme="minorHAnsi"/>
          <w:b w:val="false"/>
          <w:i w:val="false"/>
          <w:sz w:val="22"/>
          <w:szCs w:val="22"/>
        </w:rPr>
      </w:pPr>
      <w:r w:rsidRPr="00176423">
        <w:rPr>
          <w:rFonts w:asciiTheme="minorHAnsi" w:hAnsiTheme="minorHAnsi"/>
          <w:b w:val="false"/>
          <w:i w:val="false"/>
          <w:sz w:val="22"/>
          <w:szCs w:val="22"/>
        </w:rPr>
        <w:t>Zpracovatel bude aktivně koordinovat diskusi a bude vhodnými metodami hledat konsensus. Výstupy ze skupinových diskuzí budou doloženy prezenční listinou a zápisem.</w:t>
      </w:r>
    </w:p>
    <w:p w:rsidR="008D3D12" w:rsidP="00C34A7F" w:rsidRDefault="008D3D12" w14:paraId="17D1D1C0" w14:textId="77777777">
      <w:pPr>
        <w:rPr>
          <w:b/>
          <w:i/>
        </w:rPr>
      </w:pPr>
    </w:p>
    <w:p w:rsidR="00F31053" w:rsidP="00C34A7F" w:rsidRDefault="00F31053" w14:paraId="14F2F34A" w14:textId="77777777">
      <w:pPr>
        <w:rPr>
          <w:b/>
          <w:i/>
        </w:rPr>
      </w:pPr>
    </w:p>
    <w:p w:rsidR="00F31053" w:rsidP="00C34A7F" w:rsidRDefault="00F31053" w14:paraId="476C2D9B" w14:textId="77777777">
      <w:pPr>
        <w:rPr>
          <w:b/>
          <w:i/>
        </w:rPr>
      </w:pPr>
    </w:p>
    <w:p w:rsidR="00F31053" w:rsidP="00C34A7F" w:rsidRDefault="00F31053" w14:paraId="1C1E7757" w14:textId="77777777">
      <w:pPr>
        <w:rPr>
          <w:b/>
          <w:i/>
        </w:rPr>
      </w:pPr>
    </w:p>
    <w:p w:rsidRPr="00C34A7F" w:rsidR="00F31053" w:rsidP="00C34A7F" w:rsidRDefault="00F31053" w14:paraId="57D50AE3" w14:textId="77777777">
      <w:pPr>
        <w:rPr>
          <w:b/>
          <w:i/>
        </w:rPr>
      </w:pPr>
    </w:p>
    <w:p w:rsidRPr="00C34A7F" w:rsidR="003A697C" w:rsidP="00C34A7F" w:rsidRDefault="003A697C" w14:paraId="67686D31" w14:textId="77777777">
      <w:pPr>
        <w:pStyle w:val="Nadpis1"/>
        <w:numPr>
          <w:ilvl w:val="0"/>
          <w:numId w:val="28"/>
        </w:numPr>
        <w:rPr>
          <w:sz w:val="24"/>
        </w:rPr>
      </w:pPr>
      <w:r w:rsidRPr="00C34A7F">
        <w:rPr>
          <w:sz w:val="24"/>
        </w:rPr>
        <w:lastRenderedPageBreak/>
        <w:t xml:space="preserve">Strategická část (návrhová) </w:t>
      </w:r>
      <w:r w:rsidRPr="00C34A7F" w:rsidR="00EC543E">
        <w:rPr>
          <w:sz w:val="24"/>
        </w:rPr>
        <w:t>definování cílů/ výstupů</w:t>
      </w:r>
    </w:p>
    <w:p w:rsidRPr="00176423" w:rsidR="008B4D13" w:rsidP="008B4D13" w:rsidRDefault="008B4D13" w14:paraId="11201A3F" w14:textId="7089B0D8">
      <w:pPr>
        <w:pStyle w:val="Nadpis2"/>
        <w:spacing w:before="80" w:after="0"/>
        <w:jc w:val="both"/>
        <w:rPr>
          <w:rFonts w:asciiTheme="minorHAnsi" w:hAnsiTheme="minorHAnsi"/>
          <w:b w:val="false"/>
          <w:i w:val="false"/>
          <w:sz w:val="22"/>
          <w:szCs w:val="22"/>
        </w:rPr>
      </w:pPr>
      <w:r w:rsidRPr="00176423">
        <w:rPr>
          <w:rFonts w:asciiTheme="minorHAnsi" w:hAnsiTheme="minorHAnsi"/>
          <w:b w:val="false"/>
          <w:i w:val="false"/>
          <w:sz w:val="22"/>
          <w:szCs w:val="22"/>
        </w:rPr>
        <w:t xml:space="preserve">Na základě zpracování části </w:t>
      </w:r>
      <w:r w:rsidRPr="00176423" w:rsidR="003A697C">
        <w:rPr>
          <w:rFonts w:asciiTheme="minorHAnsi" w:hAnsiTheme="minorHAnsi"/>
          <w:b w:val="false"/>
          <w:i w:val="false"/>
          <w:sz w:val="22"/>
          <w:szCs w:val="22"/>
        </w:rPr>
        <w:t>1</w:t>
      </w:r>
      <w:r w:rsidRPr="00176423">
        <w:rPr>
          <w:rFonts w:asciiTheme="minorHAnsi" w:hAnsiTheme="minorHAnsi"/>
          <w:b w:val="false"/>
          <w:i w:val="false"/>
          <w:sz w:val="22"/>
          <w:szCs w:val="22"/>
        </w:rPr>
        <w:t xml:space="preserve">. Analytická </w:t>
      </w:r>
      <w:r w:rsidRPr="00176423" w:rsidR="00076319">
        <w:rPr>
          <w:rFonts w:asciiTheme="minorHAnsi" w:hAnsiTheme="minorHAnsi"/>
          <w:b w:val="false"/>
          <w:i w:val="false"/>
          <w:sz w:val="22"/>
          <w:szCs w:val="22"/>
        </w:rPr>
        <w:t>(</w:t>
      </w:r>
      <w:r w:rsidRPr="009C44DF" w:rsidR="009C44DF">
        <w:rPr>
          <w:rFonts w:asciiTheme="minorHAnsi" w:hAnsiTheme="minorHAnsi"/>
          <w:b w:val="false"/>
          <w:i w:val="false"/>
          <w:sz w:val="22"/>
          <w:szCs w:val="22"/>
        </w:rPr>
        <w:t>včetně dotazníku Vnímání regionu jeho okolím a SWOT analýzy</w:t>
      </w:r>
      <w:r w:rsidRPr="00176423" w:rsidR="00076319">
        <w:rPr>
          <w:rFonts w:asciiTheme="minorHAnsi" w:hAnsiTheme="minorHAnsi"/>
          <w:b w:val="false"/>
          <w:i w:val="false"/>
          <w:sz w:val="22"/>
          <w:szCs w:val="22"/>
        </w:rPr>
        <w:t>)</w:t>
      </w:r>
      <w:r w:rsidRPr="00176423">
        <w:rPr>
          <w:rFonts w:asciiTheme="minorHAnsi" w:hAnsiTheme="minorHAnsi"/>
          <w:b w:val="false"/>
          <w:i w:val="false"/>
          <w:sz w:val="22"/>
          <w:szCs w:val="22"/>
        </w:rPr>
        <w:t xml:space="preserve"> budou stanoveny minimálně následující části:</w:t>
      </w:r>
    </w:p>
    <w:p w:rsidRPr="008249A1" w:rsidR="008249A1" w:rsidP="008249A1" w:rsidRDefault="008249A1" w14:paraId="179BAD98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a)</w:t>
      </w:r>
      <w:r w:rsidRPr="008249A1">
        <w:rPr>
          <w:rFonts w:cs="Arial" w:asciiTheme="minorHAnsi" w:hAnsiTheme="minorHAnsi"/>
        </w:rPr>
        <w:tab/>
        <w:t xml:space="preserve">Podpora podnikání v městě Milevsko </w:t>
      </w:r>
    </w:p>
    <w:p w:rsidRPr="008249A1" w:rsidR="008249A1" w:rsidP="00C34A7F" w:rsidRDefault="008249A1" w14:paraId="4A5F575E" w14:textId="77777777">
      <w:pPr>
        <w:pStyle w:val="Odstavecseseznamem"/>
        <w:ind w:left="1002"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a1) Dle velikosti</w:t>
      </w:r>
    </w:p>
    <w:p w:rsidRPr="008249A1" w:rsidR="008249A1" w:rsidP="00C34A7F" w:rsidRDefault="008249A1" w14:paraId="46A77F00" w14:textId="77777777">
      <w:pPr>
        <w:pStyle w:val="Odstavecseseznamem"/>
        <w:ind w:left="1002"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a2) Dle segmentů podnikání</w:t>
      </w:r>
    </w:p>
    <w:p w:rsidRPr="008249A1" w:rsidR="008249A1" w:rsidP="00C34A7F" w:rsidRDefault="008249A1" w14:paraId="22BFF247" w14:textId="77777777">
      <w:pPr>
        <w:pStyle w:val="Odstavecseseznamem"/>
        <w:ind w:left="1002"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a3) Dle přidané hodnoty</w:t>
      </w:r>
    </w:p>
    <w:p w:rsidRPr="008249A1" w:rsidR="008249A1" w:rsidP="00C34A7F" w:rsidRDefault="008249A1" w14:paraId="38BE4803" w14:textId="77777777">
      <w:pPr>
        <w:pStyle w:val="Odstavecseseznamem"/>
        <w:ind w:left="1002"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a4) Dle inovativnosti</w:t>
      </w:r>
    </w:p>
    <w:p w:rsidRPr="008249A1" w:rsidR="008249A1" w:rsidP="008249A1" w:rsidRDefault="008249A1" w14:paraId="76DD7A19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b)</w:t>
      </w:r>
      <w:r w:rsidRPr="008249A1">
        <w:rPr>
          <w:rFonts w:cs="Arial" w:asciiTheme="minorHAnsi" w:hAnsiTheme="minorHAnsi"/>
        </w:rPr>
        <w:tab/>
        <w:t>Podpora podnikání v regionu Milevska</w:t>
      </w:r>
    </w:p>
    <w:p w:rsidRPr="008249A1" w:rsidR="008249A1" w:rsidP="008249A1" w:rsidRDefault="008249A1" w14:paraId="29A1F736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c)</w:t>
      </w:r>
      <w:r w:rsidRPr="008249A1">
        <w:rPr>
          <w:rFonts w:cs="Arial" w:asciiTheme="minorHAnsi" w:hAnsiTheme="minorHAnsi"/>
        </w:rPr>
        <w:tab/>
        <w:t>Podnikatelský inkubátor a sociální zázemí PPM</w:t>
      </w:r>
    </w:p>
    <w:p w:rsidRPr="008249A1" w:rsidR="008249A1" w:rsidP="008249A1" w:rsidRDefault="008249A1" w14:paraId="45959C46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 xml:space="preserve">d) </w:t>
      </w:r>
      <w:r w:rsidRPr="008249A1">
        <w:rPr>
          <w:rFonts w:cs="Arial" w:asciiTheme="minorHAnsi" w:hAnsiTheme="minorHAnsi"/>
        </w:rPr>
        <w:tab/>
        <w:t>Rozvoj PPM</w:t>
      </w:r>
    </w:p>
    <w:p w:rsidRPr="008249A1" w:rsidR="008249A1" w:rsidP="008249A1" w:rsidRDefault="008249A1" w14:paraId="1798F21D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e)</w:t>
      </w:r>
      <w:r w:rsidRPr="008249A1">
        <w:rPr>
          <w:rFonts w:cs="Arial" w:asciiTheme="minorHAnsi" w:hAnsiTheme="minorHAnsi"/>
        </w:rPr>
        <w:tab/>
        <w:t>Rozvoj Zaměstnanosti</w:t>
      </w:r>
    </w:p>
    <w:p w:rsidRPr="008249A1" w:rsidR="008249A1" w:rsidP="008249A1" w:rsidRDefault="008249A1" w14:paraId="618CFD5A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f)</w:t>
      </w:r>
      <w:r w:rsidRPr="008249A1">
        <w:rPr>
          <w:rFonts w:cs="Arial" w:asciiTheme="minorHAnsi" w:hAnsiTheme="minorHAnsi"/>
        </w:rPr>
        <w:tab/>
        <w:t>Vztah zaměstnanost x dopravní obslužnost</w:t>
      </w:r>
    </w:p>
    <w:p w:rsidRPr="008249A1" w:rsidR="008249A1" w:rsidP="008249A1" w:rsidRDefault="008249A1" w14:paraId="78E05616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g)</w:t>
      </w:r>
      <w:r w:rsidRPr="008249A1">
        <w:rPr>
          <w:rFonts w:cs="Arial" w:asciiTheme="minorHAnsi" w:hAnsiTheme="minorHAnsi"/>
        </w:rPr>
        <w:tab/>
        <w:t>Destinační marketing</w:t>
      </w:r>
    </w:p>
    <w:p w:rsidRPr="008249A1" w:rsidR="008249A1" w:rsidP="008249A1" w:rsidRDefault="008249A1" w14:paraId="51537583" w14:textId="77777777">
      <w:pPr>
        <w:pStyle w:val="Odstavecseseznamem"/>
        <w:ind w:hanging="294"/>
        <w:rPr>
          <w:rFonts w:cs="Arial" w:asciiTheme="minorHAnsi" w:hAnsiTheme="minorHAnsi"/>
        </w:rPr>
      </w:pPr>
      <w:r w:rsidRPr="008249A1">
        <w:rPr>
          <w:rFonts w:cs="Arial" w:asciiTheme="minorHAnsi" w:hAnsiTheme="minorHAnsi"/>
        </w:rPr>
        <w:t>h)</w:t>
      </w:r>
      <w:r w:rsidRPr="008249A1">
        <w:rPr>
          <w:rFonts w:cs="Arial" w:asciiTheme="minorHAnsi" w:hAnsiTheme="minorHAnsi"/>
        </w:rPr>
        <w:tab/>
        <w:t>Spolupráce měst a přeshraniční spolupráce</w:t>
      </w:r>
    </w:p>
    <w:p w:rsidRPr="00176423" w:rsidR="00E457AB" w:rsidP="00E457AB" w:rsidRDefault="00E457AB" w14:paraId="09D0159C" w14:textId="77777777">
      <w:pPr>
        <w:spacing w:after="160" w:line="256" w:lineRule="auto"/>
        <w:jc w:val="both"/>
        <w:rPr>
          <w:rFonts w:cs="Arial" w:asciiTheme="minorHAnsi" w:hAnsiTheme="minorHAnsi"/>
          <w:sz w:val="22"/>
          <w:szCs w:val="22"/>
        </w:rPr>
      </w:pPr>
      <w:r w:rsidRPr="00176423">
        <w:rPr>
          <w:rFonts w:cs="Arial" w:asciiTheme="minorHAnsi" w:hAnsiTheme="minorHAnsi"/>
          <w:sz w:val="22"/>
          <w:szCs w:val="22"/>
        </w:rPr>
        <w:t>Cílem je obohatit regionální strategii zejména o nová data a dodržet obvyklou strukturu řešených oblastí, které se při tvorbu strategií měst a regionů používají. Na základě relevantních koncepčních dokumentů:</w:t>
      </w:r>
    </w:p>
    <w:p w:rsidRPr="00176423" w:rsidR="00E457AB" w:rsidP="00E457AB" w:rsidRDefault="00E457AB" w14:paraId="0ED9AE2F" w14:textId="77777777">
      <w:pPr>
        <w:pStyle w:val="Odstavecseseznamem"/>
        <w:numPr>
          <w:ilvl w:val="0"/>
          <w:numId w:val="9"/>
        </w:numPr>
        <w:spacing w:before="80" w:after="0" w:line="240" w:lineRule="auto"/>
        <w:jc w:val="both"/>
        <w:rPr>
          <w:rFonts w:cs="Arial" w:asciiTheme="minorHAnsi" w:hAnsiTheme="minorHAnsi"/>
        </w:rPr>
      </w:pPr>
      <w:r w:rsidRPr="00176423">
        <w:rPr>
          <w:rFonts w:cs="Arial" w:asciiTheme="minorHAnsi" w:hAnsiTheme="minorHAnsi"/>
        </w:rPr>
        <w:t>Strategie regionálního rozvoje České republiky 2014 - 2020</w:t>
      </w:r>
    </w:p>
    <w:p w:rsidRPr="00176423" w:rsidR="00E457AB" w:rsidP="00E457AB" w:rsidRDefault="00E457AB" w14:paraId="4FFBF081" w14:textId="77777777">
      <w:pPr>
        <w:pStyle w:val="Odstavecseseznamem"/>
        <w:numPr>
          <w:ilvl w:val="0"/>
          <w:numId w:val="9"/>
        </w:numPr>
        <w:spacing w:before="80" w:after="0" w:line="240" w:lineRule="auto"/>
        <w:jc w:val="both"/>
        <w:rPr>
          <w:rFonts w:cs="Arial" w:asciiTheme="minorHAnsi" w:hAnsiTheme="minorHAnsi"/>
        </w:rPr>
      </w:pPr>
      <w:r w:rsidRPr="00176423">
        <w:rPr>
          <w:rFonts w:cs="Arial" w:asciiTheme="minorHAnsi" w:hAnsiTheme="minorHAnsi"/>
        </w:rPr>
        <w:t xml:space="preserve">Program rozvoje Jihočeského kraje 2014 – 2020 </w:t>
      </w:r>
    </w:p>
    <w:p w:rsidR="00E457AB" w:rsidP="00E457AB" w:rsidRDefault="00E457AB" w14:paraId="0F465DE2" w14:textId="77777777">
      <w:pPr>
        <w:pStyle w:val="Odstavecseseznamem"/>
        <w:numPr>
          <w:ilvl w:val="0"/>
          <w:numId w:val="9"/>
        </w:numPr>
        <w:spacing w:before="80" w:after="0" w:line="240" w:lineRule="auto"/>
        <w:jc w:val="both"/>
        <w:rPr>
          <w:rFonts w:cs="Arial" w:asciiTheme="minorHAnsi" w:hAnsiTheme="minorHAnsi"/>
        </w:rPr>
      </w:pPr>
      <w:r w:rsidRPr="00176423">
        <w:rPr>
          <w:rFonts w:cs="Arial" w:asciiTheme="minorHAnsi" w:hAnsiTheme="minorHAnsi"/>
        </w:rPr>
        <w:t>Strategie území správního obvodu ORP Milevsko 2015 – 2024</w:t>
      </w:r>
    </w:p>
    <w:p w:rsidRPr="00176423" w:rsidR="00076319" w:rsidP="00076319" w:rsidRDefault="00CA57D2" w14:paraId="198C527D" w14:textId="4F3F79F1">
      <w:pPr>
        <w:spacing w:before="80"/>
        <w:jc w:val="both"/>
        <w:rPr>
          <w:rFonts w:eastAsia="Calibri" w:cs="Arial" w:asciiTheme="minorHAnsi" w:hAnsiTheme="minorHAnsi"/>
          <w:sz w:val="22"/>
          <w:szCs w:val="22"/>
          <w:lang w:eastAsia="en-US"/>
        </w:rPr>
      </w:pPr>
      <w:r w:rsidRPr="00176423">
        <w:rPr>
          <w:rFonts w:eastAsia="Calibri" w:cs="Arial" w:asciiTheme="minorHAnsi" w:hAnsiTheme="minorHAnsi"/>
          <w:sz w:val="22"/>
          <w:szCs w:val="22"/>
          <w:lang w:eastAsia="en-US"/>
        </w:rPr>
        <w:t xml:space="preserve"> </w:t>
      </w:r>
      <w:r w:rsidRPr="00176423" w:rsidR="00076319">
        <w:rPr>
          <w:rFonts w:eastAsia="Calibri" w:cs="Arial" w:asciiTheme="minorHAnsi" w:hAnsiTheme="minorHAnsi"/>
          <w:sz w:val="22"/>
          <w:szCs w:val="22"/>
          <w:lang w:eastAsia="en-US"/>
        </w:rPr>
        <w:t>(v případě že se návrhy budou vymykat koncepčním dokumentům uvést stručné zdůvodnění tohoto návrhu)</w:t>
      </w:r>
    </w:p>
    <w:p w:rsidR="00530964" w:rsidP="00C34A7F" w:rsidRDefault="00530964" w14:paraId="2500F1AD" w14:textId="77777777">
      <w:pPr>
        <w:pStyle w:val="Nadpis1"/>
        <w:numPr>
          <w:ilvl w:val="0"/>
          <w:numId w:val="28"/>
        </w:numPr>
        <w:rPr>
          <w:sz w:val="24"/>
        </w:rPr>
      </w:pPr>
      <w:r w:rsidRPr="00C34A7F">
        <w:rPr>
          <w:sz w:val="24"/>
        </w:rPr>
        <w:t>Implementační část, včetně monitorování a evaluace</w:t>
      </w:r>
    </w:p>
    <w:p w:rsidRPr="00530964" w:rsidR="00530964" w:rsidP="00530964" w:rsidRDefault="00530964" w14:paraId="15CA53DB" w14:textId="77777777">
      <w:pPr>
        <w:pStyle w:val="Odstavecseseznamem"/>
        <w:numPr>
          <w:ilvl w:val="0"/>
          <w:numId w:val="12"/>
        </w:numPr>
        <w:spacing w:after="0" w:line="288" w:lineRule="auto"/>
        <w:jc w:val="both"/>
        <w:rPr>
          <w:rFonts w:eastAsia="Times New Roman" w:cs="Arial" w:asciiTheme="minorHAnsi" w:hAnsiTheme="minorHAnsi"/>
          <w:bCs/>
          <w:color w:val="000000" w:themeColor="text1"/>
          <w:lang w:eastAsia="cs-CZ"/>
        </w:rPr>
      </w:pPr>
      <w:r w:rsidRPr="00530964">
        <w:rPr>
          <w:rFonts w:eastAsia="Times New Roman" w:cs="Arial" w:asciiTheme="minorHAnsi" w:hAnsiTheme="minorHAnsi"/>
          <w:bCs/>
          <w:color w:val="000000" w:themeColor="text1"/>
          <w:lang w:eastAsia="cs-CZ"/>
        </w:rPr>
        <w:t>Harmonogram aktivit včetně stanovení finanční náročnosti</w:t>
      </w:r>
    </w:p>
    <w:p w:rsidRPr="00530964" w:rsidR="00530964" w:rsidP="00530964" w:rsidRDefault="00530964" w14:paraId="0DFFA957" w14:textId="77777777">
      <w:pPr>
        <w:pStyle w:val="Odstavecseseznamem"/>
        <w:numPr>
          <w:ilvl w:val="0"/>
          <w:numId w:val="12"/>
        </w:numPr>
        <w:spacing w:after="0" w:line="288" w:lineRule="auto"/>
        <w:jc w:val="both"/>
        <w:rPr>
          <w:rFonts w:eastAsia="Times New Roman" w:cs="Arial" w:asciiTheme="minorHAnsi" w:hAnsiTheme="minorHAnsi"/>
          <w:bCs/>
          <w:color w:val="000000" w:themeColor="text1"/>
          <w:lang w:eastAsia="cs-CZ"/>
        </w:rPr>
      </w:pPr>
      <w:r w:rsidRPr="00530964">
        <w:rPr>
          <w:rFonts w:eastAsia="Times New Roman" w:cs="Arial" w:asciiTheme="minorHAnsi" w:hAnsiTheme="minorHAnsi"/>
          <w:bCs/>
          <w:color w:val="000000" w:themeColor="text1"/>
          <w:lang w:eastAsia="cs-CZ"/>
        </w:rPr>
        <w:t>Metodika indikátorů</w:t>
      </w:r>
    </w:p>
    <w:p w:rsidR="00C53498" w:rsidP="00F629A5" w:rsidRDefault="00530964" w14:paraId="1B6560E1" w14:textId="5CF09F97">
      <w:pPr>
        <w:pStyle w:val="Odstavecseseznamem"/>
        <w:numPr>
          <w:ilvl w:val="0"/>
          <w:numId w:val="12"/>
        </w:numPr>
        <w:spacing w:after="0" w:line="288" w:lineRule="auto"/>
        <w:jc w:val="both"/>
        <w:rPr>
          <w:rFonts w:asciiTheme="minorHAnsi" w:hAnsiTheme="minorHAnsi"/>
        </w:rPr>
      </w:pPr>
      <w:r w:rsidRPr="00530964">
        <w:rPr>
          <w:rFonts w:eastAsia="Times New Roman" w:cs="Arial" w:asciiTheme="minorHAnsi" w:hAnsiTheme="minorHAnsi"/>
          <w:bCs/>
          <w:color w:val="000000" w:themeColor="text1"/>
          <w:lang w:eastAsia="cs-CZ"/>
        </w:rPr>
        <w:t>Měření naplňování</w:t>
      </w:r>
      <w:r w:rsidRPr="00530964">
        <w:rPr>
          <w:rFonts w:asciiTheme="minorHAnsi" w:hAnsiTheme="minorHAnsi"/>
        </w:rPr>
        <w:t xml:space="preserve"> strategického plánu (vyhodnocování indikátorů)</w:t>
      </w:r>
    </w:p>
    <w:p w:rsidRPr="00F629A5" w:rsidR="00F629A5" w:rsidP="00F629A5" w:rsidRDefault="00F629A5" w14:paraId="1627487D" w14:textId="77777777">
      <w:pPr>
        <w:pStyle w:val="Odstavecseseznamem"/>
        <w:spacing w:after="0" w:line="288" w:lineRule="auto"/>
        <w:jc w:val="both"/>
        <w:rPr>
          <w:rFonts w:asciiTheme="minorHAnsi" w:hAnsiTheme="minorHAnsi"/>
        </w:rPr>
      </w:pPr>
      <w:bookmarkStart w:name="_GoBack" w:id="0"/>
      <w:bookmarkEnd w:id="0"/>
    </w:p>
    <w:p w:rsidRPr="00176423" w:rsidR="003A697C" w:rsidP="003A697C" w:rsidRDefault="003A697C" w14:paraId="1B42587B" w14:textId="77777777">
      <w:pPr>
        <w:spacing w:after="160" w:line="256" w:lineRule="auto"/>
        <w:jc w:val="both"/>
        <w:rPr>
          <w:rFonts w:cs="Arial" w:asciiTheme="minorHAnsi" w:hAnsiTheme="minorHAnsi"/>
          <w:sz w:val="22"/>
          <w:szCs w:val="22"/>
        </w:rPr>
      </w:pPr>
      <w:r w:rsidRPr="00176423">
        <w:rPr>
          <w:rFonts w:cs="Arial" w:asciiTheme="minorHAnsi" w:hAnsiTheme="minorHAnsi"/>
          <w:sz w:val="22"/>
          <w:szCs w:val="22"/>
        </w:rPr>
        <w:t>Výstupem bude souhrnný dokument, celková struktura bude mít podobu publikace „</w:t>
      </w:r>
      <w:proofErr w:type="spellStart"/>
      <w:r w:rsidRPr="00176423">
        <w:rPr>
          <w:rFonts w:cs="Arial" w:asciiTheme="minorHAnsi" w:hAnsiTheme="minorHAnsi"/>
          <w:sz w:val="22"/>
          <w:szCs w:val="22"/>
        </w:rPr>
        <w:t>White</w:t>
      </w:r>
      <w:proofErr w:type="spellEnd"/>
      <w:r w:rsidRPr="00176423">
        <w:rPr>
          <w:rFonts w:cs="Arial" w:asciiTheme="minorHAnsi" w:hAnsiTheme="minorHAnsi"/>
          <w:sz w:val="22"/>
          <w:szCs w:val="22"/>
        </w:rPr>
        <w:t xml:space="preserve"> </w:t>
      </w:r>
      <w:proofErr w:type="spellStart"/>
      <w:r w:rsidRPr="00176423">
        <w:rPr>
          <w:rFonts w:cs="Arial" w:asciiTheme="minorHAnsi" w:hAnsiTheme="minorHAnsi"/>
          <w:sz w:val="22"/>
          <w:szCs w:val="22"/>
        </w:rPr>
        <w:t>paper</w:t>
      </w:r>
      <w:proofErr w:type="spellEnd"/>
      <w:r w:rsidRPr="00176423">
        <w:rPr>
          <w:rFonts w:cs="Arial" w:asciiTheme="minorHAnsi" w:hAnsiTheme="minorHAnsi"/>
          <w:sz w:val="22"/>
          <w:szCs w:val="22"/>
        </w:rPr>
        <w:t>“</w:t>
      </w:r>
      <w:r w:rsidRPr="00176423" w:rsidR="001F5374">
        <w:rPr>
          <w:rFonts w:asciiTheme="minorHAnsi" w:hAnsiTheme="minorHAnsi"/>
          <w:color w:val="000000" w:themeColor="text1"/>
          <w:vertAlign w:val="superscript"/>
        </w:rPr>
        <w:t xml:space="preserve"> </w:t>
      </w:r>
      <w:r w:rsidRPr="00176423" w:rsidR="001F5374">
        <w:rPr>
          <w:rFonts w:asciiTheme="minorHAnsi" w:hAnsiTheme="minorHAnsi"/>
          <w:color w:val="000000" w:themeColor="text1"/>
          <w:vertAlign w:val="superscript"/>
        </w:rPr>
        <w:footnoteReference w:id="4"/>
      </w:r>
      <w:r w:rsidRPr="00176423">
        <w:rPr>
          <w:rFonts w:cs="Arial" w:asciiTheme="minorHAnsi" w:hAnsiTheme="minorHAnsi"/>
          <w:sz w:val="22"/>
          <w:szCs w:val="22"/>
        </w:rPr>
        <w:t>.</w:t>
      </w:r>
    </w:p>
    <w:p w:rsidRPr="00176423" w:rsidR="003A697C" w:rsidP="003A697C" w:rsidRDefault="003A697C" w14:paraId="5B4917C3" w14:textId="77777777">
      <w:pPr>
        <w:spacing w:after="160" w:line="256" w:lineRule="auto"/>
        <w:jc w:val="both"/>
        <w:rPr>
          <w:rFonts w:cs="Arial" w:asciiTheme="minorHAnsi" w:hAnsiTheme="minorHAnsi"/>
          <w:sz w:val="22"/>
          <w:szCs w:val="22"/>
        </w:rPr>
      </w:pPr>
      <w:r w:rsidRPr="00176423">
        <w:rPr>
          <w:rFonts w:cs="Arial" w:asciiTheme="minorHAnsi" w:hAnsiTheme="minorHAnsi"/>
          <w:color w:val="000000" w:themeColor="text1"/>
          <w:sz w:val="22"/>
          <w:szCs w:val="22"/>
        </w:rPr>
        <w:t>Klíčové pasáže:</w:t>
      </w:r>
      <w:r w:rsidRPr="00176423">
        <w:rPr>
          <w:rFonts w:cs="Arial" w:asciiTheme="minorHAnsi" w:hAnsiTheme="minorHAnsi"/>
          <w:sz w:val="22"/>
          <w:szCs w:val="22"/>
        </w:rPr>
        <w:t xml:space="preserve"> </w:t>
      </w:r>
    </w:p>
    <w:p w:rsidRPr="00176423" w:rsidR="003A697C" w:rsidP="003A697C" w:rsidRDefault="003A697C" w14:paraId="1E216CB5" w14:textId="77777777">
      <w:pPr>
        <w:pStyle w:val="Odstavecseseznamem"/>
        <w:numPr>
          <w:ilvl w:val="0"/>
          <w:numId w:val="12"/>
        </w:numPr>
        <w:spacing w:after="0" w:line="288" w:lineRule="auto"/>
        <w:jc w:val="both"/>
        <w:rPr>
          <w:rFonts w:eastAsia="Times New Roman" w:cs="Arial" w:asciiTheme="minorHAnsi" w:hAnsiTheme="minorHAnsi"/>
          <w:bCs/>
          <w:color w:val="000000" w:themeColor="text1"/>
          <w:lang w:eastAsia="cs-CZ"/>
        </w:rPr>
      </w:pPr>
      <w:r w:rsidRPr="00176423">
        <w:rPr>
          <w:rFonts w:eastAsia="Times New Roman" w:cs="Arial" w:asciiTheme="minorHAnsi" w:hAnsiTheme="minorHAnsi"/>
          <w:bCs/>
          <w:color w:val="000000" w:themeColor="text1"/>
          <w:lang w:eastAsia="cs-CZ"/>
        </w:rPr>
        <w:t>V dokumentu je třeba jasně definovat vizi a misi regionu ve spolupráci se zadavatelem.</w:t>
      </w:r>
    </w:p>
    <w:p w:rsidRPr="00176423" w:rsidR="003A697C" w:rsidP="003A697C" w:rsidRDefault="003A697C" w14:paraId="03541F91" w14:textId="77777777">
      <w:pPr>
        <w:pStyle w:val="Odstavecseseznamem"/>
        <w:numPr>
          <w:ilvl w:val="0"/>
          <w:numId w:val="12"/>
        </w:numPr>
        <w:spacing w:after="0" w:line="288" w:lineRule="auto"/>
        <w:jc w:val="both"/>
        <w:rPr>
          <w:rFonts w:eastAsia="Times New Roman" w:cs="Arial" w:asciiTheme="minorHAnsi" w:hAnsiTheme="minorHAnsi"/>
          <w:bCs/>
          <w:color w:val="000000" w:themeColor="text1"/>
          <w:lang w:eastAsia="cs-CZ"/>
        </w:rPr>
      </w:pPr>
      <w:r w:rsidRPr="00176423">
        <w:rPr>
          <w:rFonts w:eastAsia="Times New Roman" w:cs="Arial" w:asciiTheme="minorHAnsi" w:hAnsiTheme="minorHAnsi"/>
          <w:bCs/>
          <w:color w:val="000000" w:themeColor="text1"/>
          <w:lang w:eastAsia="cs-CZ"/>
        </w:rPr>
        <w:t xml:space="preserve">Musí se použít </w:t>
      </w:r>
      <w:proofErr w:type="gramStart"/>
      <w:r w:rsidRPr="00176423">
        <w:rPr>
          <w:rFonts w:eastAsia="Times New Roman" w:cs="Arial" w:asciiTheme="minorHAnsi" w:hAnsiTheme="minorHAnsi"/>
          <w:bCs/>
          <w:color w:val="000000" w:themeColor="text1"/>
          <w:lang w:eastAsia="cs-CZ"/>
        </w:rPr>
        <w:t>S.M.</w:t>
      </w:r>
      <w:proofErr w:type="gramEnd"/>
      <w:r w:rsidRPr="00176423">
        <w:rPr>
          <w:rFonts w:eastAsia="Times New Roman" w:cs="Arial" w:asciiTheme="minorHAnsi" w:hAnsiTheme="minorHAnsi"/>
          <w:bCs/>
          <w:color w:val="000000" w:themeColor="text1"/>
          <w:lang w:eastAsia="cs-CZ"/>
        </w:rPr>
        <w:t>A.R.T.E.R. plánování pro definované cíle, které je a) specifické, b) měřitelné číslem, či stupněm, stavem, c) dosažitelné - v moci města ovlivnit, d) rozumné – v kapacitách města provést, s přímou vazbou na grant či dotační program, či uvedením konkrétních zdrojů financování, e) se smysluplným termínem splnění 1 maximálně 3 roky, f) s určením, kdo (osoba odpovědná) má dané opatření má na starosti a g) jak se bude vyhodnocovat dané opatření, a h) datum, kdy město provede re-evaluaci tohoto opatření a zváží jeho pokračování, redefinuje ho apod.</w:t>
      </w:r>
    </w:p>
    <w:p w:rsidRPr="00176423" w:rsidR="00ED78BB" w:rsidP="008B4D13" w:rsidRDefault="00ED78BB" w14:paraId="4D4BBFE9" w14:textId="77777777">
      <w:pPr>
        <w:pStyle w:val="Odstavecseseznamem"/>
        <w:spacing w:before="80"/>
        <w:ind w:left="0"/>
        <w:jc w:val="both"/>
        <w:rPr>
          <w:rFonts w:cs="Arial" w:asciiTheme="minorHAnsi" w:hAnsiTheme="minorHAnsi"/>
          <w:highlight w:val="yellow"/>
        </w:rPr>
      </w:pPr>
    </w:p>
    <w:sectPr w:rsidRPr="00176423" w:rsidR="00ED78B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55C3A" w:rsidP="008B4D13" w:rsidRDefault="00C55C3A" w14:paraId="1952491C" w14:textId="77777777">
      <w:r>
        <w:separator/>
      </w:r>
    </w:p>
  </w:endnote>
  <w:endnote w:type="continuationSeparator" w:id="0">
    <w:p w:rsidR="00C55C3A" w:rsidP="008B4D13" w:rsidRDefault="00C55C3A" w14:paraId="0F61BEF5" w14:textId="77777777">
      <w:r>
        <w:continuationSeparator/>
      </w:r>
    </w:p>
  </w:endnote>
  <w:endnote w:type="continuationNotice" w:id="1">
    <w:p w:rsidR="00C55C3A" w:rsidRDefault="00C55C3A" w14:paraId="508273FA" w14:textId="77777777"/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70892724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374" w:rsidRDefault="001F5374" w14:paraId="1DA02FA4" w14:textId="7777777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629A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629A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1F5374" w:rsidRDefault="001F5374" w14:paraId="2550782D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55C3A" w:rsidP="008B4D13" w:rsidRDefault="00C55C3A" w14:paraId="61A7273F" w14:textId="77777777">
      <w:r>
        <w:separator/>
      </w:r>
    </w:p>
  </w:footnote>
  <w:footnote w:type="continuationSeparator" w:id="0">
    <w:p w:rsidR="00C55C3A" w:rsidP="008B4D13" w:rsidRDefault="00C55C3A" w14:paraId="7259A34B" w14:textId="77777777">
      <w:r>
        <w:continuationSeparator/>
      </w:r>
    </w:p>
  </w:footnote>
  <w:footnote w:type="continuationNotice" w:id="1">
    <w:p w:rsidR="00C55C3A" w:rsidRDefault="00C55C3A" w14:paraId="1EA991D7" w14:textId="77777777"/>
  </w:footnote>
  <w:footnote w:id="2">
    <w:p w:rsidRPr="00887310" w:rsidR="00F21569" w:rsidP="00F21569" w:rsidRDefault="00F21569" w14:paraId="230D9574" w14:textId="77777777">
      <w:pPr>
        <w:pStyle w:val="Textpoznpodarou"/>
        <w:jc w:val="both"/>
        <w:rPr>
          <w:sz w:val="18"/>
          <w:szCs w:val="18"/>
        </w:rPr>
      </w:pPr>
      <w:r w:rsidRPr="00887310">
        <w:rPr>
          <w:rStyle w:val="Znakapoznpodarou"/>
          <w:sz w:val="18"/>
          <w:szCs w:val="18"/>
        </w:rPr>
        <w:footnoteRef/>
      </w:r>
      <w:r w:rsidRPr="00887310">
        <w:rPr>
          <w:sz w:val="18"/>
          <w:szCs w:val="18"/>
        </w:rPr>
        <w:t xml:space="preserve"> EUROSTAT, G4 INNOVATION AND INFORMATION SOCIETY, 2016. </w:t>
      </w:r>
      <w:proofErr w:type="spellStart"/>
      <w:r w:rsidRPr="00887310">
        <w:rPr>
          <w:sz w:val="18"/>
          <w:szCs w:val="18"/>
        </w:rPr>
        <w:t>High-tech</w:t>
      </w:r>
      <w:proofErr w:type="spellEnd"/>
      <w:r w:rsidRPr="00887310">
        <w:rPr>
          <w:sz w:val="18"/>
          <w:szCs w:val="18"/>
        </w:rPr>
        <w:t xml:space="preserve"> </w:t>
      </w:r>
      <w:proofErr w:type="spellStart"/>
      <w:r w:rsidRPr="00887310">
        <w:rPr>
          <w:sz w:val="18"/>
          <w:szCs w:val="18"/>
        </w:rPr>
        <w:t>industry</w:t>
      </w:r>
      <w:proofErr w:type="spellEnd"/>
      <w:r w:rsidRPr="00887310">
        <w:rPr>
          <w:sz w:val="18"/>
          <w:szCs w:val="18"/>
        </w:rPr>
        <w:t xml:space="preserve"> and </w:t>
      </w:r>
      <w:proofErr w:type="spellStart"/>
      <w:r w:rsidRPr="00887310">
        <w:rPr>
          <w:sz w:val="18"/>
          <w:szCs w:val="18"/>
        </w:rPr>
        <w:t>knowledge-intensive</w:t>
      </w:r>
      <w:proofErr w:type="spellEnd"/>
      <w:r w:rsidRPr="00887310">
        <w:rPr>
          <w:sz w:val="18"/>
          <w:szCs w:val="18"/>
        </w:rPr>
        <w:t xml:space="preserve"> </w:t>
      </w:r>
      <w:proofErr w:type="spellStart"/>
      <w:r w:rsidRPr="00887310">
        <w:rPr>
          <w:sz w:val="18"/>
          <w:szCs w:val="18"/>
        </w:rPr>
        <w:t>services</w:t>
      </w:r>
      <w:proofErr w:type="spellEnd"/>
      <w:r w:rsidRPr="00887310">
        <w:rPr>
          <w:sz w:val="18"/>
          <w:szCs w:val="18"/>
        </w:rPr>
        <w:t xml:space="preserve"> (</w:t>
      </w:r>
      <w:proofErr w:type="spellStart"/>
      <w:r w:rsidRPr="00887310">
        <w:rPr>
          <w:sz w:val="18"/>
          <w:szCs w:val="18"/>
        </w:rPr>
        <w:t>htec</w:t>
      </w:r>
      <w:proofErr w:type="spellEnd"/>
      <w:r w:rsidRPr="00887310">
        <w:rPr>
          <w:sz w:val="18"/>
          <w:szCs w:val="18"/>
        </w:rPr>
        <w:t xml:space="preserve">) [online]. 1. duben 2016. </w:t>
      </w:r>
      <w:proofErr w:type="spellStart"/>
      <w:r w:rsidRPr="00887310">
        <w:rPr>
          <w:sz w:val="18"/>
          <w:szCs w:val="18"/>
        </w:rPr>
        <w:t>B.m</w:t>
      </w:r>
      <w:proofErr w:type="spellEnd"/>
      <w:r w:rsidRPr="00887310">
        <w:rPr>
          <w:sz w:val="18"/>
          <w:szCs w:val="18"/>
        </w:rPr>
        <w:t xml:space="preserve">.: </w:t>
      </w:r>
      <w:proofErr w:type="spellStart"/>
      <w:r w:rsidRPr="00887310">
        <w:rPr>
          <w:sz w:val="18"/>
          <w:szCs w:val="18"/>
        </w:rPr>
        <w:t>Eurostat</w:t>
      </w:r>
      <w:proofErr w:type="spellEnd"/>
      <w:r w:rsidRPr="00887310">
        <w:rPr>
          <w:sz w:val="18"/>
          <w:szCs w:val="18"/>
        </w:rPr>
        <w:t xml:space="preserve">, </w:t>
      </w:r>
      <w:proofErr w:type="spellStart"/>
      <w:r w:rsidRPr="00887310">
        <w:rPr>
          <w:sz w:val="18"/>
          <w:szCs w:val="18"/>
        </w:rPr>
        <w:t>the</w:t>
      </w:r>
      <w:proofErr w:type="spellEnd"/>
      <w:r w:rsidRPr="00887310">
        <w:rPr>
          <w:sz w:val="18"/>
          <w:szCs w:val="18"/>
        </w:rPr>
        <w:t xml:space="preserve"> </w:t>
      </w:r>
      <w:proofErr w:type="spellStart"/>
      <w:r w:rsidRPr="00887310">
        <w:rPr>
          <w:sz w:val="18"/>
          <w:szCs w:val="18"/>
        </w:rPr>
        <w:t>statistical</w:t>
      </w:r>
      <w:proofErr w:type="spellEnd"/>
      <w:r w:rsidRPr="00887310">
        <w:rPr>
          <w:sz w:val="18"/>
          <w:szCs w:val="18"/>
        </w:rPr>
        <w:t xml:space="preserve"> </w:t>
      </w:r>
      <w:proofErr w:type="spellStart"/>
      <w:r w:rsidRPr="00887310">
        <w:rPr>
          <w:sz w:val="18"/>
          <w:szCs w:val="18"/>
        </w:rPr>
        <w:t>office</w:t>
      </w:r>
      <w:proofErr w:type="spellEnd"/>
      <w:r w:rsidRPr="00887310">
        <w:rPr>
          <w:sz w:val="18"/>
          <w:szCs w:val="18"/>
        </w:rPr>
        <w:t xml:space="preserve"> </w:t>
      </w:r>
      <w:proofErr w:type="spellStart"/>
      <w:r w:rsidRPr="00887310">
        <w:rPr>
          <w:sz w:val="18"/>
          <w:szCs w:val="18"/>
        </w:rPr>
        <w:t>of</w:t>
      </w:r>
      <w:proofErr w:type="spellEnd"/>
      <w:r w:rsidRPr="00887310">
        <w:rPr>
          <w:sz w:val="18"/>
          <w:szCs w:val="18"/>
        </w:rPr>
        <w:t xml:space="preserve"> </w:t>
      </w:r>
      <w:proofErr w:type="spellStart"/>
      <w:r w:rsidRPr="00887310">
        <w:rPr>
          <w:sz w:val="18"/>
          <w:szCs w:val="18"/>
        </w:rPr>
        <w:t>the</w:t>
      </w:r>
      <w:proofErr w:type="spellEnd"/>
      <w:r w:rsidRPr="00887310">
        <w:rPr>
          <w:sz w:val="18"/>
          <w:szCs w:val="18"/>
        </w:rPr>
        <w:t xml:space="preserve"> </w:t>
      </w:r>
      <w:proofErr w:type="spellStart"/>
      <w:r w:rsidRPr="00887310">
        <w:rPr>
          <w:sz w:val="18"/>
          <w:szCs w:val="18"/>
        </w:rPr>
        <w:t>European</w:t>
      </w:r>
      <w:proofErr w:type="spellEnd"/>
      <w:r w:rsidRPr="00887310">
        <w:rPr>
          <w:sz w:val="18"/>
          <w:szCs w:val="18"/>
        </w:rPr>
        <w:t xml:space="preserve"> Union. [vid. 2018-02-18]. Dostupné z: http://ec.europa.eu/eurostat/cache/metadata/en/htec_esms.htm</w:t>
      </w:r>
    </w:p>
  </w:footnote>
  <w:footnote w:id="3">
    <w:p w:rsidRPr="00C34A7F" w:rsidR="00244C74" w:rsidRDefault="00244C74" w14:paraId="5B2B4B85" w14:textId="7777777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Např. odvětví </w:t>
      </w:r>
      <w:r w:rsidRPr="00244C74">
        <w:t>Peněžní zprostředkování</w:t>
      </w:r>
      <w:r>
        <w:rPr>
          <w:lang w:val="cs-CZ"/>
        </w:rPr>
        <w:t xml:space="preserve"> má třímístný NACE kód 641</w:t>
      </w:r>
    </w:p>
  </w:footnote>
  <w:footnote w:id="4">
    <w:p w:rsidRPr="00887310" w:rsidR="001F5374" w:rsidP="001F5374" w:rsidRDefault="001F5374" w14:paraId="26FD18FD" w14:textId="77777777">
      <w:pPr>
        <w:pStyle w:val="Textpoznpodarou"/>
        <w:rPr>
          <w:sz w:val="18"/>
          <w:szCs w:val="18"/>
        </w:rPr>
      </w:pPr>
      <w:r w:rsidRPr="00887310">
        <w:rPr>
          <w:rStyle w:val="Znakapoznpodarou"/>
          <w:sz w:val="18"/>
          <w:szCs w:val="18"/>
        </w:rPr>
        <w:footnoteRef/>
      </w:r>
      <w:r w:rsidRPr="00887310">
        <w:rPr>
          <w:rStyle w:val="Znakapoznpodarou"/>
        </w:rPr>
        <w:t xml:space="preserve"> </w:t>
      </w:r>
      <w:proofErr w:type="spellStart"/>
      <w:r w:rsidRPr="00887310">
        <w:rPr>
          <w:rStyle w:val="Znakapoznpodarou"/>
          <w:sz w:val="18"/>
          <w:szCs w:val="18"/>
        </w:rPr>
        <w:t>White</w:t>
      </w:r>
      <w:proofErr w:type="spellEnd"/>
      <w:r w:rsidRPr="00887310">
        <w:rPr>
          <w:rStyle w:val="Znakapoznpodarou"/>
          <w:sz w:val="18"/>
          <w:szCs w:val="18"/>
        </w:rPr>
        <w:t xml:space="preserve"> </w:t>
      </w:r>
      <w:proofErr w:type="spellStart"/>
      <w:r w:rsidRPr="00887310">
        <w:rPr>
          <w:rStyle w:val="Znakapoznpodarou"/>
          <w:sz w:val="18"/>
          <w:szCs w:val="18"/>
        </w:rPr>
        <w:t>paper</w:t>
      </w:r>
      <w:proofErr w:type="spellEnd"/>
      <w:r w:rsidRPr="00887310">
        <w:rPr>
          <w:rStyle w:val="Znakapoznpodarou"/>
          <w:sz w:val="18"/>
          <w:szCs w:val="18"/>
        </w:rPr>
        <w:t xml:space="preserve"> či Bílá kniha je typ publikace, je to zpráva, která představuje řešení problémů či nastiňuje jejich řešení.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349D8" w:rsidRDefault="00D349D8" w14:paraId="56B47C6C" w14:textId="77777777">
    <w:pPr>
      <w:pStyle w:val="Zhlav"/>
    </w:pPr>
    <w:r>
      <w:rPr>
        <w:noProof/>
      </w:rPr>
      <w:drawing>
        <wp:inline distT="0" distB="0" distL="0" distR="0">
          <wp:extent cx="2358359" cy="485775"/>
          <wp:effectExtent l="0" t="0" r="4445" b="0"/>
          <wp:docPr id="4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359" cy="485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6B26BB"/>
    <w:multiLevelType w:val="hybridMultilevel"/>
    <w:tmpl w:val="29D074F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3161C"/>
    <w:multiLevelType w:val="hybridMultilevel"/>
    <w:tmpl w:val="4CF49CFC"/>
    <w:lvl w:ilvl="0" w:tplc="41DAD966">
      <w:start w:val="1"/>
      <w:numFmt w:val="lowerLetter"/>
      <w:lvlText w:val="%1)"/>
      <w:lvlJc w:val="left"/>
      <w:pPr>
        <w:ind w:left="1065" w:hanging="705"/>
      </w:pPr>
      <w:rPr>
        <w:rFonts w:hint="default" w:asciiTheme="minorHAnsi" w:hAnsiTheme="minorHAnsi"/>
        <w:b/>
        <w:sz w:val="22"/>
        <w:szCs w:val="22"/>
      </w:rPr>
    </w:lvl>
    <w:lvl w:ilvl="1" w:tplc="DD0A774E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60A"/>
    <w:multiLevelType w:val="hybridMultilevel"/>
    <w:tmpl w:val="37145332"/>
    <w:lvl w:ilvl="0" w:tplc="FBF8F2AC">
      <w:start w:val="1"/>
      <w:numFmt w:val="lowerLetter"/>
      <w:lvlText w:val="%1)"/>
      <w:lvlJc w:val="left"/>
      <w:pPr>
        <w:ind w:left="1776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754516D"/>
    <w:multiLevelType w:val="hybridMultilevel"/>
    <w:tmpl w:val="08C49E4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0DAC2C73"/>
    <w:multiLevelType w:val="hybridMultilevel"/>
    <w:tmpl w:val="02C49A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20D99"/>
    <w:multiLevelType w:val="hybridMultilevel"/>
    <w:tmpl w:val="12AEE8A0"/>
    <w:lvl w:ilvl="0" w:tplc="04050015">
      <w:start w:val="1"/>
      <w:numFmt w:val="upperLetter"/>
      <w:lvlText w:val="%1."/>
      <w:lvlJc w:val="left"/>
      <w:pPr>
        <w:ind w:left="780" w:hanging="360"/>
      </w:p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51C7A52"/>
    <w:multiLevelType w:val="hybridMultilevel"/>
    <w:tmpl w:val="12AEE8A0"/>
    <w:lvl w:ilvl="0" w:tplc="04050015">
      <w:start w:val="1"/>
      <w:numFmt w:val="upperLetter"/>
      <w:lvlText w:val="%1."/>
      <w:lvlJc w:val="left"/>
      <w:pPr>
        <w:ind w:left="780" w:hanging="360"/>
      </w:p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74745D0"/>
    <w:multiLevelType w:val="hybridMultilevel"/>
    <w:tmpl w:val="DE34EA54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1B320DC4"/>
    <w:multiLevelType w:val="hybridMultilevel"/>
    <w:tmpl w:val="E1AC0136"/>
    <w:lvl w:ilvl="0" w:tplc="0C0EC59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ED4338"/>
    <w:multiLevelType w:val="hybridMultilevel"/>
    <w:tmpl w:val="60565EAE"/>
    <w:lvl w:ilvl="0" w:tplc="04050015">
      <w:start w:val="1"/>
      <w:numFmt w:val="upperLetter"/>
      <w:lvlText w:val="%1."/>
      <w:lvlJc w:val="left"/>
      <w:pPr>
        <w:ind w:left="780" w:hanging="360"/>
      </w:pPr>
    </w:lvl>
    <w:lvl w:ilvl="1" w:tplc="04050019" w:tentative="true">
      <w:start w:val="1"/>
      <w:numFmt w:val="lowerLetter"/>
      <w:lvlText w:val="%2."/>
      <w:lvlJc w:val="left"/>
      <w:pPr>
        <w:ind w:left="1500" w:hanging="360"/>
      </w:pPr>
    </w:lvl>
    <w:lvl w:ilvl="2" w:tplc="0405001B" w:tentative="true">
      <w:start w:val="1"/>
      <w:numFmt w:val="lowerRoman"/>
      <w:lvlText w:val="%3."/>
      <w:lvlJc w:val="right"/>
      <w:pPr>
        <w:ind w:left="2220" w:hanging="180"/>
      </w:pPr>
    </w:lvl>
    <w:lvl w:ilvl="3" w:tplc="0405000F" w:tentative="true">
      <w:start w:val="1"/>
      <w:numFmt w:val="decimal"/>
      <w:lvlText w:val="%4."/>
      <w:lvlJc w:val="left"/>
      <w:pPr>
        <w:ind w:left="2940" w:hanging="360"/>
      </w:pPr>
    </w:lvl>
    <w:lvl w:ilvl="4" w:tplc="04050019" w:tentative="true">
      <w:start w:val="1"/>
      <w:numFmt w:val="lowerLetter"/>
      <w:lvlText w:val="%5."/>
      <w:lvlJc w:val="left"/>
      <w:pPr>
        <w:ind w:left="3660" w:hanging="360"/>
      </w:pPr>
    </w:lvl>
    <w:lvl w:ilvl="5" w:tplc="0405001B" w:tentative="true">
      <w:start w:val="1"/>
      <w:numFmt w:val="lowerRoman"/>
      <w:lvlText w:val="%6."/>
      <w:lvlJc w:val="right"/>
      <w:pPr>
        <w:ind w:left="4380" w:hanging="180"/>
      </w:pPr>
    </w:lvl>
    <w:lvl w:ilvl="6" w:tplc="0405000F" w:tentative="true">
      <w:start w:val="1"/>
      <w:numFmt w:val="decimal"/>
      <w:lvlText w:val="%7."/>
      <w:lvlJc w:val="left"/>
      <w:pPr>
        <w:ind w:left="5100" w:hanging="360"/>
      </w:pPr>
    </w:lvl>
    <w:lvl w:ilvl="7" w:tplc="04050019" w:tentative="true">
      <w:start w:val="1"/>
      <w:numFmt w:val="lowerLetter"/>
      <w:lvlText w:val="%8."/>
      <w:lvlJc w:val="left"/>
      <w:pPr>
        <w:ind w:left="5820" w:hanging="360"/>
      </w:pPr>
    </w:lvl>
    <w:lvl w:ilvl="8" w:tplc="0405001B" w:tentative="true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4171087"/>
    <w:multiLevelType w:val="hybridMultilevel"/>
    <w:tmpl w:val="A09636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F0E3B9C"/>
    <w:multiLevelType w:val="hybridMultilevel"/>
    <w:tmpl w:val="35A0C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0640D"/>
    <w:multiLevelType w:val="hybridMultilevel"/>
    <w:tmpl w:val="A43289D8"/>
    <w:lvl w:ilvl="0" w:tplc="ADD4465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94925"/>
    <w:multiLevelType w:val="hybridMultilevel"/>
    <w:tmpl w:val="F702B1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true">
      <w:start w:val="1"/>
      <w:numFmt w:val="lowerLetter"/>
      <w:lvlText w:val="%2."/>
      <w:lvlJc w:val="left"/>
      <w:pPr>
        <w:ind w:left="1440" w:hanging="360"/>
      </w:pPr>
    </w:lvl>
    <w:lvl w:ilvl="2" w:tplc="0409001B" w:tentative="true">
      <w:start w:val="1"/>
      <w:numFmt w:val="lowerRoman"/>
      <w:lvlText w:val="%3."/>
      <w:lvlJc w:val="right"/>
      <w:pPr>
        <w:ind w:left="2160" w:hanging="180"/>
      </w:pPr>
    </w:lvl>
    <w:lvl w:ilvl="3" w:tplc="0409000F" w:tentative="true">
      <w:start w:val="1"/>
      <w:numFmt w:val="decimal"/>
      <w:lvlText w:val="%4."/>
      <w:lvlJc w:val="left"/>
      <w:pPr>
        <w:ind w:left="2880" w:hanging="360"/>
      </w:pPr>
    </w:lvl>
    <w:lvl w:ilvl="4" w:tplc="04090019" w:tentative="true">
      <w:start w:val="1"/>
      <w:numFmt w:val="lowerLetter"/>
      <w:lvlText w:val="%5."/>
      <w:lvlJc w:val="left"/>
      <w:pPr>
        <w:ind w:left="3600" w:hanging="360"/>
      </w:pPr>
    </w:lvl>
    <w:lvl w:ilvl="5" w:tplc="0409001B" w:tentative="true">
      <w:start w:val="1"/>
      <w:numFmt w:val="lowerRoman"/>
      <w:lvlText w:val="%6."/>
      <w:lvlJc w:val="right"/>
      <w:pPr>
        <w:ind w:left="4320" w:hanging="180"/>
      </w:pPr>
    </w:lvl>
    <w:lvl w:ilvl="6" w:tplc="0409000F" w:tentative="true">
      <w:start w:val="1"/>
      <w:numFmt w:val="decimal"/>
      <w:lvlText w:val="%7."/>
      <w:lvlJc w:val="left"/>
      <w:pPr>
        <w:ind w:left="5040" w:hanging="360"/>
      </w:pPr>
    </w:lvl>
    <w:lvl w:ilvl="7" w:tplc="04090019" w:tentative="true">
      <w:start w:val="1"/>
      <w:numFmt w:val="lowerLetter"/>
      <w:lvlText w:val="%8."/>
      <w:lvlJc w:val="left"/>
      <w:pPr>
        <w:ind w:left="5760" w:hanging="360"/>
      </w:pPr>
    </w:lvl>
    <w:lvl w:ilvl="8" w:tplc="04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96B4F"/>
    <w:multiLevelType w:val="hybridMultilevel"/>
    <w:tmpl w:val="E42C2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478F0"/>
    <w:multiLevelType w:val="hybridMultilevel"/>
    <w:tmpl w:val="AD96F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2B65DB6"/>
    <w:multiLevelType w:val="multilevel"/>
    <w:tmpl w:val="7456981E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/>
        <w:i w:val="false"/>
        <w:strike w:val="false"/>
        <w:dstrike w:val="false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7">
    <w:nsid w:val="54EE6D88"/>
    <w:multiLevelType w:val="multilevel"/>
    <w:tmpl w:val="7456981E"/>
    <w:lvl w:ilvl="0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b/>
        <w:i w:val="false"/>
        <w:strike w:val="false"/>
        <w:dstrike w:val="false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8">
    <w:nsid w:val="5FE93FED"/>
    <w:multiLevelType w:val="hybridMultilevel"/>
    <w:tmpl w:val="76BCAE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928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778DF"/>
    <w:multiLevelType w:val="hybridMultilevel"/>
    <w:tmpl w:val="8584A6D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>
    <w:nsid w:val="622A2257"/>
    <w:multiLevelType w:val="hybridMultilevel"/>
    <w:tmpl w:val="538202BA"/>
    <w:lvl w:ilvl="0" w:tplc="04050001">
      <w:start w:val="1"/>
      <w:numFmt w:val="bullet"/>
      <w:lvlText w:val=""/>
      <w:lvlJc w:val="left"/>
      <w:pPr>
        <w:ind w:left="1785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505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25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45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65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85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105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25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45" w:hanging="360"/>
      </w:pPr>
      <w:rPr>
        <w:rFonts w:hint="default" w:ascii="Wingdings" w:hAnsi="Wingdings"/>
      </w:rPr>
    </w:lvl>
  </w:abstractNum>
  <w:abstractNum w:abstractNumId="21">
    <w:nsid w:val="701823A3"/>
    <w:multiLevelType w:val="multilevel"/>
    <w:tmpl w:val="146E1C1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/>
        <w:i w:val="false"/>
        <w:strike w:val="false"/>
        <w:dstrike w:val="false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2007" w:hanging="1080"/>
      </w:pPr>
    </w:lvl>
    <w:lvl w:ilvl="4">
      <w:start w:val="1"/>
      <w:numFmt w:val="decimal"/>
      <w:isLgl/>
      <w:lvlText w:val="%1.%2.%3.%4.%5."/>
      <w:lvlJc w:val="left"/>
      <w:pPr>
        <w:ind w:left="2367" w:hanging="1440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3087" w:hanging="216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22">
    <w:nsid w:val="70C34273"/>
    <w:multiLevelType w:val="hybridMultilevel"/>
    <w:tmpl w:val="B75E401C"/>
    <w:lvl w:ilvl="0" w:tplc="CA0A8B1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70F82600"/>
    <w:multiLevelType w:val="hybridMultilevel"/>
    <w:tmpl w:val="F496CC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D0186"/>
    <w:multiLevelType w:val="hybridMultilevel"/>
    <w:tmpl w:val="DB587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D4B2E"/>
    <w:multiLevelType w:val="hybridMultilevel"/>
    <w:tmpl w:val="3B3013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F86D3C"/>
    <w:multiLevelType w:val="hybridMultilevel"/>
    <w:tmpl w:val="A6967496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53127C1"/>
    <w:multiLevelType w:val="hybridMultilevel"/>
    <w:tmpl w:val="08D64936"/>
    <w:lvl w:ilvl="0" w:tplc="39EEB840">
      <w:start w:val="1"/>
      <w:numFmt w:val="lowerLetter"/>
      <w:lvlText w:val="%1)"/>
      <w:lvlJc w:val="left"/>
      <w:pPr>
        <w:ind w:left="2136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496" w:hanging="360"/>
      </w:pPr>
    </w:lvl>
    <w:lvl w:ilvl="2" w:tplc="0405001B" w:tentative="true">
      <w:start w:val="1"/>
      <w:numFmt w:val="lowerRoman"/>
      <w:lvlText w:val="%3."/>
      <w:lvlJc w:val="right"/>
      <w:pPr>
        <w:ind w:left="3216" w:hanging="180"/>
      </w:pPr>
    </w:lvl>
    <w:lvl w:ilvl="3" w:tplc="0405000F" w:tentative="true">
      <w:start w:val="1"/>
      <w:numFmt w:val="decimal"/>
      <w:lvlText w:val="%4."/>
      <w:lvlJc w:val="left"/>
      <w:pPr>
        <w:ind w:left="3936" w:hanging="360"/>
      </w:pPr>
    </w:lvl>
    <w:lvl w:ilvl="4" w:tplc="04050019" w:tentative="true">
      <w:start w:val="1"/>
      <w:numFmt w:val="lowerLetter"/>
      <w:lvlText w:val="%5."/>
      <w:lvlJc w:val="left"/>
      <w:pPr>
        <w:ind w:left="4656" w:hanging="360"/>
      </w:pPr>
    </w:lvl>
    <w:lvl w:ilvl="5" w:tplc="0405001B" w:tentative="true">
      <w:start w:val="1"/>
      <w:numFmt w:val="lowerRoman"/>
      <w:lvlText w:val="%6."/>
      <w:lvlJc w:val="right"/>
      <w:pPr>
        <w:ind w:left="5376" w:hanging="180"/>
      </w:pPr>
    </w:lvl>
    <w:lvl w:ilvl="6" w:tplc="0405000F" w:tentative="true">
      <w:start w:val="1"/>
      <w:numFmt w:val="decimal"/>
      <w:lvlText w:val="%7."/>
      <w:lvlJc w:val="left"/>
      <w:pPr>
        <w:ind w:left="6096" w:hanging="360"/>
      </w:pPr>
    </w:lvl>
    <w:lvl w:ilvl="7" w:tplc="04050019" w:tentative="true">
      <w:start w:val="1"/>
      <w:numFmt w:val="lowerLetter"/>
      <w:lvlText w:val="%8."/>
      <w:lvlJc w:val="left"/>
      <w:pPr>
        <w:ind w:left="6816" w:hanging="360"/>
      </w:pPr>
    </w:lvl>
    <w:lvl w:ilvl="8" w:tplc="0405001B" w:tentative="true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5B2121F"/>
    <w:multiLevelType w:val="hybridMultilevel"/>
    <w:tmpl w:val="BF0018F6"/>
    <w:lvl w:ilvl="0" w:tplc="0C0EC59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6"/>
  </w:num>
  <w:num w:numId="3">
    <w:abstractNumId w:val="19"/>
  </w:num>
  <w:num w:numId="4">
    <w:abstractNumId w:val="7"/>
  </w:num>
  <w:num w:numId="5">
    <w:abstractNumId w:val="2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7"/>
  </w:num>
  <w:num w:numId="10">
    <w:abstractNumId w:val="18"/>
  </w:num>
  <w:num w:numId="11">
    <w:abstractNumId w:val="16"/>
  </w:num>
  <w:num w:numId="12">
    <w:abstractNumId w:val="0"/>
  </w:num>
  <w:num w:numId="13">
    <w:abstractNumId w:val="25"/>
  </w:num>
  <w:num w:numId="14">
    <w:abstractNumId w:val="6"/>
  </w:num>
  <w:num w:numId="15">
    <w:abstractNumId w:val="24"/>
  </w:num>
  <w:num w:numId="16">
    <w:abstractNumId w:val="9"/>
  </w:num>
  <w:num w:numId="17">
    <w:abstractNumId w:val="28"/>
  </w:num>
  <w:num w:numId="18">
    <w:abstractNumId w:val="12"/>
  </w:num>
  <w:num w:numId="19">
    <w:abstractNumId w:val="10"/>
  </w:num>
  <w:num w:numId="20">
    <w:abstractNumId w:val="14"/>
  </w:num>
  <w:num w:numId="21">
    <w:abstractNumId w:val="22"/>
  </w:num>
  <w:num w:numId="22">
    <w:abstractNumId w:val="27"/>
  </w:num>
  <w:num w:numId="23">
    <w:abstractNumId w:val="1"/>
  </w:num>
  <w:num w:numId="24">
    <w:abstractNumId w:val="13"/>
  </w:num>
  <w:num w:numId="25">
    <w:abstractNumId w:val="15"/>
  </w:num>
  <w:num w:numId="26">
    <w:abstractNumId w:val="5"/>
  </w:num>
  <w:num w:numId="27">
    <w:abstractNumId w:val="8"/>
  </w:num>
  <w:num w:numId="28">
    <w:abstractNumId w:val="4"/>
  </w:num>
  <w:num w:numId="29">
    <w:abstractNumId w:val="20"/>
  </w:num>
  <w:num w:numId="30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13"/>
    <w:rsid w:val="00076319"/>
    <w:rsid w:val="00077835"/>
    <w:rsid w:val="00094633"/>
    <w:rsid w:val="001344AA"/>
    <w:rsid w:val="00176423"/>
    <w:rsid w:val="001C28DB"/>
    <w:rsid w:val="001F5374"/>
    <w:rsid w:val="00217E5F"/>
    <w:rsid w:val="00244C74"/>
    <w:rsid w:val="00287EEB"/>
    <w:rsid w:val="002D77EB"/>
    <w:rsid w:val="003551BB"/>
    <w:rsid w:val="003A697C"/>
    <w:rsid w:val="00490B1B"/>
    <w:rsid w:val="004A208A"/>
    <w:rsid w:val="004D317C"/>
    <w:rsid w:val="004D623D"/>
    <w:rsid w:val="00530964"/>
    <w:rsid w:val="005A4F9E"/>
    <w:rsid w:val="0069183F"/>
    <w:rsid w:val="00731C76"/>
    <w:rsid w:val="007403A5"/>
    <w:rsid w:val="007F0D7B"/>
    <w:rsid w:val="008239B5"/>
    <w:rsid w:val="008249A1"/>
    <w:rsid w:val="00860EDC"/>
    <w:rsid w:val="008B4D13"/>
    <w:rsid w:val="008D3D12"/>
    <w:rsid w:val="008D6EAA"/>
    <w:rsid w:val="009C44DF"/>
    <w:rsid w:val="009E1C6E"/>
    <w:rsid w:val="00A667B6"/>
    <w:rsid w:val="00A94D53"/>
    <w:rsid w:val="00AA73EE"/>
    <w:rsid w:val="00AF6FC6"/>
    <w:rsid w:val="00B258EE"/>
    <w:rsid w:val="00C34A7F"/>
    <w:rsid w:val="00C53498"/>
    <w:rsid w:val="00C55C3A"/>
    <w:rsid w:val="00C60FD1"/>
    <w:rsid w:val="00C64108"/>
    <w:rsid w:val="00C80AA6"/>
    <w:rsid w:val="00CA57D2"/>
    <w:rsid w:val="00D349D8"/>
    <w:rsid w:val="00D96603"/>
    <w:rsid w:val="00DC589A"/>
    <w:rsid w:val="00E457AB"/>
    <w:rsid w:val="00EC543E"/>
    <w:rsid w:val="00ED78BB"/>
    <w:rsid w:val="00F21569"/>
    <w:rsid w:val="00F31053"/>
    <w:rsid w:val="00F41A72"/>
    <w:rsid w:val="00F629A5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B4D1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4D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4D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8B4D13"/>
    <w:rPr>
      <w:rFonts w:ascii="Arial" w:hAnsi="Arial" w:eastAsia="Times New Roman" w:cs="Arial"/>
      <w:b/>
      <w:bCs/>
      <w:kern w:val="32"/>
      <w:sz w:val="32"/>
      <w:szCs w:val="32"/>
      <w:lang w:eastAsia="cs-CZ"/>
    </w:rPr>
  </w:style>
  <w:style w:type="character" w:styleId="Nadpis2Char" w:customStyle="true">
    <w:name w:val="Nadpis 2 Char"/>
    <w:basedOn w:val="Standardnpsmoodstavce"/>
    <w:link w:val="Nadpis2"/>
    <w:rsid w:val="008B4D13"/>
    <w:rPr>
      <w:rFonts w:ascii="Arial" w:hAnsi="Arial" w:eastAsia="Times New Roman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B4D13"/>
    <w:pPr>
      <w:spacing w:before="120" w:after="120"/>
      <w:jc w:val="both"/>
    </w:pPr>
    <w:rPr>
      <w:sz w:val="22"/>
    </w:rPr>
  </w:style>
  <w:style w:type="character" w:styleId="ZkladntextChar" w:customStyle="true">
    <w:name w:val="Základní text Char"/>
    <w:basedOn w:val="Standardnpsmoodstavce"/>
    <w:link w:val="Zkladntext"/>
    <w:rsid w:val="008B4D13"/>
    <w:rPr>
      <w:rFonts w:ascii="Times New Roman" w:hAnsi="Times New Roman" w:eastAsia="Times New Roman" w:cs="Times New Roman"/>
      <w:szCs w:val="24"/>
      <w:lang w:eastAsia="cs-CZ"/>
    </w:rPr>
  </w:style>
  <w:style w:type="paragraph" w:styleId="msolistparagraph0" w:customStyle="true">
    <w:name w:val="msolistparagraph"/>
    <w:basedOn w:val="Normln"/>
    <w:rsid w:val="008B4D13"/>
    <w:pPr>
      <w:spacing w:before="100" w:beforeAutospacing="true" w:after="100" w:afterAutospacing="true"/>
    </w:pPr>
    <w:rPr>
      <w:rFonts w:ascii="Arial Unicode MS" w:hAnsi="Arial Unicode MS" w:eastAsia="Arial Unicode MS" w:cs="Arial Unicode MS"/>
    </w:rPr>
  </w:style>
  <w:style w:type="paragraph" w:styleId="Odstavecseseznamem">
    <w:name w:val="List Paragraph"/>
    <w:basedOn w:val="Normln"/>
    <w:uiPriority w:val="34"/>
    <w:qFormat/>
    <w:rsid w:val="008B4D13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4D13"/>
    <w:rPr>
      <w:sz w:val="20"/>
      <w:szCs w:val="20"/>
      <w:lang w:val="x-none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8B4D13"/>
    <w:rPr>
      <w:rFonts w:ascii="Times New Roman" w:hAnsi="Times New Roman" w:eastAsia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uiPriority w:val="99"/>
    <w:semiHidden/>
    <w:unhideWhenUsed/>
    <w:rsid w:val="008B4D13"/>
    <w:rPr>
      <w:vertAlign w:val="superscript"/>
    </w:rPr>
  </w:style>
  <w:style w:type="paragraph" w:styleId="Odstavecseseznamem1" w:customStyle="true">
    <w:name w:val="Odstavec se seznamem1"/>
    <w:basedOn w:val="Normln"/>
    <w:qFormat/>
    <w:rsid w:val="008B4D1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ED78B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ED78B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78BB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D78B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49D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349D8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44C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4C7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44C7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C7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44C74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C44DF"/>
    <w:rPr>
      <w:b/>
      <w:bCs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uiPriority="59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B4D1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1" w:type="paragraph">
    <w:name w:val="heading 1"/>
    <w:basedOn w:val="Normln"/>
    <w:next w:val="Normln"/>
    <w:link w:val="Nadpis1Char"/>
    <w:qFormat/>
    <w:rsid w:val="008B4D13"/>
    <w:pPr>
      <w:keepNext/>
      <w:spacing w:after="60" w:before="240"/>
      <w:outlineLvl w:val="0"/>
    </w:pPr>
    <w:rPr>
      <w:rFonts w:ascii="Arial" w:cs="Arial" w:hAnsi="Arial"/>
      <w:b/>
      <w:bCs/>
      <w:kern w:val="32"/>
      <w:sz w:val="32"/>
      <w:szCs w:val="32"/>
    </w:rPr>
  </w:style>
  <w:style w:styleId="Nadpis2" w:type="paragraph">
    <w:name w:val="heading 2"/>
    <w:basedOn w:val="Normln"/>
    <w:next w:val="Normln"/>
    <w:link w:val="Nadpis2Char"/>
    <w:qFormat/>
    <w:rsid w:val="008B4D13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8B4D13"/>
    <w:rPr>
      <w:rFonts w:ascii="Arial" w:cs="Arial" w:eastAsia="Times New Roman" w:hAnsi="Arial"/>
      <w:b/>
      <w:bCs/>
      <w:kern w:val="32"/>
      <w:sz w:val="32"/>
      <w:szCs w:val="32"/>
      <w:lang w:eastAsia="cs-CZ"/>
    </w:rPr>
  </w:style>
  <w:style w:customStyle="1" w:styleId="Nadpis2Char" w:type="character">
    <w:name w:val="Nadpis 2 Char"/>
    <w:basedOn w:val="Standardnpsmoodstavce"/>
    <w:link w:val="Nadpis2"/>
    <w:rsid w:val="008B4D13"/>
    <w:rPr>
      <w:rFonts w:ascii="Arial" w:cs="Arial" w:eastAsia="Times New Roman" w:hAnsi="Arial"/>
      <w:b/>
      <w:bCs/>
      <w:i/>
      <w:iCs/>
      <w:sz w:val="28"/>
      <w:szCs w:val="28"/>
      <w:lang w:eastAsia="cs-CZ"/>
    </w:rPr>
  </w:style>
  <w:style w:styleId="Zkladntext" w:type="paragraph">
    <w:name w:val="Body Text"/>
    <w:basedOn w:val="Normln"/>
    <w:link w:val="ZkladntextChar"/>
    <w:rsid w:val="008B4D13"/>
    <w:pPr>
      <w:spacing w:after="120" w:before="120"/>
      <w:jc w:val="both"/>
    </w:pPr>
    <w:rPr>
      <w:sz w:val="22"/>
    </w:rPr>
  </w:style>
  <w:style w:customStyle="1" w:styleId="ZkladntextChar" w:type="character">
    <w:name w:val="Základní text Char"/>
    <w:basedOn w:val="Standardnpsmoodstavce"/>
    <w:link w:val="Zkladntext"/>
    <w:rsid w:val="008B4D13"/>
    <w:rPr>
      <w:rFonts w:ascii="Times New Roman" w:cs="Times New Roman" w:eastAsia="Times New Roman" w:hAnsi="Times New Roman"/>
      <w:szCs w:val="24"/>
      <w:lang w:eastAsia="cs-CZ"/>
    </w:rPr>
  </w:style>
  <w:style w:customStyle="1" w:styleId="msolistparagraph0" w:type="paragraph">
    <w:name w:val="msolistparagraph"/>
    <w:basedOn w:val="Normln"/>
    <w:rsid w:val="008B4D13"/>
    <w:pPr>
      <w:spacing w:after="100" w:afterAutospacing="1" w:before="100" w:beforeAutospacing="1"/>
    </w:pPr>
    <w:rPr>
      <w:rFonts w:ascii="Arial Unicode MS" w:cs="Arial Unicode MS" w:eastAsia="Arial Unicode MS" w:hAnsi="Arial Unicode MS"/>
    </w:rPr>
  </w:style>
  <w:style w:styleId="Odstavecseseznamem" w:type="paragraph">
    <w:name w:val="List Paragraph"/>
    <w:basedOn w:val="Normln"/>
    <w:uiPriority w:val="34"/>
    <w:qFormat/>
    <w:rsid w:val="008B4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8B4D13"/>
    <w:rPr>
      <w:sz w:val="20"/>
      <w:szCs w:val="20"/>
      <w:lang w:val="x-none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8B4D13"/>
    <w:rPr>
      <w:rFonts w:ascii="Times New Roman" w:cs="Times New Roman" w:eastAsia="Times New Roman" w:hAnsi="Times New Roman"/>
      <w:sz w:val="20"/>
      <w:szCs w:val="20"/>
      <w:lang w:eastAsia="cs-CZ" w:val="x-none"/>
    </w:rPr>
  </w:style>
  <w:style w:styleId="Znakapoznpodarou" w:type="character">
    <w:name w:val="footnote reference"/>
    <w:uiPriority w:val="99"/>
    <w:semiHidden/>
    <w:unhideWhenUsed/>
    <w:rsid w:val="008B4D13"/>
    <w:rPr>
      <w:vertAlign w:val="superscript"/>
    </w:rPr>
  </w:style>
  <w:style w:customStyle="1" w:styleId="Odstavecseseznamem1" w:type="paragraph">
    <w:name w:val="Odstavec se seznamem1"/>
    <w:basedOn w:val="Normln"/>
    <w:qFormat/>
    <w:rsid w:val="008B4D13"/>
    <w:pPr>
      <w:spacing w:after="200" w:line="276" w:lineRule="auto"/>
      <w:ind w:left="720"/>
    </w:pPr>
    <w:rPr>
      <w:rFonts w:ascii="Calibri" w:hAnsi="Calibri"/>
      <w:sz w:val="22"/>
      <w:szCs w:val="22"/>
    </w:rPr>
  </w:style>
  <w:style w:styleId="Zhlav" w:type="paragraph">
    <w:name w:val="header"/>
    <w:basedOn w:val="Normln"/>
    <w:link w:val="ZhlavChar"/>
    <w:uiPriority w:val="99"/>
    <w:unhideWhenUsed/>
    <w:rsid w:val="00ED78BB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ED78BB"/>
    <w:rPr>
      <w:rFonts w:ascii="Times New Roman" w:cs="Times New Roman" w:eastAsia="Times New Roman" w:hAnsi="Times New Roman"/>
      <w:sz w:val="24"/>
      <w:szCs w:val="24"/>
      <w:lang w:eastAsia="cs-CZ"/>
    </w:rPr>
  </w:style>
  <w:style w:styleId="Zpat" w:type="paragraph">
    <w:name w:val="footer"/>
    <w:basedOn w:val="Normln"/>
    <w:link w:val="ZpatChar"/>
    <w:uiPriority w:val="99"/>
    <w:unhideWhenUsed/>
    <w:rsid w:val="00ED78BB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D78BB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D349D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D349D8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244C74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44C74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44C74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44C74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44C74"/>
    <w:rPr>
      <w:rFonts w:ascii="Times New Roman" w:cs="Times New Roman" w:eastAsia="Times New Roman" w:hAnsi="Times New Roman"/>
      <w:b/>
      <w:bCs/>
      <w:sz w:val="20"/>
      <w:szCs w:val="20"/>
      <w:lang w:eastAsia="cs-CZ"/>
    </w:rPr>
  </w:style>
  <w:style w:styleId="Siln" w:type="character">
    <w:name w:val="Strong"/>
    <w:basedOn w:val="Standardnpsmoodstavce"/>
    <w:uiPriority w:val="22"/>
    <w:qFormat/>
    <w:rsid w:val="009C44DF"/>
    <w:rPr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022065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703954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4871205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52795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486387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26925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7EAFB9F-A847-4BAC-A6DF-4BE73B8FAA8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1306</properties:Words>
  <properties:Characters>7710</properties:Characters>
  <properties:Lines>64</properties:Lines>
  <properties:Paragraphs>17</properties:Paragraphs>
  <properties:TotalTime>15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8999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2018-07-31T21:44:00Z</dcterms:created>
  <dc:creator/>
  <cp:lastModifiedBy/>
  <dcterms:modified xmlns:xsi="http://www.w3.org/2001/XMLSchema-instance" xsi:type="dcterms:W3CDTF">2018-08-02T20:04:00Z</dcterms:modified>
  <cp:revision>4</cp:revision>
</cp:coreProperties>
</file>