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E2AE4" w:rsidP="007E2AE4" w:rsidRDefault="00D81AEB">
      <w:pPr>
        <w:ind w:left="4248"/>
        <w:jc w:val="both"/>
      </w:pPr>
      <w:r>
        <w:t>Příloha č. 2</w:t>
      </w:r>
      <w:r w:rsidR="00497DD1">
        <w:t xml:space="preserve"> ZD - </w:t>
      </w:r>
      <w:r w:rsidRPr="00497DD1" w:rsidR="00497DD1">
        <w:t>Povinnosti externího subjektu při fyzickém přístupu k aktivům Úřadu</w:t>
      </w:r>
      <w:r w:rsidR="00E72482">
        <w:t xml:space="preserve"> </w:t>
      </w:r>
      <w:r w:rsidR="007E2AE4">
        <w:t xml:space="preserve"> </w:t>
      </w:r>
    </w:p>
    <w:p w:rsidR="006F58A6" w:rsidP="007E2AE4" w:rsidRDefault="006F58A6">
      <w:pPr>
        <w:ind w:left="4248"/>
        <w:jc w:val="both"/>
      </w:pPr>
      <w:bookmarkStart w:name="_GoBack" w:id="0"/>
      <w:bookmarkEnd w:id="0"/>
    </w:p>
    <w:p w:rsidR="006F58A6" w:rsidP="007E2AE4" w:rsidRDefault="006F58A6">
      <w:pPr>
        <w:ind w:left="4248"/>
        <w:jc w:val="both"/>
      </w:pPr>
    </w:p>
    <w:p w:rsidRPr="006F58A6" w:rsidR="006F58A6" w:rsidP="006F58A6" w:rsidRDefault="006F58A6">
      <w:pPr>
        <w:jc w:val="right"/>
        <w:rPr>
          <w:bCs/>
          <w:i/>
        </w:rPr>
      </w:pPr>
    </w:p>
    <w:p w:rsidRPr="006F58A6" w:rsidR="006F58A6" w:rsidP="006F58A6" w:rsidRDefault="006F58A6">
      <w:pPr>
        <w:jc w:val="both"/>
        <w:rPr>
          <w:b/>
          <w:bCs/>
        </w:rPr>
      </w:pPr>
    </w:p>
    <w:p w:rsidRPr="006F58A6" w:rsidR="006F58A6" w:rsidP="006F58A6" w:rsidRDefault="006F58A6">
      <w:pPr>
        <w:jc w:val="both"/>
        <w:rPr>
          <w:b/>
          <w:bCs/>
        </w:rPr>
      </w:pPr>
    </w:p>
    <w:p w:rsidRPr="006F58A6" w:rsidR="006F58A6" w:rsidP="006F58A6" w:rsidRDefault="006F58A6">
      <w:pPr>
        <w:jc w:val="center"/>
        <w:rPr>
          <w:b/>
          <w:i/>
        </w:rPr>
      </w:pPr>
      <w:r w:rsidRPr="006F58A6">
        <w:rPr>
          <w:b/>
        </w:rPr>
        <w:t>Povinnosti externího subjektu při fyzickém přístupu k aktivům Úřadu</w:t>
      </w:r>
    </w:p>
    <w:p w:rsidRPr="006F58A6" w:rsidR="006F58A6" w:rsidP="006F58A6" w:rsidRDefault="006F58A6">
      <w:pPr>
        <w:rPr>
          <w:b/>
        </w:rPr>
      </w:pPr>
    </w:p>
    <w:p w:rsidRPr="006F58A6" w:rsidR="006F58A6" w:rsidP="006F58A6" w:rsidRDefault="006F58A6">
      <w:pPr>
        <w:keepNext/>
        <w:jc w:val="center"/>
        <w:outlineLvl w:val="1"/>
        <w:rPr>
          <w:b/>
        </w:rPr>
      </w:pPr>
      <w:r w:rsidRPr="006F58A6">
        <w:rPr>
          <w:b/>
        </w:rPr>
        <w:t>Článek 1</w:t>
      </w:r>
      <w:r w:rsidRPr="006F58A6">
        <w:rPr>
          <w:b/>
        </w:rPr>
        <w:tab/>
        <w:t>Vstup do budov Úřadu</w:t>
      </w:r>
    </w:p>
    <w:p w:rsidRPr="006F58A6" w:rsidR="006F58A6" w:rsidP="006F58A6" w:rsidRDefault="006F58A6">
      <w:pPr>
        <w:keepNext/>
        <w:outlineLvl w:val="1"/>
        <w:rPr>
          <w:b/>
        </w:rPr>
      </w:pPr>
    </w:p>
    <w:p w:rsidRPr="006F58A6" w:rsidR="006F58A6" w:rsidP="006F58A6" w:rsidRDefault="006F58A6">
      <w:pPr>
        <w:keepNext/>
        <w:numPr>
          <w:ilvl w:val="3"/>
          <w:numId w:val="0"/>
        </w:numPr>
        <w:tabs>
          <w:tab w:val="num" w:pos="493"/>
        </w:tabs>
        <w:suppressAutoHyphens/>
        <w:spacing w:before="160" w:after="120"/>
        <w:ind w:left="493" w:hanging="493"/>
        <w:jc w:val="both"/>
        <w:outlineLvl w:val="3"/>
        <w:rPr>
          <w:rFonts w:eastAsiaTheme="minorHAnsi"/>
          <w:lang w:eastAsia="en-US"/>
        </w:rPr>
      </w:pPr>
      <w:r w:rsidRPr="006F58A6">
        <w:rPr>
          <w:rFonts w:eastAsiaTheme="minorHAnsi"/>
          <w:lang w:eastAsia="en-US"/>
        </w:rPr>
        <w:t>Vstup do budovy Úřadu městské části Praha 5 (dále jen Úřad) je povolen v době definované v rámci smluvního vztahu. V případě, že není tento vstup smluvně definován, rozumí se vstup v provozní době Úřadu.</w:t>
      </w:r>
    </w:p>
    <w:p w:rsidRPr="006F58A6" w:rsidR="006F58A6" w:rsidP="006F58A6" w:rsidRDefault="006F58A6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620"/>
        <w:gridCol w:w="2340"/>
        <w:gridCol w:w="2520"/>
      </w:tblGrid>
      <w:tr w:rsidRPr="006F58A6" w:rsidR="006F58A6" w:rsidTr="006F58A6">
        <w:trPr>
          <w:trHeight w:val="520"/>
          <w:jc w:val="center"/>
        </w:trPr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  <w:rPr>
                <w:b/>
                <w:color w:val="000000"/>
              </w:rPr>
            </w:pPr>
            <w:r w:rsidRPr="006F58A6">
              <w:rPr>
                <w:b/>
              </w:rPr>
              <w:t>Provozní doba Úřadu</w:t>
            </w:r>
          </w:p>
        </w:tc>
      </w:tr>
      <w:tr w:rsidRPr="006F58A6" w:rsidR="006F58A6" w:rsidTr="006F58A6">
        <w:trPr>
          <w:trHeight w:val="520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Pracovní dny: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Pondělí a středa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rPr>
                <w:color w:val="000000"/>
              </w:rPr>
              <w:t>06:30 hod. - 20:00 hod.</w:t>
            </w:r>
          </w:p>
        </w:tc>
      </w:tr>
      <w:tr w:rsidRPr="006F58A6" w:rsidR="006F58A6" w:rsidTr="006F58A6">
        <w:trPr>
          <w:trHeight w:val="502"/>
          <w:jc w:val="center"/>
        </w:trPr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/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Úterý, čtvrtek a pátek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rPr>
                <w:color w:val="000000"/>
              </w:rPr>
              <w:t>06:30 hod. - 20:00 hod.</w:t>
            </w:r>
          </w:p>
        </w:tc>
      </w:tr>
      <w:tr w:rsidRPr="006F58A6" w:rsidR="006F58A6" w:rsidTr="006F58A6">
        <w:trPr>
          <w:trHeight w:val="564"/>
          <w:jc w:val="center"/>
        </w:trPr>
        <w:tc>
          <w:tcPr>
            <w:tcW w:w="3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Dny pracovního klidu: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Zavřeno</w:t>
            </w:r>
          </w:p>
        </w:tc>
      </w:tr>
    </w:tbl>
    <w:p w:rsidRPr="006F58A6" w:rsidR="006F58A6" w:rsidP="006F58A6" w:rsidRDefault="006F58A6">
      <w:pPr>
        <w:tabs>
          <w:tab w:val="left" w:pos="708"/>
        </w:tabs>
        <w:suppressAutoHyphens/>
        <w:spacing w:before="160"/>
        <w:jc w:val="both"/>
        <w:outlineLvl w:val="1"/>
        <w:rPr>
          <w:rFonts w:eastAsiaTheme="minorHAnsi"/>
          <w:b/>
          <w:color w:val="000000"/>
          <w:lang w:eastAsia="en-US"/>
        </w:rPr>
      </w:pPr>
    </w:p>
    <w:p w:rsidRPr="006F58A6" w:rsidR="006F58A6" w:rsidP="006F58A6" w:rsidRDefault="006F58A6">
      <w:pPr>
        <w:numPr>
          <w:ilvl w:val="3"/>
          <w:numId w:val="0"/>
        </w:numPr>
        <w:tabs>
          <w:tab w:val="num" w:pos="493"/>
        </w:tabs>
        <w:suppressAutoHyphens/>
        <w:spacing w:before="160" w:after="120"/>
        <w:ind w:left="493" w:hanging="493"/>
        <w:jc w:val="both"/>
        <w:outlineLvl w:val="3"/>
        <w:rPr>
          <w:rFonts w:eastAsiaTheme="minorHAnsi"/>
          <w:b/>
          <w:color w:val="000000"/>
          <w:lang w:eastAsia="en-US"/>
        </w:rPr>
      </w:pPr>
      <w:r w:rsidRPr="006F58A6">
        <w:rPr>
          <w:rFonts w:eastAsiaTheme="minorHAnsi"/>
          <w:b/>
          <w:color w:val="000000"/>
          <w:lang w:eastAsia="en-US"/>
        </w:rPr>
        <w:t>Vstup do budovy Úřadu je zakázán:</w:t>
      </w:r>
    </w:p>
    <w:p w:rsidRPr="006F58A6" w:rsidR="006F58A6" w:rsidP="006F58A6" w:rsidRDefault="006F58A6">
      <w:pPr>
        <w:keepNext/>
        <w:numPr>
          <w:ilvl w:val="4"/>
          <w:numId w:val="0"/>
        </w:numPr>
        <w:tabs>
          <w:tab w:val="num" w:pos="862"/>
        </w:tabs>
        <w:suppressAutoHyphens/>
        <w:spacing w:before="120" w:after="120"/>
        <w:ind w:left="1418" w:hanging="698"/>
        <w:jc w:val="both"/>
        <w:outlineLvl w:val="4"/>
      </w:pPr>
      <w:r w:rsidRPr="006F58A6">
        <w:t>osobám, které jsou zjevně pod vlivem alkoholu či jiných návykových látek,</w:t>
      </w:r>
    </w:p>
    <w:p w:rsidRPr="006F58A6" w:rsidR="006F58A6" w:rsidP="006F58A6" w:rsidRDefault="006F58A6">
      <w:pPr>
        <w:keepNext/>
        <w:numPr>
          <w:ilvl w:val="4"/>
          <w:numId w:val="0"/>
        </w:numPr>
        <w:tabs>
          <w:tab w:val="num" w:pos="862"/>
        </w:tabs>
        <w:suppressAutoHyphens/>
        <w:spacing w:before="120" w:after="120"/>
        <w:ind w:left="1418" w:hanging="698"/>
        <w:jc w:val="both"/>
        <w:outlineLvl w:val="4"/>
      </w:pPr>
      <w:r w:rsidRPr="006F58A6">
        <w:t xml:space="preserve">se střelnými zbraněmi, trhavinami, výbušninami a nebezpečnými chemikáliemi, pokud není v rámci smluvního vztahu ujednáno jinak, </w:t>
      </w:r>
    </w:p>
    <w:p w:rsidRPr="006F58A6" w:rsidR="006F58A6" w:rsidP="006F58A6" w:rsidRDefault="006F58A6">
      <w:pPr>
        <w:keepNext/>
        <w:numPr>
          <w:ilvl w:val="4"/>
          <w:numId w:val="0"/>
        </w:numPr>
        <w:tabs>
          <w:tab w:val="num" w:pos="862"/>
        </w:tabs>
        <w:suppressAutoHyphens/>
        <w:spacing w:before="120" w:after="120"/>
        <w:ind w:left="1418" w:hanging="698"/>
        <w:jc w:val="both"/>
        <w:outlineLvl w:val="4"/>
      </w:pPr>
      <w:r w:rsidRPr="006F58A6">
        <w:t>se zvířaty s výjimkou vodícího psa pro nevidomé, pokud není v rámci smluvního vztahu ujednáno jinak.</w:t>
      </w:r>
    </w:p>
    <w:p w:rsidRPr="006F58A6" w:rsidR="006F58A6" w:rsidP="006F58A6" w:rsidRDefault="006F58A6"/>
    <w:p w:rsidRPr="006F58A6" w:rsidR="006F58A6" w:rsidP="006F58A6" w:rsidRDefault="006F58A6">
      <w:pPr>
        <w:jc w:val="center"/>
        <w:rPr>
          <w:b/>
        </w:rPr>
      </w:pPr>
      <w:r w:rsidRPr="006F58A6">
        <w:rPr>
          <w:b/>
        </w:rPr>
        <w:t>Článek 2</w:t>
      </w:r>
      <w:r w:rsidRPr="006F58A6">
        <w:rPr>
          <w:b/>
        </w:rPr>
        <w:tab/>
        <w:t>Mimořádná situace</w:t>
      </w:r>
    </w:p>
    <w:p w:rsidRPr="006F58A6" w:rsidR="006F58A6" w:rsidP="006F58A6" w:rsidRDefault="006F58A6"/>
    <w:p w:rsidRPr="006F58A6" w:rsidR="006F58A6" w:rsidP="006F58A6" w:rsidRDefault="006F58A6">
      <w:pPr>
        <w:tabs>
          <w:tab w:val="left" w:pos="708"/>
        </w:tabs>
        <w:suppressAutoHyphens/>
        <w:spacing w:before="160"/>
        <w:jc w:val="both"/>
        <w:outlineLvl w:val="1"/>
        <w:rPr>
          <w:rFonts w:eastAsiaTheme="minorHAnsi"/>
          <w:b/>
          <w:color w:val="000000"/>
          <w:lang w:eastAsia="en-US"/>
        </w:rPr>
      </w:pPr>
      <w:r w:rsidRPr="006F58A6">
        <w:rPr>
          <w:rFonts w:eastAsiaTheme="minorHAnsi"/>
          <w:b/>
          <w:color w:val="000000"/>
          <w:lang w:eastAsia="en-US"/>
        </w:rPr>
        <w:t>Mimořádnou situací je:</w:t>
      </w:r>
    </w:p>
    <w:p w:rsidRPr="006F58A6" w:rsidR="006F58A6" w:rsidP="006F58A6" w:rsidRDefault="006F58A6">
      <w:pPr>
        <w:keepNext/>
        <w:numPr>
          <w:ilvl w:val="4"/>
          <w:numId w:val="10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lastRenderedPageBreak/>
        <w:t>požár,</w:t>
      </w:r>
    </w:p>
    <w:p w:rsidRPr="006F58A6" w:rsidR="006F58A6" w:rsidP="006F58A6" w:rsidRDefault="006F58A6">
      <w:pPr>
        <w:keepNext/>
        <w:numPr>
          <w:ilvl w:val="4"/>
          <w:numId w:val="10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přerušení dodávky nebo únik plynu,</w:t>
      </w:r>
    </w:p>
    <w:p w:rsidRPr="006F58A6" w:rsidR="006F58A6" w:rsidP="006F58A6" w:rsidRDefault="006F58A6">
      <w:pPr>
        <w:keepNext/>
        <w:numPr>
          <w:ilvl w:val="4"/>
          <w:numId w:val="10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přerušení dodávky elektrické energie,</w:t>
      </w:r>
    </w:p>
    <w:p w:rsidRPr="006F58A6" w:rsidR="006F58A6" w:rsidP="006F58A6" w:rsidRDefault="006F58A6">
      <w:pPr>
        <w:keepNext/>
        <w:numPr>
          <w:ilvl w:val="4"/>
          <w:numId w:val="10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přerušení dodávky nebo únik vody,</w:t>
      </w:r>
    </w:p>
    <w:p w:rsidRPr="006F58A6" w:rsidR="006F58A6" w:rsidP="006F58A6" w:rsidRDefault="006F58A6">
      <w:pPr>
        <w:keepNext/>
        <w:numPr>
          <w:ilvl w:val="4"/>
          <w:numId w:val="10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 xml:space="preserve">technická porucha budovy (např. porucha vodovodní nebo kanalizační instalace, porucha elektroinstalace), </w:t>
      </w:r>
    </w:p>
    <w:p w:rsidRPr="006F58A6" w:rsidR="006F58A6" w:rsidP="006F58A6" w:rsidRDefault="006F58A6">
      <w:pPr>
        <w:keepNext/>
        <w:numPr>
          <w:ilvl w:val="4"/>
          <w:numId w:val="10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porucha obsazeného výtahu,</w:t>
      </w:r>
    </w:p>
    <w:p w:rsidRPr="006F58A6" w:rsidR="006F58A6" w:rsidP="006F58A6" w:rsidRDefault="006F58A6">
      <w:pPr>
        <w:keepNext/>
        <w:numPr>
          <w:ilvl w:val="4"/>
          <w:numId w:val="10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hrozba teroristického útoku.</w:t>
      </w:r>
    </w:p>
    <w:p w:rsidRPr="006F58A6" w:rsidR="006F58A6" w:rsidP="006F58A6" w:rsidRDefault="006F58A6">
      <w:pPr>
        <w:jc w:val="center"/>
      </w:pPr>
    </w:p>
    <w:p w:rsidRPr="006F58A6" w:rsidR="006F58A6" w:rsidP="006F58A6" w:rsidRDefault="006F58A6">
      <w:pPr>
        <w:jc w:val="center"/>
      </w:pPr>
    </w:p>
    <w:p w:rsidRPr="006F58A6" w:rsidR="006F58A6" w:rsidP="006F58A6" w:rsidRDefault="006F58A6">
      <w:pPr>
        <w:jc w:val="center"/>
      </w:pPr>
    </w:p>
    <w:p w:rsidRPr="006F58A6" w:rsidR="006F58A6" w:rsidP="006F58A6" w:rsidRDefault="006F58A6">
      <w:pPr>
        <w:jc w:val="center"/>
      </w:pPr>
    </w:p>
    <w:p w:rsidRPr="006F58A6" w:rsidR="006F58A6" w:rsidP="006F58A6" w:rsidRDefault="006F58A6">
      <w:pPr>
        <w:jc w:val="center"/>
      </w:pPr>
    </w:p>
    <w:p w:rsidRPr="006F58A6" w:rsidR="006F58A6" w:rsidP="006F58A6" w:rsidRDefault="006F58A6">
      <w:pPr>
        <w:jc w:val="center"/>
      </w:pPr>
    </w:p>
    <w:p w:rsidRPr="006F58A6" w:rsidR="006F58A6" w:rsidP="006F58A6" w:rsidRDefault="006F58A6">
      <w:pPr>
        <w:jc w:val="center"/>
        <w:rPr>
          <w:b/>
        </w:rPr>
      </w:pPr>
      <w:r w:rsidRPr="006F58A6">
        <w:rPr>
          <w:b/>
        </w:rPr>
        <w:t>Článek 3</w:t>
      </w:r>
      <w:r w:rsidRPr="006F58A6">
        <w:rPr>
          <w:b/>
        </w:rPr>
        <w:tab/>
        <w:t>Postup při mimořádné situaci</w:t>
      </w:r>
    </w:p>
    <w:p w:rsidRPr="006F58A6" w:rsidR="006F58A6" w:rsidP="006F58A6" w:rsidRDefault="006F58A6"/>
    <w:p w:rsidRPr="006F58A6" w:rsidR="006F58A6" w:rsidP="006F58A6" w:rsidRDefault="006F58A6">
      <w:pPr>
        <w:tabs>
          <w:tab w:val="left" w:pos="708"/>
        </w:tabs>
        <w:suppressAutoHyphens/>
        <w:spacing w:before="160"/>
        <w:jc w:val="both"/>
        <w:outlineLvl w:val="1"/>
        <w:rPr>
          <w:rFonts w:eastAsiaTheme="minorHAnsi"/>
          <w:b/>
          <w:color w:val="000000"/>
          <w:lang w:eastAsia="en-US"/>
        </w:rPr>
      </w:pPr>
      <w:r w:rsidRPr="006F58A6">
        <w:rPr>
          <w:rFonts w:eastAsiaTheme="minorHAnsi"/>
          <w:b/>
          <w:color w:val="000000"/>
          <w:lang w:eastAsia="en-US"/>
        </w:rPr>
        <w:t xml:space="preserve">Každá osoba, která mimořádnou situaci zjistí, je povinna: </w:t>
      </w:r>
    </w:p>
    <w:p w:rsidRPr="006F58A6" w:rsidR="006F58A6" w:rsidP="006F58A6" w:rsidRDefault="006F58A6">
      <w:pPr>
        <w:keepNext/>
        <w:numPr>
          <w:ilvl w:val="0"/>
          <w:numId w:val="11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  <w:rPr>
          <w:szCs w:val="22"/>
        </w:rPr>
      </w:pPr>
      <w:r w:rsidRPr="006F58A6">
        <w:t>při požáru postupovat v souladu s požárními a poplachovými směrnicemi umístěnými:</w:t>
      </w:r>
    </w:p>
    <w:p w:rsidRPr="006F58A6" w:rsidR="006F58A6" w:rsidP="006F58A6" w:rsidRDefault="006F58A6">
      <w:pPr>
        <w:keepNext/>
        <w:numPr>
          <w:ilvl w:val="0"/>
          <w:numId w:val="12"/>
        </w:numPr>
        <w:suppressAutoHyphens/>
        <w:spacing w:before="80"/>
        <w:jc w:val="both"/>
        <w:rPr>
          <w:rFonts w:eastAsiaTheme="minorHAnsi"/>
          <w:lang w:eastAsia="en-US"/>
        </w:rPr>
      </w:pPr>
      <w:r w:rsidRPr="006F58A6">
        <w:rPr>
          <w:rFonts w:eastAsiaTheme="minorHAnsi"/>
          <w:lang w:eastAsia="en-US"/>
        </w:rPr>
        <w:t>v prostorách chodeb budov Úřadu A, B,</w:t>
      </w:r>
    </w:p>
    <w:p w:rsidRPr="006F58A6" w:rsidR="006F58A6" w:rsidP="006F58A6" w:rsidRDefault="006F58A6">
      <w:pPr>
        <w:keepNext/>
        <w:numPr>
          <w:ilvl w:val="0"/>
          <w:numId w:val="12"/>
        </w:numPr>
        <w:suppressAutoHyphens/>
        <w:spacing w:before="80"/>
        <w:jc w:val="both"/>
        <w:rPr>
          <w:rFonts w:eastAsiaTheme="minorHAnsi"/>
          <w:lang w:eastAsia="en-US"/>
        </w:rPr>
      </w:pPr>
      <w:r w:rsidRPr="006F58A6">
        <w:rPr>
          <w:rFonts w:eastAsiaTheme="minorHAnsi"/>
          <w:lang w:eastAsia="en-US"/>
        </w:rPr>
        <w:t>v prostorách budov Úřadu E, F, G, H, I, J, K.</w:t>
      </w:r>
    </w:p>
    <w:p w:rsidRPr="006F58A6" w:rsidR="006F58A6" w:rsidP="006F58A6" w:rsidRDefault="006F58A6">
      <w:pPr>
        <w:keepNext/>
        <w:suppressAutoHyphens/>
        <w:spacing w:before="80"/>
        <w:ind w:left="2160"/>
        <w:jc w:val="both"/>
        <w:rPr>
          <w:rFonts w:eastAsiaTheme="minorHAnsi"/>
          <w:lang w:eastAsia="en-US"/>
        </w:rPr>
      </w:pPr>
    </w:p>
    <w:tbl>
      <w:tblPr>
        <w:tblW w:w="8960" w:type="dxa"/>
        <w:tblInd w:w="43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74"/>
        <w:gridCol w:w="2329"/>
        <w:gridCol w:w="2870"/>
        <w:gridCol w:w="3187"/>
      </w:tblGrid>
      <w:tr w:rsidRPr="006F58A6" w:rsidR="006F58A6" w:rsidTr="006F58A6">
        <w:trPr>
          <w:trHeight w:val="174"/>
          <w:tblHeader/>
        </w:trPr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  <w:shd w:val="clear" w:color="auto" w:fill="E0E0E0"/>
            <w:vAlign w:val="center"/>
            <w:hideMark/>
          </w:tcPr>
          <w:p w:rsidRPr="006F58A6" w:rsidR="006F58A6" w:rsidP="006F58A6" w:rsidRDefault="006F58A6">
            <w:pPr>
              <w:jc w:val="center"/>
              <w:rPr>
                <w:b/>
              </w:rPr>
            </w:pPr>
            <w:r w:rsidRPr="006F58A6">
              <w:rPr>
                <w:b/>
              </w:rPr>
              <w:t>Poř.</w:t>
            </w:r>
          </w:p>
        </w:tc>
        <w:tc>
          <w:tcPr>
            <w:tcW w:w="2329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</w:tcBorders>
            <w:shd w:val="clear" w:color="auto" w:fill="E0E0E0"/>
            <w:vAlign w:val="center"/>
            <w:hideMark/>
          </w:tcPr>
          <w:p w:rsidRPr="006F58A6" w:rsidR="006F58A6" w:rsidP="006F58A6" w:rsidRDefault="006F58A6">
            <w:pPr>
              <w:rPr>
                <w:b/>
              </w:rPr>
            </w:pPr>
            <w:r w:rsidRPr="006F58A6">
              <w:rPr>
                <w:b/>
              </w:rPr>
              <w:t>Označení</w:t>
            </w:r>
          </w:p>
        </w:tc>
        <w:tc>
          <w:tcPr>
            <w:tcW w:w="287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</w:tcBorders>
            <w:shd w:val="clear" w:color="auto" w:fill="E0E0E0"/>
            <w:vAlign w:val="center"/>
            <w:hideMark/>
          </w:tcPr>
          <w:p w:rsidRPr="006F58A6" w:rsidR="006F58A6" w:rsidP="006F58A6" w:rsidRDefault="006F58A6">
            <w:pPr>
              <w:rPr>
                <w:b/>
              </w:rPr>
            </w:pPr>
            <w:r w:rsidRPr="006F58A6">
              <w:rPr>
                <w:b/>
              </w:rPr>
              <w:t>Adresa</w:t>
            </w:r>
          </w:p>
        </w:tc>
        <w:tc>
          <w:tcPr>
            <w:tcW w:w="31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  <w:hideMark/>
          </w:tcPr>
          <w:p w:rsidRPr="006F58A6" w:rsidR="006F58A6" w:rsidP="006F58A6" w:rsidRDefault="006F58A6">
            <w:pPr>
              <w:rPr>
                <w:b/>
                <w:bCs/>
              </w:rPr>
            </w:pPr>
            <w:r w:rsidRPr="006F58A6">
              <w:rPr>
                <w:b/>
                <w:bCs/>
              </w:rPr>
              <w:t>Typ</w:t>
            </w:r>
          </w:p>
        </w:tc>
      </w:tr>
      <w:tr w:rsidRPr="006F58A6" w:rsidR="006F58A6" w:rsidTr="006F58A6">
        <w:trPr>
          <w:trHeight w:val="174"/>
        </w:trPr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a)</w:t>
            </w:r>
          </w:p>
        </w:tc>
        <w:tc>
          <w:tcPr>
            <w:tcW w:w="2329" w:type="dxa"/>
            <w:tcBorders>
              <w:top w:val="single" w:color="auto" w:sz="8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A</w:t>
            </w:r>
          </w:p>
        </w:tc>
        <w:tc>
          <w:tcPr>
            <w:tcW w:w="2870" w:type="dxa"/>
            <w:tcBorders>
              <w:top w:val="single" w:color="auto" w:sz="8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nám. 14. října 1381/4</w:t>
            </w:r>
          </w:p>
        </w:tc>
        <w:tc>
          <w:tcPr>
            <w:tcW w:w="3187" w:type="dxa"/>
            <w:tcBorders>
              <w:top w:val="single" w:color="auto" w:sz="8" w:space="0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rPr>
                <w:bCs/>
              </w:rPr>
              <w:t>administrativní budova</w:t>
            </w:r>
          </w:p>
        </w:tc>
      </w:tr>
      <w:tr w:rsidRPr="006F58A6" w:rsidR="006F58A6" w:rsidTr="006F58A6">
        <w:trPr>
          <w:trHeight w:val="342"/>
        </w:trPr>
        <w:tc>
          <w:tcPr>
            <w:tcW w:w="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c)</w:t>
            </w:r>
          </w:p>
        </w:tc>
        <w:tc>
          <w:tcPr>
            <w:tcW w:w="2329" w:type="dxa"/>
            <w:tcBorders>
              <w:top w:val="dotted" w:color="auto" w:sz="4" w:space="0"/>
              <w:left w:val="nil"/>
              <w:bottom w:val="single" w:color="auto" w:sz="8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rPr>
                <w:bCs/>
              </w:rPr>
              <w:t>budova Úřadu B</w:t>
            </w:r>
          </w:p>
        </w:tc>
        <w:tc>
          <w:tcPr>
            <w:tcW w:w="2870" w:type="dxa"/>
            <w:tcBorders>
              <w:top w:val="dotted" w:color="auto" w:sz="4" w:space="0"/>
              <w:left w:val="nil"/>
              <w:bottom w:val="single" w:color="auto" w:sz="8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rPr>
                <w:bCs/>
              </w:rPr>
              <w:t>Štefánikova 236/13, 246/15</w:t>
            </w:r>
          </w:p>
        </w:tc>
        <w:tc>
          <w:tcPr>
            <w:tcW w:w="3187" w:type="dxa"/>
            <w:tcBorders>
              <w:top w:val="dotted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rPr>
                <w:bCs/>
              </w:rPr>
              <w:t>administrativní budova</w:t>
            </w:r>
          </w:p>
        </w:tc>
      </w:tr>
      <w:tr w:rsidRPr="006F58A6" w:rsidR="006F58A6" w:rsidTr="006F58A6">
        <w:trPr>
          <w:trHeight w:val="352"/>
        </w:trPr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d)</w:t>
            </w:r>
          </w:p>
        </w:tc>
        <w:tc>
          <w:tcPr>
            <w:tcW w:w="2329" w:type="dxa"/>
            <w:tcBorders>
              <w:top w:val="single" w:color="auto" w:sz="8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C</w:t>
            </w:r>
          </w:p>
        </w:tc>
        <w:tc>
          <w:tcPr>
            <w:tcW w:w="2870" w:type="dxa"/>
            <w:tcBorders>
              <w:top w:val="single" w:color="auto" w:sz="8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Krškova 807/21</w:t>
            </w:r>
          </w:p>
        </w:tc>
        <w:tc>
          <w:tcPr>
            <w:tcW w:w="3187" w:type="dxa"/>
            <w:tcBorders>
              <w:top w:val="single" w:color="auto" w:sz="8" w:space="0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rPr>
                <w:bCs/>
              </w:rPr>
              <w:t>administrativní budova</w:t>
            </w:r>
          </w:p>
        </w:tc>
      </w:tr>
      <w:tr w:rsidRPr="006F58A6" w:rsidR="006F58A6" w:rsidTr="006F58A6">
        <w:trPr>
          <w:trHeight w:val="348"/>
        </w:trPr>
        <w:tc>
          <w:tcPr>
            <w:tcW w:w="574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e)</w:t>
            </w:r>
          </w:p>
        </w:tc>
        <w:tc>
          <w:tcPr>
            <w:tcW w:w="232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D</w:t>
            </w:r>
          </w:p>
        </w:tc>
        <w:tc>
          <w:tcPr>
            <w:tcW w:w="287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Stroupežnického 493/10</w:t>
            </w:r>
          </w:p>
        </w:tc>
        <w:tc>
          <w:tcPr>
            <w:tcW w:w="318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obřadní síň</w:t>
            </w:r>
          </w:p>
        </w:tc>
      </w:tr>
      <w:tr w:rsidRPr="006F58A6" w:rsidR="006F58A6" w:rsidTr="006F58A6">
        <w:trPr>
          <w:trHeight w:val="358"/>
        </w:trPr>
        <w:tc>
          <w:tcPr>
            <w:tcW w:w="574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f)</w:t>
            </w:r>
          </w:p>
        </w:tc>
        <w:tc>
          <w:tcPr>
            <w:tcW w:w="232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E</w:t>
            </w:r>
          </w:p>
        </w:tc>
        <w:tc>
          <w:tcPr>
            <w:tcW w:w="287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840924">
              <w:rPr>
                <w:color w:val="767171" w:themeColor="background2" w:themeShade="80"/>
              </w:rPr>
              <w:t>Na Valentince 451/5</w:t>
            </w:r>
          </w:p>
        </w:tc>
        <w:tc>
          <w:tcPr>
            <w:tcW w:w="318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840924">
              <w:rPr>
                <w:color w:val="767171" w:themeColor="background2" w:themeShade="80"/>
              </w:rPr>
              <w:t>spisový uzel OMI</w:t>
            </w:r>
          </w:p>
        </w:tc>
      </w:tr>
      <w:tr w:rsidRPr="006F58A6" w:rsidR="006F58A6" w:rsidTr="006F58A6">
        <w:trPr>
          <w:trHeight w:val="340"/>
        </w:trPr>
        <w:tc>
          <w:tcPr>
            <w:tcW w:w="574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g)</w:t>
            </w:r>
          </w:p>
        </w:tc>
        <w:tc>
          <w:tcPr>
            <w:tcW w:w="232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F</w:t>
            </w:r>
          </w:p>
        </w:tc>
        <w:tc>
          <w:tcPr>
            <w:tcW w:w="287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Lesnická 1214/5</w:t>
            </w:r>
          </w:p>
        </w:tc>
        <w:tc>
          <w:tcPr>
            <w:tcW w:w="318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spisový uzel OMI, OŠK, OEK</w:t>
            </w:r>
          </w:p>
        </w:tc>
      </w:tr>
      <w:tr w:rsidRPr="006F58A6" w:rsidR="006F58A6" w:rsidTr="006F58A6">
        <w:trPr>
          <w:trHeight w:val="350"/>
        </w:trPr>
        <w:tc>
          <w:tcPr>
            <w:tcW w:w="574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h)</w:t>
            </w:r>
          </w:p>
        </w:tc>
        <w:tc>
          <w:tcPr>
            <w:tcW w:w="232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G</w:t>
            </w:r>
          </w:p>
        </w:tc>
        <w:tc>
          <w:tcPr>
            <w:tcW w:w="287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Brožíkova 281/6</w:t>
            </w:r>
          </w:p>
        </w:tc>
        <w:tc>
          <w:tcPr>
            <w:tcW w:w="318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spisový uzel KMČ</w:t>
            </w:r>
          </w:p>
        </w:tc>
      </w:tr>
      <w:tr w:rsidRPr="006F58A6" w:rsidR="006F58A6" w:rsidTr="006F58A6">
        <w:trPr>
          <w:trHeight w:val="349"/>
        </w:trPr>
        <w:tc>
          <w:tcPr>
            <w:tcW w:w="574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i)</w:t>
            </w:r>
          </w:p>
        </w:tc>
        <w:tc>
          <w:tcPr>
            <w:tcW w:w="232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H</w:t>
            </w:r>
          </w:p>
        </w:tc>
        <w:tc>
          <w:tcPr>
            <w:tcW w:w="287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Musílkova 303/3</w:t>
            </w:r>
          </w:p>
        </w:tc>
        <w:tc>
          <w:tcPr>
            <w:tcW w:w="318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sklad KMČ</w:t>
            </w:r>
          </w:p>
        </w:tc>
      </w:tr>
      <w:tr w:rsidRPr="006F58A6" w:rsidR="006F58A6" w:rsidTr="006F58A6">
        <w:trPr>
          <w:trHeight w:val="345"/>
        </w:trPr>
        <w:tc>
          <w:tcPr>
            <w:tcW w:w="574" w:type="dxa"/>
            <w:tcBorders>
              <w:top w:val="nil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j)</w:t>
            </w:r>
          </w:p>
        </w:tc>
        <w:tc>
          <w:tcPr>
            <w:tcW w:w="2329" w:type="dxa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I</w:t>
            </w:r>
          </w:p>
        </w:tc>
        <w:tc>
          <w:tcPr>
            <w:tcW w:w="2870" w:type="dxa"/>
            <w:tcBorders>
              <w:top w:val="nil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Tetínská 328/1a</w:t>
            </w:r>
          </w:p>
        </w:tc>
        <w:tc>
          <w:tcPr>
            <w:tcW w:w="3187" w:type="dxa"/>
            <w:tcBorders>
              <w:top w:val="nil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skladový areál KMČ</w:t>
            </w:r>
          </w:p>
        </w:tc>
      </w:tr>
      <w:tr w:rsidRPr="006F58A6" w:rsidR="006F58A6" w:rsidTr="006F58A6">
        <w:trPr>
          <w:trHeight w:val="356"/>
        </w:trPr>
        <w:tc>
          <w:tcPr>
            <w:tcW w:w="574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k)</w:t>
            </w:r>
          </w:p>
        </w:tc>
        <w:tc>
          <w:tcPr>
            <w:tcW w:w="2329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J</w:t>
            </w:r>
          </w:p>
        </w:tc>
        <w:tc>
          <w:tcPr>
            <w:tcW w:w="2870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roofErr w:type="spellStart"/>
            <w:r w:rsidRPr="006F58A6">
              <w:t>Koulka</w:t>
            </w:r>
            <w:proofErr w:type="spellEnd"/>
            <w:r w:rsidRPr="006F58A6">
              <w:t xml:space="preserve"> 189/12</w:t>
            </w:r>
          </w:p>
        </w:tc>
        <w:tc>
          <w:tcPr>
            <w:tcW w:w="3187" w:type="dxa"/>
            <w:tcBorders>
              <w:top w:val="dotted" w:color="auto" w:sz="4" w:space="0"/>
              <w:left w:val="nil"/>
              <w:bottom w:val="dotted" w:color="auto" w:sz="4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sklad KMČ</w:t>
            </w:r>
          </w:p>
        </w:tc>
      </w:tr>
      <w:tr w:rsidRPr="006F58A6" w:rsidR="006F58A6" w:rsidTr="006F58A6">
        <w:trPr>
          <w:trHeight w:val="356"/>
        </w:trPr>
        <w:tc>
          <w:tcPr>
            <w:tcW w:w="574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pPr>
              <w:jc w:val="center"/>
            </w:pPr>
            <w:r w:rsidRPr="006F58A6">
              <w:t>l)</w:t>
            </w:r>
          </w:p>
        </w:tc>
        <w:tc>
          <w:tcPr>
            <w:tcW w:w="2329" w:type="dxa"/>
            <w:tcBorders>
              <w:top w:val="dotted" w:color="auto" w:sz="4" w:space="0"/>
              <w:left w:val="nil"/>
              <w:bottom w:val="single" w:color="auto" w:sz="8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6F58A6">
              <w:t>budova Úřadu K</w:t>
            </w:r>
          </w:p>
        </w:tc>
        <w:tc>
          <w:tcPr>
            <w:tcW w:w="2870" w:type="dxa"/>
            <w:tcBorders>
              <w:top w:val="dotted" w:color="auto" w:sz="4" w:space="0"/>
              <w:left w:val="nil"/>
              <w:bottom w:val="single" w:color="auto" w:sz="8" w:space="0"/>
              <w:right w:val="dotted" w:color="auto" w:sz="4" w:space="0"/>
            </w:tcBorders>
            <w:vAlign w:val="center"/>
            <w:hideMark/>
          </w:tcPr>
          <w:p w:rsidRPr="006F58A6" w:rsidR="006F58A6" w:rsidP="006F58A6" w:rsidRDefault="006F58A6">
            <w:r w:rsidRPr="00840924">
              <w:rPr>
                <w:color w:val="767171" w:themeColor="background2" w:themeShade="80"/>
              </w:rPr>
              <w:t>Janáčkovo nábř. 1211/11</w:t>
            </w:r>
          </w:p>
        </w:tc>
        <w:tc>
          <w:tcPr>
            <w:tcW w:w="3187" w:type="dxa"/>
            <w:tcBorders>
              <w:top w:val="dotted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 w:rsidRPr="006F58A6" w:rsidR="006F58A6" w:rsidP="006F58A6" w:rsidRDefault="006F58A6">
            <w:r w:rsidRPr="00840924">
              <w:rPr>
                <w:color w:val="767171" w:themeColor="background2" w:themeShade="80"/>
              </w:rPr>
              <w:t>byt č. 1, 2 a 3</w:t>
            </w:r>
          </w:p>
        </w:tc>
      </w:tr>
    </w:tbl>
    <w:p w:rsidRPr="006F58A6" w:rsidR="006F58A6" w:rsidP="006F58A6" w:rsidRDefault="006F58A6">
      <w:pPr>
        <w:tabs>
          <w:tab w:val="left" w:pos="708"/>
        </w:tabs>
        <w:suppressAutoHyphens/>
        <w:spacing w:before="120"/>
        <w:ind w:left="720"/>
        <w:jc w:val="both"/>
        <w:outlineLvl w:val="1"/>
      </w:pPr>
    </w:p>
    <w:p w:rsidRPr="006F58A6" w:rsidR="006F58A6" w:rsidP="006F58A6" w:rsidRDefault="006F58A6">
      <w:pPr>
        <w:numPr>
          <w:ilvl w:val="0"/>
          <w:numId w:val="11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neprodleně oznámit vznik mimořádné situace oprávněné osobě Městské části Praha 5 uvedené v textu smlouvy,</w:t>
      </w:r>
    </w:p>
    <w:p w:rsidRPr="006F58A6" w:rsidR="006F58A6" w:rsidP="006F58A6" w:rsidRDefault="006F58A6">
      <w:pPr>
        <w:numPr>
          <w:ilvl w:val="0"/>
          <w:numId w:val="11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při poruše obsazeného výtahu kontaktovat:</w:t>
      </w:r>
    </w:p>
    <w:p w:rsidRPr="006F58A6" w:rsidR="006F58A6" w:rsidP="006F58A6" w:rsidRDefault="006F58A6">
      <w:pPr>
        <w:numPr>
          <w:ilvl w:val="0"/>
          <w:numId w:val="12"/>
        </w:numPr>
        <w:suppressAutoHyphens/>
        <w:spacing w:before="80"/>
        <w:jc w:val="both"/>
        <w:rPr>
          <w:rFonts w:eastAsiaTheme="minorHAnsi"/>
          <w:lang w:eastAsia="en-US"/>
        </w:rPr>
      </w:pPr>
      <w:r w:rsidRPr="006F58A6">
        <w:rPr>
          <w:rFonts w:eastAsiaTheme="minorHAnsi"/>
          <w:lang w:eastAsia="en-US"/>
        </w:rPr>
        <w:t>servisní a vyprošťovací službu prostřednictvím telekomunikačního zařízení v kabině výtahu,</w:t>
      </w:r>
    </w:p>
    <w:p w:rsidRPr="006F58A6" w:rsidR="006F58A6" w:rsidP="006F58A6" w:rsidRDefault="006F58A6">
      <w:pPr>
        <w:numPr>
          <w:ilvl w:val="0"/>
          <w:numId w:val="12"/>
        </w:numPr>
        <w:suppressAutoHyphens/>
        <w:spacing w:before="80"/>
        <w:jc w:val="both"/>
        <w:rPr>
          <w:rFonts w:eastAsiaTheme="minorHAnsi"/>
          <w:lang w:eastAsia="en-US"/>
        </w:rPr>
      </w:pPr>
      <w:r w:rsidRPr="006F58A6">
        <w:rPr>
          <w:rFonts w:eastAsiaTheme="minorHAnsi"/>
          <w:lang w:eastAsia="en-US"/>
        </w:rPr>
        <w:lastRenderedPageBreak/>
        <w:t>oprávněnou osobu Městské části Praha 5 uvedenou v textu smlouvy.</w:t>
      </w:r>
    </w:p>
    <w:p w:rsidRPr="006F58A6" w:rsidR="006F58A6" w:rsidP="006F58A6" w:rsidRDefault="006F58A6">
      <w:pPr>
        <w:numPr>
          <w:ilvl w:val="0"/>
          <w:numId w:val="11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při hrozbě teroristického útoku kontaktovat svého přímého nadřízeného a řídit se jeho pokyny a současně kontaktovat oprávněnou osobu Městské části Praha 5 uvedenou v textu smlouvy.</w:t>
      </w:r>
    </w:p>
    <w:p w:rsidRPr="006F58A6" w:rsidR="006F58A6" w:rsidP="006F58A6" w:rsidRDefault="006F58A6"/>
    <w:p w:rsidRPr="006F58A6" w:rsidR="006F58A6" w:rsidP="006F58A6" w:rsidRDefault="006F58A6">
      <w:pPr>
        <w:jc w:val="center"/>
        <w:rPr>
          <w:b/>
        </w:rPr>
      </w:pPr>
      <w:r w:rsidRPr="006F58A6">
        <w:rPr>
          <w:b/>
        </w:rPr>
        <w:t>Článek 4</w:t>
      </w:r>
      <w:r w:rsidRPr="006F58A6">
        <w:rPr>
          <w:b/>
        </w:rPr>
        <w:tab/>
        <w:t>Manipulace s výpočetní technikou</w:t>
      </w:r>
    </w:p>
    <w:p w:rsidRPr="006F58A6" w:rsidR="006F58A6" w:rsidP="006F58A6" w:rsidRDefault="006F58A6">
      <w:pPr>
        <w:tabs>
          <w:tab w:val="left" w:pos="708"/>
        </w:tabs>
        <w:suppressAutoHyphens/>
        <w:spacing w:before="160"/>
        <w:jc w:val="both"/>
        <w:outlineLvl w:val="1"/>
        <w:rPr>
          <w:rFonts w:eastAsiaTheme="minorHAnsi"/>
          <w:b/>
          <w:color w:val="000000"/>
          <w:lang w:eastAsia="en-US"/>
        </w:rPr>
      </w:pPr>
      <w:r w:rsidRPr="006F58A6">
        <w:rPr>
          <w:rFonts w:eastAsiaTheme="minorHAnsi"/>
          <w:b/>
          <w:color w:val="000000"/>
          <w:lang w:eastAsia="en-US"/>
        </w:rPr>
        <w:t>Je zakázáno:</w:t>
      </w:r>
    </w:p>
    <w:p w:rsidRPr="006F58A6" w:rsidR="006F58A6" w:rsidP="006F58A6" w:rsidRDefault="006F58A6">
      <w:pPr>
        <w:keepNext/>
        <w:numPr>
          <w:ilvl w:val="0"/>
          <w:numId w:val="13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používat výpočetní techniku Úřadu</w:t>
      </w:r>
    </w:p>
    <w:p w:rsidRPr="006F58A6" w:rsidR="006F58A6" w:rsidP="006F58A6" w:rsidRDefault="006F58A6">
      <w:pPr>
        <w:keepNext/>
        <w:numPr>
          <w:ilvl w:val="0"/>
          <w:numId w:val="13"/>
        </w:numPr>
        <w:tabs>
          <w:tab w:val="num" w:pos="1440"/>
        </w:tabs>
        <w:suppressAutoHyphens/>
        <w:spacing w:before="120" w:after="120"/>
        <w:ind w:left="1440" w:hanging="720"/>
        <w:jc w:val="both"/>
        <w:outlineLvl w:val="4"/>
      </w:pPr>
      <w:r w:rsidRPr="006F58A6">
        <w:t>připojovat jakákoliv zařízení k počítačové síti Úřadu (obdobně platí i pro odpojování zařízení).</w:t>
      </w:r>
    </w:p>
    <w:p w:rsidRPr="006F58A6" w:rsidR="006F58A6" w:rsidP="006F58A6" w:rsidRDefault="006F58A6"/>
    <w:p w:rsidRPr="006F58A6" w:rsidR="006F58A6" w:rsidP="006F58A6" w:rsidRDefault="006F58A6">
      <w:pPr>
        <w:jc w:val="center"/>
        <w:rPr>
          <w:b/>
        </w:rPr>
      </w:pPr>
      <w:r w:rsidRPr="006F58A6">
        <w:rPr>
          <w:b/>
        </w:rPr>
        <w:t>Článek 5</w:t>
      </w:r>
      <w:r w:rsidRPr="006F58A6">
        <w:rPr>
          <w:b/>
        </w:rPr>
        <w:tab/>
        <w:t>Hlášení bezpečnostních incidentů</w:t>
      </w:r>
    </w:p>
    <w:p w:rsidRPr="006F58A6" w:rsidR="006F58A6" w:rsidP="006F58A6" w:rsidRDefault="006F58A6">
      <w:pPr>
        <w:keepNext/>
        <w:numPr>
          <w:ilvl w:val="0"/>
          <w:numId w:val="14"/>
        </w:numPr>
        <w:tabs>
          <w:tab w:val="num" w:pos="540"/>
        </w:tabs>
        <w:suppressAutoHyphens/>
        <w:spacing w:before="160"/>
        <w:ind w:left="540" w:hanging="540"/>
        <w:jc w:val="both"/>
        <w:outlineLvl w:val="1"/>
        <w:rPr>
          <w:rFonts w:eastAsiaTheme="minorHAnsi"/>
          <w:lang w:eastAsia="en-US"/>
        </w:rPr>
      </w:pPr>
      <w:r w:rsidRPr="006F58A6">
        <w:rPr>
          <w:rFonts w:eastAsiaTheme="minorHAnsi"/>
          <w:lang w:eastAsia="en-US"/>
        </w:rPr>
        <w:t>Bezpečnostním incidentem se rozumí událost, při které dochází k  ohrožení bezpečnosti informací spravovaných Úřadem.</w:t>
      </w:r>
    </w:p>
    <w:p w:rsidRPr="006F58A6" w:rsidR="006F58A6" w:rsidP="006F58A6" w:rsidRDefault="006F58A6">
      <w:pPr>
        <w:numPr>
          <w:ilvl w:val="0"/>
          <w:numId w:val="14"/>
        </w:numPr>
        <w:tabs>
          <w:tab w:val="num" w:pos="540"/>
        </w:tabs>
        <w:suppressAutoHyphens/>
        <w:spacing w:before="160" w:after="120"/>
        <w:ind w:left="540" w:hanging="540"/>
        <w:jc w:val="both"/>
        <w:outlineLvl w:val="3"/>
        <w:rPr>
          <w:rFonts w:eastAsiaTheme="minorHAnsi"/>
          <w:b/>
          <w:color w:val="000000"/>
          <w:lang w:eastAsia="en-US"/>
        </w:rPr>
      </w:pPr>
      <w:r w:rsidRPr="006F58A6">
        <w:rPr>
          <w:rFonts w:eastAsiaTheme="minorHAnsi"/>
          <w:b/>
          <w:color w:val="000000"/>
          <w:lang w:eastAsia="en-US"/>
        </w:rPr>
        <w:t xml:space="preserve">Mimořádná událost je jakákoli událost, která může i potenciálně ovlivnit bezpečnost informací spravovaných Úřadem. </w:t>
      </w:r>
    </w:p>
    <w:p w:rsidRPr="006F58A6" w:rsidR="006F58A6" w:rsidP="006F58A6" w:rsidRDefault="006F58A6">
      <w:pPr>
        <w:numPr>
          <w:ilvl w:val="0"/>
          <w:numId w:val="14"/>
        </w:numPr>
        <w:tabs>
          <w:tab w:val="num" w:pos="540"/>
        </w:tabs>
        <w:suppressAutoHyphens/>
        <w:spacing w:before="160" w:after="120"/>
        <w:ind w:left="540" w:hanging="540"/>
        <w:jc w:val="both"/>
        <w:outlineLvl w:val="3"/>
        <w:rPr>
          <w:rFonts w:eastAsiaTheme="minorHAnsi"/>
          <w:b/>
          <w:color w:val="000000"/>
          <w:lang w:eastAsia="en-US"/>
        </w:rPr>
      </w:pPr>
      <w:r w:rsidRPr="006F58A6">
        <w:rPr>
          <w:rFonts w:eastAsiaTheme="minorHAnsi"/>
          <w:b/>
          <w:color w:val="000000"/>
          <w:lang w:eastAsia="en-US"/>
        </w:rPr>
        <w:t>Zaměstnanec externího subjektu (nebo s ním spolupracujícího subjektu) je povinen hlásit jakýkoliv bezpečnostní incident, a to i v případě pouhého podezření na jeho vznik. Hlášení provede na následující kontaktní místa takto:</w:t>
      </w:r>
    </w:p>
    <w:p w:rsidRPr="006F58A6" w:rsidR="006F58A6" w:rsidP="006F58A6" w:rsidRDefault="006F58A6">
      <w:pPr>
        <w:keepNext/>
        <w:numPr>
          <w:ilvl w:val="0"/>
          <w:numId w:val="15"/>
        </w:numPr>
        <w:tabs>
          <w:tab w:val="num" w:pos="1080"/>
          <w:tab w:val="num" w:pos="3936"/>
        </w:tabs>
        <w:suppressAutoHyphens/>
        <w:spacing w:before="80"/>
        <w:ind w:left="1080" w:hanging="540"/>
        <w:jc w:val="both"/>
        <w:rPr>
          <w:rFonts w:eastAsiaTheme="minorHAnsi"/>
          <w:lang w:eastAsia="en-US"/>
        </w:rPr>
      </w:pPr>
      <w:r w:rsidRPr="006F58A6">
        <w:rPr>
          <w:rFonts w:eastAsiaTheme="minorHAnsi"/>
          <w:lang w:eastAsia="en-US"/>
        </w:rPr>
        <w:t xml:space="preserve">jakýkoliv bezpečnostní incident týkající se informačního systému Úřadu prostřednictvím </w:t>
      </w:r>
      <w:proofErr w:type="spellStart"/>
      <w:r w:rsidRPr="006F58A6">
        <w:rPr>
          <w:rFonts w:eastAsiaTheme="minorHAnsi"/>
          <w:lang w:eastAsia="en-US"/>
        </w:rPr>
        <w:t>Hotline</w:t>
      </w:r>
      <w:proofErr w:type="spellEnd"/>
      <w:r w:rsidRPr="006F58A6">
        <w:rPr>
          <w:rFonts w:eastAsiaTheme="minorHAnsi"/>
          <w:lang w:eastAsia="en-US"/>
        </w:rPr>
        <w:t xml:space="preserve"> na </w:t>
      </w:r>
      <w:proofErr w:type="spellStart"/>
      <w:r w:rsidRPr="006F58A6">
        <w:rPr>
          <w:rFonts w:eastAsiaTheme="minorHAnsi"/>
          <w:lang w:eastAsia="en-US"/>
        </w:rPr>
        <w:t>Service</w:t>
      </w:r>
      <w:proofErr w:type="spellEnd"/>
      <w:r w:rsidRPr="006F58A6">
        <w:rPr>
          <w:rFonts w:eastAsiaTheme="minorHAnsi"/>
          <w:lang w:eastAsia="en-US"/>
        </w:rPr>
        <w:t xml:space="preserve"> </w:t>
      </w:r>
      <w:proofErr w:type="spellStart"/>
      <w:r w:rsidRPr="006F58A6">
        <w:rPr>
          <w:rFonts w:eastAsiaTheme="minorHAnsi"/>
          <w:lang w:eastAsia="en-US"/>
        </w:rPr>
        <w:t>Desk</w:t>
      </w:r>
      <w:proofErr w:type="spellEnd"/>
      <w:r w:rsidRPr="006F58A6">
        <w:rPr>
          <w:rFonts w:eastAsiaTheme="minorHAnsi"/>
          <w:lang w:eastAsia="en-US"/>
        </w:rPr>
        <w:t>, telefon 267 053 182.</w:t>
      </w:r>
    </w:p>
    <w:p w:rsidRPr="006F58A6" w:rsidR="006F58A6" w:rsidP="006F58A6" w:rsidRDefault="006F58A6">
      <w:pPr>
        <w:keepNext/>
        <w:numPr>
          <w:ilvl w:val="0"/>
          <w:numId w:val="15"/>
        </w:numPr>
        <w:tabs>
          <w:tab w:val="num" w:pos="1080"/>
          <w:tab w:val="num" w:pos="3936"/>
        </w:tabs>
        <w:suppressAutoHyphens/>
        <w:spacing w:before="80"/>
        <w:ind w:left="1080" w:hanging="540"/>
        <w:jc w:val="both"/>
        <w:rPr>
          <w:rFonts w:eastAsiaTheme="minorHAnsi"/>
          <w:lang w:eastAsia="en-US"/>
        </w:rPr>
      </w:pPr>
      <w:r w:rsidRPr="006F58A6">
        <w:rPr>
          <w:rFonts w:eastAsiaTheme="minorHAnsi"/>
          <w:lang w:eastAsia="en-US"/>
        </w:rPr>
        <w:t>jakýkoliv jiný bezpečnostní incident oprávněné osobě Městské části Praha 5 uvedené v textu smlouvy.</w:t>
      </w:r>
    </w:p>
    <w:p w:rsidR="007E2AE4" w:rsidP="007E2AE4" w:rsidRDefault="007E2AE4">
      <w:pPr>
        <w:jc w:val="both"/>
      </w:pPr>
    </w:p>
    <w:sectPr w:rsidR="007E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B4930C7"/>
    <w:multiLevelType w:val="hybridMultilevel"/>
    <w:tmpl w:val="131C8BC4"/>
    <w:lvl w:ilvl="0" w:tplc="CD62B2AA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E531C4D"/>
    <w:multiLevelType w:val="hybridMultilevel"/>
    <w:tmpl w:val="D80CD9B6"/>
    <w:lvl w:ilvl="0" w:tplc="CD62B2AA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4BD1BC5"/>
    <w:multiLevelType w:val="hybridMultilevel"/>
    <w:tmpl w:val="C3E489F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C43593"/>
    <w:multiLevelType w:val="hybridMultilevel"/>
    <w:tmpl w:val="1F0C766C"/>
    <w:lvl w:ilvl="0" w:tplc="CD62B2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D62B2A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B14AA9"/>
    <w:multiLevelType w:val="hybridMultilevel"/>
    <w:tmpl w:val="068EAEE0"/>
    <w:lvl w:ilvl="0" w:tplc="7B529774">
      <w:start w:val="2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363A15FF"/>
    <w:multiLevelType w:val="hybridMultilevel"/>
    <w:tmpl w:val="EEB2A3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689D"/>
    <w:multiLevelType w:val="multilevel"/>
    <w:tmpl w:val="277E62A4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hint="default" w:ascii="Wingdings" w:hAnsi="Wingdings"/>
        <w:b w:val="false"/>
        <w:i w:val="false"/>
        <w:sz w:val="20"/>
      </w:rPr>
    </w:lvl>
    <w:lvl w:ilvl="1">
      <w:start w:val="1"/>
      <w:numFmt w:val="decimal"/>
      <w:lvlText w:val="%1.%2."/>
      <w:lvlJc w:val="left"/>
      <w:pPr>
        <w:tabs>
          <w:tab w:val="num" w:pos="3117"/>
        </w:tabs>
        <w:ind w:left="3117" w:hanging="850"/>
      </w:pPr>
      <w:rPr>
        <w:rFonts w:hint="default" w:ascii="Arial" w:hAnsi="Arial" w:cs="Times New Roman"/>
        <w:b w:val="false"/>
        <w:i w:val="false"/>
        <w:sz w:val="18"/>
      </w:rPr>
    </w:lvl>
    <w:lvl w:ilvl="2">
      <w:start w:val="1"/>
      <w:numFmt w:val="decimal"/>
      <w:lvlText w:val="%1.%2.%3."/>
      <w:lvlJc w:val="left"/>
      <w:pPr>
        <w:tabs>
          <w:tab w:val="num" w:pos="3968"/>
        </w:tabs>
        <w:ind w:left="3968" w:hanging="851"/>
      </w:pPr>
      <w:rPr>
        <w:rFonts w:hint="default" w:ascii="Arial" w:hAnsi="Arial" w:cs="Times New Roman"/>
        <w:b w:val="false"/>
        <w:i w:val="false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4818"/>
        </w:tabs>
        <w:ind w:left="4818" w:hanging="850"/>
      </w:pPr>
      <w:rPr>
        <w:rFonts w:hint="default" w:ascii="Arial" w:hAnsi="Arial" w:cs="Times New Roman"/>
        <w:b w:val="false"/>
        <w:i w:val="false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5669"/>
        </w:tabs>
        <w:ind w:left="5669" w:hanging="851"/>
      </w:pPr>
      <w:rPr>
        <w:rFonts w:hint="default" w:ascii="Arial" w:hAnsi="Arial" w:cs="Times New Roman"/>
        <w:b w:val="false"/>
        <w:i w:val="false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6749"/>
        </w:tabs>
        <w:ind w:left="6519" w:hanging="850"/>
      </w:p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</w:lvl>
  </w:abstractNum>
  <w:abstractNum w:abstractNumId="7">
    <w:nsid w:val="3EE7634C"/>
    <w:multiLevelType w:val="hybridMultilevel"/>
    <w:tmpl w:val="97A883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11060"/>
    <w:multiLevelType w:val="hybridMultilevel"/>
    <w:tmpl w:val="ED626228"/>
    <w:lvl w:ilvl="0" w:tplc="CA9664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482D72"/>
    <w:multiLevelType w:val="hybridMultilevel"/>
    <w:tmpl w:val="61D0E402"/>
    <w:lvl w:ilvl="0" w:tplc="90CAF8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541ED2"/>
    <w:multiLevelType w:val="hybridMultilevel"/>
    <w:tmpl w:val="4CB2B8BA"/>
    <w:lvl w:ilvl="0" w:tplc="7B529774">
      <w:start w:val="2"/>
      <w:numFmt w:val="bullet"/>
      <w:lvlText w:val="-"/>
      <w:lvlJc w:val="left"/>
      <w:pPr>
        <w:ind w:left="1788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abstractNum w:abstractNumId="11">
    <w:nsid w:val="719F286F"/>
    <w:multiLevelType w:val="hybridMultilevel"/>
    <w:tmpl w:val="CECE5E14"/>
    <w:lvl w:ilvl="0" w:tplc="E38E4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0F7403"/>
    <w:multiLevelType w:val="hybridMultilevel"/>
    <w:tmpl w:val="B51469F8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79707DE5"/>
    <w:multiLevelType w:val="hybridMultilevel"/>
    <w:tmpl w:val="06CE68D8"/>
    <w:lvl w:ilvl="0" w:tplc="52F29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6B7E39"/>
    <w:multiLevelType w:val="hybridMultilevel"/>
    <w:tmpl w:val="387AFE9A"/>
    <w:lvl w:ilvl="0" w:tplc="7B529774">
      <w:start w:val="2"/>
      <w:numFmt w:val="bullet"/>
      <w:lvlText w:val="-"/>
      <w:lvlJc w:val="left"/>
      <w:pPr>
        <w:ind w:left="1788" w:hanging="360"/>
      </w:pPr>
      <w:rPr>
        <w:rFonts w:hint="default" w:ascii="Times New Roman" w:hAnsi="Times New Roman" w:eastAsia="Times New Roman"/>
      </w:rPr>
    </w:lvl>
    <w:lvl w:ilvl="1" w:tplc="04050003" w:tentative="true">
      <w:start w:val="1"/>
      <w:numFmt w:val="bullet"/>
      <w:lvlText w:val="o"/>
      <w:lvlJc w:val="left"/>
      <w:pPr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4"/>
    <w:rsid w:val="00117C29"/>
    <w:rsid w:val="00402FC2"/>
    <w:rsid w:val="00497DD1"/>
    <w:rsid w:val="0057098C"/>
    <w:rsid w:val="005A417E"/>
    <w:rsid w:val="006F58A6"/>
    <w:rsid w:val="007E2AE4"/>
    <w:rsid w:val="00840924"/>
    <w:rsid w:val="00875F1D"/>
    <w:rsid w:val="00C62598"/>
    <w:rsid w:val="00C87EE4"/>
    <w:rsid w:val="00D81AEB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261C148-8E92-43E7-BA2B-2376D768245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E2AE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092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40924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999025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151712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58710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513</properties:Words>
  <properties:Characters>3029</properties:Characters>
  <properties:Lines>25</properties:Lines>
  <properties:Paragraphs>7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3535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2018-08-08T12:07:00Z</dcterms:created>
  <dc:creator/>
  <dc:description/>
  <cp:keywords/>
  <cp:lastModifiedBy/>
  <cp:lastPrinted>2018-08-08T12:02:00Z</cp:lastPrinted>
  <dcterms:modified xmlns:xsi="http://www.w3.org/2001/XMLSchema-instance" xsi:type="dcterms:W3CDTF">2018-08-27T08:41:00Z</dcterms:modified>
  <cp:revision>6</cp:revision>
  <dc:subject/>
  <dc:title/>
</cp:coreProperties>
</file>