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1D69D" w14:textId="77777777" w:rsidR="00985433" w:rsidRPr="003C2457" w:rsidRDefault="00985433" w:rsidP="00985433">
      <w:pPr>
        <w:rPr>
          <w:b/>
        </w:rPr>
      </w:pPr>
      <w:r w:rsidRPr="003C2457">
        <w:rPr>
          <w:b/>
        </w:rPr>
        <w:t>Podmínky použití podpory z Operačního programu Zaměstnanost (dále jen „Podmínky“)</w:t>
      </w:r>
    </w:p>
    <w:p w14:paraId="2BF23DBF" w14:textId="77777777" w:rsidR="0036710A" w:rsidRPr="00B62619" w:rsidRDefault="0036710A" w:rsidP="0036710A">
      <w:r w:rsidRPr="00B62619">
        <w:t>Na základě žádosti o podporu z Operačního programu Zaměstnanost (dále jen „OPZ“) jsou podmínky realizace projektu […]</w:t>
      </w:r>
      <w:r w:rsidRPr="00B62619">
        <w:rPr>
          <w:rStyle w:val="Znakapoznpodarou"/>
        </w:rPr>
        <w:footnoteReference w:id="1"/>
      </w:r>
      <w:r w:rsidRPr="00B62619">
        <w:t xml:space="preserve"> registrační číslo […], prioritní osa OPZ: […] (dále jen „projekt“) stanoveny takto:</w:t>
      </w:r>
    </w:p>
    <w:p w14:paraId="073791BF" w14:textId="77777777" w:rsidR="0036710A" w:rsidRPr="00B62619" w:rsidRDefault="0036710A" w:rsidP="0036710A"/>
    <w:p w14:paraId="79DEF931" w14:textId="77777777" w:rsidR="0036710A" w:rsidRPr="00B62619" w:rsidRDefault="0036710A" w:rsidP="0036710A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B62619">
        <w:rPr>
          <w:rFonts w:ascii="Arial" w:hAnsi="Arial" w:cs="Arial"/>
          <w:b/>
        </w:rPr>
        <w:t>Část I - Obecné vymezení</w:t>
      </w:r>
    </w:p>
    <w:p w14:paraId="7A0ABE77" w14:textId="77777777" w:rsidR="0036710A" w:rsidRPr="00B62619" w:rsidRDefault="0036710A" w:rsidP="0036710A">
      <w:pPr>
        <w:pStyle w:val="slovanseznam"/>
        <w:numPr>
          <w:ilvl w:val="0"/>
          <w:numId w:val="35"/>
        </w:numPr>
        <w:spacing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Specifikace útvaru odpovědného za roli příjemce podpory z OPZ (dále jen „příjemce“)</w:t>
      </w:r>
    </w:p>
    <w:p w14:paraId="0939CA34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/>
          <w:iCs/>
        </w:rPr>
      </w:pPr>
      <w:r w:rsidRPr="00B62619">
        <w:rPr>
          <w:rFonts w:ascii="Arial" w:hAnsi="Arial" w:cs="Arial"/>
        </w:rPr>
        <w:t>[</w:t>
      </w:r>
      <w:r w:rsidRPr="00B62619">
        <w:rPr>
          <w:rFonts w:ascii="Arial" w:hAnsi="Arial" w:cs="Arial"/>
          <w:i/>
          <w:iCs/>
        </w:rPr>
        <w:t>PO – název</w:t>
      </w:r>
      <w:r w:rsidRPr="00B62619">
        <w:rPr>
          <w:rFonts w:ascii="Arial" w:hAnsi="Arial" w:cs="Arial"/>
        </w:rPr>
        <w:t>]</w:t>
      </w:r>
    </w:p>
    <w:p w14:paraId="090EE0D2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/>
          <w:iCs/>
        </w:rPr>
      </w:pPr>
      <w:r w:rsidRPr="00B62619">
        <w:rPr>
          <w:rFonts w:ascii="Arial" w:hAnsi="Arial" w:cs="Arial"/>
        </w:rPr>
        <w:t>[</w:t>
      </w:r>
      <w:r w:rsidRPr="00B62619">
        <w:rPr>
          <w:rFonts w:ascii="Arial" w:hAnsi="Arial" w:cs="Arial"/>
          <w:i/>
          <w:iCs/>
        </w:rPr>
        <w:t>PO – adresa sídla</w:t>
      </w:r>
      <w:r w:rsidRPr="00B62619">
        <w:rPr>
          <w:rFonts w:ascii="Arial" w:hAnsi="Arial" w:cs="Arial"/>
        </w:rPr>
        <w:t>]</w:t>
      </w:r>
    </w:p>
    <w:p w14:paraId="1AD3870C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20"/>
        <w:rPr>
          <w:rFonts w:ascii="Arial" w:hAnsi="Arial" w:cs="Arial"/>
        </w:rPr>
      </w:pPr>
      <w:r w:rsidRPr="00B62619">
        <w:rPr>
          <w:rFonts w:ascii="Arial" w:hAnsi="Arial" w:cs="Arial"/>
        </w:rPr>
        <w:t>Jejímž/Jehož jménem jedná:</w:t>
      </w:r>
      <w:r w:rsidRPr="00B62619">
        <w:t xml:space="preserve"> </w:t>
      </w:r>
      <w:r w:rsidRPr="00B62619">
        <w:rPr>
          <w:rFonts w:ascii="Arial" w:hAnsi="Arial" w:cs="Arial"/>
        </w:rPr>
        <w:t xml:space="preserve">[…] </w:t>
      </w:r>
    </w:p>
    <w:p w14:paraId="3FF09806" w14:textId="77777777" w:rsidR="0036710A" w:rsidRPr="00B62619" w:rsidRDefault="0036710A" w:rsidP="0036710A">
      <w:pPr>
        <w:pStyle w:val="slovanseznam"/>
        <w:numPr>
          <w:ilvl w:val="0"/>
          <w:numId w:val="35"/>
        </w:numPr>
        <w:spacing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Výše prostředků na realizaci projektu</w:t>
      </w:r>
    </w:p>
    <w:p w14:paraId="0C04EEA8" w14:textId="77777777" w:rsidR="0036710A" w:rsidRPr="00B62619" w:rsidRDefault="0036710A" w:rsidP="0036710A">
      <w:pPr>
        <w:pStyle w:val="slovanseznam"/>
        <w:numPr>
          <w:ilvl w:val="1"/>
          <w:numId w:val="43"/>
        </w:numPr>
        <w:spacing w:after="240"/>
        <w:rPr>
          <w:sz w:val="22"/>
          <w:szCs w:val="22"/>
        </w:rPr>
      </w:pPr>
      <w:r w:rsidRPr="00B62619">
        <w:rPr>
          <w:sz w:val="22"/>
          <w:szCs w:val="22"/>
        </w:rPr>
        <w:t>Maximální výše prostředků a členění zdrojů: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124"/>
        <w:gridCol w:w="2268"/>
      </w:tblGrid>
      <w:tr w:rsidR="0036710A" w:rsidRPr="00B62619" w14:paraId="2290927B" w14:textId="77777777" w:rsidTr="00945A28">
        <w:trPr>
          <w:tblHeader/>
        </w:trPr>
        <w:tc>
          <w:tcPr>
            <w:tcW w:w="4680" w:type="dxa"/>
            <w:vAlign w:val="center"/>
          </w:tcPr>
          <w:p w14:paraId="344459A8" w14:textId="77777777" w:rsidR="0036710A" w:rsidRPr="00B62619" w:rsidRDefault="0036710A" w:rsidP="00945A28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Finanční rámec projektu</w:t>
            </w:r>
          </w:p>
        </w:tc>
        <w:tc>
          <w:tcPr>
            <w:tcW w:w="2124" w:type="dxa"/>
            <w:vAlign w:val="center"/>
          </w:tcPr>
          <w:p w14:paraId="3D304578" w14:textId="77777777" w:rsidR="0036710A" w:rsidRPr="00B62619" w:rsidRDefault="0036710A" w:rsidP="00945A28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Částka</w:t>
            </w:r>
          </w:p>
          <w:p w14:paraId="7FE5D259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rPr>
                <w:b/>
                <w:snapToGrid w:val="0"/>
              </w:rPr>
              <w:t>(v Kč)</w:t>
            </w:r>
          </w:p>
        </w:tc>
        <w:tc>
          <w:tcPr>
            <w:tcW w:w="2268" w:type="dxa"/>
            <w:vAlign w:val="center"/>
          </w:tcPr>
          <w:p w14:paraId="2EC3A4A8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rPr>
                <w:b/>
                <w:snapToGrid w:val="0"/>
              </w:rPr>
              <w:t>Podíl na celkovém rozpočtu očištěném o příjmy (v %)</w:t>
            </w:r>
          </w:p>
        </w:tc>
      </w:tr>
      <w:tr w:rsidR="0036710A" w:rsidRPr="00B62619" w14:paraId="53B43E6E" w14:textId="77777777" w:rsidTr="00945A28">
        <w:tc>
          <w:tcPr>
            <w:tcW w:w="4680" w:type="dxa"/>
            <w:vAlign w:val="center"/>
          </w:tcPr>
          <w:p w14:paraId="1F503D2C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rPr>
                <w:snapToGrid w:val="0"/>
              </w:rPr>
              <w:t>Celkové způsobilé náklady</w:t>
            </w:r>
          </w:p>
        </w:tc>
        <w:tc>
          <w:tcPr>
            <w:tcW w:w="2124" w:type="dxa"/>
            <w:vAlign w:val="center"/>
          </w:tcPr>
          <w:p w14:paraId="64477535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[...]</w:t>
            </w:r>
          </w:p>
        </w:tc>
        <w:tc>
          <w:tcPr>
            <w:tcW w:w="2268" w:type="dxa"/>
            <w:vAlign w:val="center"/>
          </w:tcPr>
          <w:p w14:paraId="2468633F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-</w:t>
            </w:r>
          </w:p>
        </w:tc>
      </w:tr>
      <w:tr w:rsidR="0036710A" w:rsidRPr="00B62619" w14:paraId="5D8AC950" w14:textId="77777777" w:rsidTr="00945A28">
        <w:tc>
          <w:tcPr>
            <w:tcW w:w="4680" w:type="dxa"/>
            <w:vAlign w:val="center"/>
          </w:tcPr>
          <w:p w14:paraId="44CBD3EF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rPr>
                <w:rFonts w:ascii="Arial" w:hAnsi="Arial" w:cs="Arial"/>
                <w:snapToGrid w:val="0"/>
                <w:szCs w:val="24"/>
              </w:rPr>
              <w:t>Příjmy projektu připadající na způsobilé výdaje</w:t>
            </w:r>
          </w:p>
        </w:tc>
        <w:tc>
          <w:tcPr>
            <w:tcW w:w="2124" w:type="dxa"/>
            <w:vAlign w:val="center"/>
          </w:tcPr>
          <w:p w14:paraId="5A8E46B9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1F3C0B50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-</w:t>
            </w:r>
          </w:p>
        </w:tc>
      </w:tr>
      <w:tr w:rsidR="0036710A" w:rsidRPr="00B62619" w14:paraId="598F8B4C" w14:textId="77777777" w:rsidTr="00945A28">
        <w:tc>
          <w:tcPr>
            <w:tcW w:w="4680" w:type="dxa"/>
            <w:vAlign w:val="center"/>
          </w:tcPr>
          <w:p w14:paraId="3059E651" w14:textId="77777777" w:rsidR="0036710A" w:rsidRPr="00B62619" w:rsidRDefault="0036710A" w:rsidP="00945A28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62619">
              <w:rPr>
                <w:rFonts w:ascii="Arial" w:hAnsi="Arial" w:cs="Arial"/>
                <w:snapToGrid w:val="0"/>
                <w:szCs w:val="24"/>
              </w:rPr>
              <w:t>Celkové způsobilé náklady očištěné o příjmy připadající na způsobilé výdaje</w:t>
            </w:r>
          </w:p>
        </w:tc>
        <w:tc>
          <w:tcPr>
            <w:tcW w:w="2124" w:type="dxa"/>
            <w:vAlign w:val="center"/>
          </w:tcPr>
          <w:p w14:paraId="03E58C9E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18503F0D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100 %</w:t>
            </w:r>
          </w:p>
        </w:tc>
      </w:tr>
      <w:tr w:rsidR="0036710A" w:rsidRPr="00B62619" w14:paraId="303D97FE" w14:textId="77777777" w:rsidTr="00945A28">
        <w:tc>
          <w:tcPr>
            <w:tcW w:w="4680" w:type="dxa"/>
            <w:vAlign w:val="center"/>
          </w:tcPr>
          <w:p w14:paraId="72DFB793" w14:textId="77777777" w:rsidR="0036710A" w:rsidRPr="00B62619" w:rsidRDefault="0036710A" w:rsidP="0036710A">
            <w:pPr>
              <w:pStyle w:val="Tabulkatext"/>
              <w:numPr>
                <w:ilvl w:val="0"/>
                <w:numId w:val="56"/>
              </w:numPr>
              <w:spacing w:before="0" w:after="0"/>
            </w:pPr>
            <w:r w:rsidRPr="00B62619">
              <w:rPr>
                <w:bCs/>
                <w:snapToGrid w:val="0"/>
              </w:rPr>
              <w:t>z toho z Evropského sociálního fondu, tj. z prostředků ze státního rozpočtu na předfinancování výdajů, které mají být kryty prostředky z Národního fondu (§ 44 odst. 2 písm. e) rozpočtových pravidel);</w:t>
            </w:r>
            <w:r w:rsidRPr="00B62619">
              <w:t xml:space="preserve">  </w:t>
            </w:r>
          </w:p>
          <w:p w14:paraId="0B9281DC" w14:textId="77777777" w:rsidR="0036710A" w:rsidRPr="00B62619" w:rsidRDefault="0036710A" w:rsidP="0036710A">
            <w:pPr>
              <w:pStyle w:val="Tabulkatext"/>
              <w:numPr>
                <w:ilvl w:val="0"/>
                <w:numId w:val="56"/>
              </w:numPr>
              <w:spacing w:before="0" w:after="0"/>
            </w:pPr>
            <w:r w:rsidRPr="00B62619">
              <w:rPr>
                <w:bCs/>
                <w:snapToGrid w:val="0"/>
              </w:rPr>
              <w:t>z toho z Iniciativy na podporu zaměstnanosti mladých lidí, tj. z prostředků ze státního rozpočtu na předfinancování výdajů, které mají být kryty prostředky z Národního fondu (§ 44 odst. 2 písm. e) rozpočtových pravidel);</w:t>
            </w:r>
            <w:r w:rsidRPr="00B62619">
              <w:t xml:space="preserve">  </w:t>
            </w:r>
          </w:p>
        </w:tc>
        <w:tc>
          <w:tcPr>
            <w:tcW w:w="2124" w:type="dxa"/>
            <w:vAlign w:val="center"/>
          </w:tcPr>
          <w:p w14:paraId="0E8C875A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  <w:p w14:paraId="4031448A" w14:textId="77777777" w:rsidR="0036710A" w:rsidRPr="00B62619" w:rsidRDefault="0036710A" w:rsidP="00945A28">
            <w:pPr>
              <w:pStyle w:val="Tabulkatext"/>
              <w:spacing w:before="0" w:after="0"/>
            </w:pPr>
          </w:p>
          <w:p w14:paraId="3D1F287E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6F6132C0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  <w:p w14:paraId="7EE4ECCD" w14:textId="77777777" w:rsidR="0036710A" w:rsidRPr="00B62619" w:rsidRDefault="0036710A" w:rsidP="00945A28">
            <w:pPr>
              <w:pStyle w:val="Tabulkatext"/>
              <w:spacing w:before="0" w:after="0"/>
            </w:pPr>
          </w:p>
          <w:p w14:paraId="2F5D7AD2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</w:tr>
      <w:tr w:rsidR="0036710A" w:rsidRPr="00B62619" w14:paraId="4A884ADD" w14:textId="77777777" w:rsidTr="00945A28">
        <w:tc>
          <w:tcPr>
            <w:tcW w:w="4680" w:type="dxa"/>
            <w:vAlign w:val="center"/>
          </w:tcPr>
          <w:p w14:paraId="45FCAC9C" w14:textId="77777777" w:rsidR="0036710A" w:rsidRPr="00B62619" w:rsidRDefault="0036710A" w:rsidP="0036710A">
            <w:pPr>
              <w:pStyle w:val="Tabulkatext"/>
              <w:numPr>
                <w:ilvl w:val="0"/>
                <w:numId w:val="56"/>
              </w:numPr>
              <w:spacing w:before="0" w:after="0"/>
              <w:rPr>
                <w:bCs/>
                <w:snapToGrid w:val="0"/>
              </w:rPr>
            </w:pPr>
            <w:r w:rsidRPr="00B62619">
              <w:rPr>
                <w:bCs/>
                <w:snapToGrid w:val="0"/>
              </w:rPr>
              <w:t xml:space="preserve">z toho státní rozpočet, tj. prostředky státního rozpočtu na část národního spolufinancování (§ 44 odst. 2 písm. i) rozpočtových pravidel).   </w:t>
            </w:r>
          </w:p>
        </w:tc>
        <w:tc>
          <w:tcPr>
            <w:tcW w:w="2124" w:type="dxa"/>
            <w:vAlign w:val="center"/>
          </w:tcPr>
          <w:p w14:paraId="0976C580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2C837766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</w:tr>
      <w:tr w:rsidR="0036710A" w:rsidRPr="00B62619" w14:paraId="6AFA69ED" w14:textId="77777777" w:rsidTr="00945A28">
        <w:tc>
          <w:tcPr>
            <w:tcW w:w="4680" w:type="dxa"/>
            <w:vAlign w:val="center"/>
          </w:tcPr>
          <w:p w14:paraId="69ACCCB6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rPr>
                <w:snapToGrid w:val="0"/>
              </w:rPr>
              <w:t>Rozdělení investičních a neinvestičních prostředků v rámci maximální částky podpory</w:t>
            </w:r>
          </w:p>
        </w:tc>
        <w:tc>
          <w:tcPr>
            <w:tcW w:w="2124" w:type="dxa"/>
            <w:vAlign w:val="center"/>
          </w:tcPr>
          <w:p w14:paraId="25364673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2E396592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</w:tr>
      <w:tr w:rsidR="0036710A" w:rsidRPr="00B62619" w14:paraId="107808CC" w14:textId="77777777" w:rsidTr="00945A28">
        <w:tc>
          <w:tcPr>
            <w:tcW w:w="4680" w:type="dxa"/>
            <w:vAlign w:val="center"/>
          </w:tcPr>
          <w:p w14:paraId="23BEABC6" w14:textId="77777777" w:rsidR="0036710A" w:rsidRPr="00B62619" w:rsidRDefault="0036710A" w:rsidP="0036710A">
            <w:pPr>
              <w:pStyle w:val="Tabulkatext"/>
              <w:numPr>
                <w:ilvl w:val="0"/>
                <w:numId w:val="57"/>
              </w:numPr>
              <w:spacing w:before="0" w:after="0"/>
            </w:pPr>
            <w:r w:rsidRPr="00B62619">
              <w:rPr>
                <w:bCs/>
                <w:snapToGrid w:val="0"/>
              </w:rPr>
              <w:t>neinvestiční prostředky</w:t>
            </w:r>
          </w:p>
        </w:tc>
        <w:tc>
          <w:tcPr>
            <w:tcW w:w="2124" w:type="dxa"/>
            <w:vAlign w:val="center"/>
          </w:tcPr>
          <w:p w14:paraId="64D09C60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320BF9B9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-</w:t>
            </w:r>
          </w:p>
        </w:tc>
      </w:tr>
      <w:tr w:rsidR="0036710A" w:rsidRPr="00B62619" w14:paraId="47581E56" w14:textId="77777777" w:rsidTr="00945A28">
        <w:trPr>
          <w:trHeight w:val="70"/>
        </w:trPr>
        <w:tc>
          <w:tcPr>
            <w:tcW w:w="4680" w:type="dxa"/>
            <w:vAlign w:val="center"/>
          </w:tcPr>
          <w:p w14:paraId="67F644BC" w14:textId="77777777" w:rsidR="0036710A" w:rsidRPr="00B62619" w:rsidRDefault="0036710A" w:rsidP="0036710A">
            <w:pPr>
              <w:pStyle w:val="Tabulkatext"/>
              <w:numPr>
                <w:ilvl w:val="0"/>
                <w:numId w:val="57"/>
              </w:numPr>
              <w:spacing w:before="0" w:after="0"/>
              <w:rPr>
                <w:bCs/>
                <w:snapToGrid w:val="0"/>
              </w:rPr>
            </w:pPr>
            <w:r w:rsidRPr="00B62619">
              <w:rPr>
                <w:bCs/>
                <w:snapToGrid w:val="0"/>
              </w:rPr>
              <w:t>investiční prostředky</w:t>
            </w:r>
          </w:p>
        </w:tc>
        <w:tc>
          <w:tcPr>
            <w:tcW w:w="2124" w:type="dxa"/>
            <w:vAlign w:val="center"/>
          </w:tcPr>
          <w:p w14:paraId="6DB7DD33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2268" w:type="dxa"/>
            <w:vAlign w:val="center"/>
          </w:tcPr>
          <w:p w14:paraId="41ADE5DD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-</w:t>
            </w:r>
          </w:p>
        </w:tc>
      </w:tr>
    </w:tbl>
    <w:p w14:paraId="1A9094EC" w14:textId="77777777" w:rsidR="0036710A" w:rsidRPr="00B62619" w:rsidRDefault="0036710A" w:rsidP="0036710A">
      <w:pPr>
        <w:pStyle w:val="slovanseznam"/>
        <w:keepNext/>
        <w:rPr>
          <w:i/>
          <w:sz w:val="22"/>
          <w:szCs w:val="22"/>
        </w:rPr>
      </w:pPr>
      <w:r w:rsidRPr="00B62619">
        <w:rPr>
          <w:i/>
          <w:sz w:val="22"/>
          <w:szCs w:val="22"/>
        </w:rPr>
        <w:t>/ Alternativa pro projekty s pro-</w:t>
      </w:r>
      <w:proofErr w:type="spellStart"/>
      <w:r w:rsidRPr="00B62619">
        <w:rPr>
          <w:i/>
          <w:sz w:val="22"/>
          <w:szCs w:val="22"/>
        </w:rPr>
        <w:t>rata</w:t>
      </w:r>
      <w:proofErr w:type="spellEnd"/>
      <w:r w:rsidRPr="00B62619">
        <w:rPr>
          <w:i/>
          <w:sz w:val="22"/>
          <w:szCs w:val="22"/>
        </w:rPr>
        <w:t>:</w:t>
      </w:r>
    </w:p>
    <w:p w14:paraId="37ADE6BF" w14:textId="77777777" w:rsidR="0036710A" w:rsidRPr="00B62619" w:rsidRDefault="0036710A" w:rsidP="0036710A">
      <w:pPr>
        <w:pStyle w:val="slovanseznam"/>
        <w:keepNext/>
        <w:tabs>
          <w:tab w:val="num" w:pos="720"/>
        </w:tabs>
        <w:spacing w:after="60"/>
        <w:ind w:left="425"/>
        <w:rPr>
          <w:sz w:val="22"/>
          <w:szCs w:val="22"/>
        </w:rPr>
      </w:pPr>
      <w:r w:rsidRPr="00B62619">
        <w:rPr>
          <w:sz w:val="22"/>
          <w:szCs w:val="22"/>
        </w:rPr>
        <w:t xml:space="preserve">Podpora zahrnuje prostředky Evropského sociálního fondu, tj.  prostředky ze státního rozpočtu na předfinancování výdajů, které mají být kryty prostředky z Národního fondu (§ 44 odst. 2 písm. e) rozpočtových pravidel), dále tento zdroj jen „ESF“, a prostředky státního rozpočtu (§ 44 odst. 2 písm. i) rozpočtových pravidel), dále tento zdroj jen „SR“. Protože projekt má dopad na celé území ČR, vyčíslení celkového zapojení ESF a SR na financování projektu vychází z dvou odlišných sad poměrů financování (pro více a pro </w:t>
      </w:r>
      <w:r w:rsidRPr="00B62619">
        <w:rPr>
          <w:sz w:val="22"/>
          <w:szCs w:val="22"/>
        </w:rPr>
        <w:lastRenderedPageBreak/>
        <w:t>méně rozvinuté regiony) a jednotného procenta vyjadřujícího rozpad mezi více a méně rozvinuté regiony stanoveného pro danou část OPZ.</w:t>
      </w:r>
      <w:r w:rsidRPr="00B62619">
        <w:rPr>
          <w:rStyle w:val="Znakapoznpodarou"/>
          <w:rFonts w:eastAsiaTheme="majorEastAsia"/>
          <w:sz w:val="22"/>
          <w:szCs w:val="22"/>
        </w:rPr>
        <w:footnoteReference w:id="2"/>
      </w:r>
      <w:r w:rsidRPr="00B62619">
        <w:rPr>
          <w:sz w:val="22"/>
          <w:szCs w:val="22"/>
        </w:rPr>
        <w:t xml:space="preserve"> Maximální výše prostředků a členění zdrojů: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2125"/>
        <w:gridCol w:w="2269"/>
      </w:tblGrid>
      <w:tr w:rsidR="0036710A" w:rsidRPr="00B62619" w14:paraId="600B281B" w14:textId="77777777" w:rsidTr="00945A28">
        <w:trPr>
          <w:tblHeader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C07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Finanční rámec projektu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9CB0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Částka</w:t>
            </w:r>
          </w:p>
          <w:p w14:paraId="0267E51B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(v Kč)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620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Podíl na celkovém rozpočtu očištěném o příjmy</w:t>
            </w:r>
            <w:r w:rsidRPr="00B62619">
              <w:rPr>
                <w:rStyle w:val="Znakapoznpodarou"/>
                <w:b/>
                <w:snapToGrid w:val="0"/>
              </w:rPr>
              <w:footnoteReference w:id="3"/>
            </w:r>
            <w:r w:rsidRPr="00B62619">
              <w:rPr>
                <w:b/>
                <w:snapToGrid w:val="0"/>
              </w:rPr>
              <w:t xml:space="preserve"> (v %)</w:t>
            </w:r>
          </w:p>
        </w:tc>
      </w:tr>
      <w:tr w:rsidR="0036710A" w:rsidRPr="00B62619" w14:paraId="67D69589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75AB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Celkové způsobilé náklady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D23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7483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-</w:t>
            </w:r>
          </w:p>
        </w:tc>
      </w:tr>
      <w:tr w:rsidR="0036710A" w:rsidRPr="00B62619" w14:paraId="4A82ACCB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A1B5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Příjmy projektu připadající na způsobilé výdaje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56AD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EDFB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-</w:t>
            </w:r>
          </w:p>
        </w:tc>
      </w:tr>
      <w:tr w:rsidR="0036710A" w:rsidRPr="00B62619" w14:paraId="01E15B4B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632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Celkové způsobilé náklady očištěné o příjmy připadající na způsobilé výdaje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59A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0995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</w:rPr>
            </w:pPr>
          </w:p>
        </w:tc>
      </w:tr>
      <w:tr w:rsidR="0036710A" w:rsidRPr="00B62619" w14:paraId="4E8D92DC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0EA2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rFonts w:ascii="Arial" w:hAnsi="Arial" w:cs="Arial"/>
                <w:snapToGrid w:val="0"/>
                <w:szCs w:val="24"/>
              </w:rPr>
            </w:pPr>
            <w:r w:rsidRPr="00B62619">
              <w:rPr>
                <w:rFonts w:ascii="Arial" w:hAnsi="Arial" w:cs="Arial"/>
                <w:snapToGrid w:val="0"/>
                <w:szCs w:val="24"/>
              </w:rPr>
              <w:t>Částka připadající na méně rozvinuté regiony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425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515F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  <w:tr w:rsidR="0036710A" w:rsidRPr="00B62619" w14:paraId="1603E68F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EA99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z toho ESF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FE7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655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  <w:vertAlign w:val="superscript"/>
              </w:rPr>
              <w:footnoteReference w:id="4"/>
            </w:r>
          </w:p>
        </w:tc>
      </w:tr>
      <w:tr w:rsidR="0036710A" w:rsidRPr="00B62619" w14:paraId="7F46202C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C0F6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z toho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5C02" w14:textId="77777777" w:rsidR="0036710A" w:rsidRPr="00B62619" w:rsidRDefault="0036710A" w:rsidP="00945A28">
            <w:pPr>
              <w:pStyle w:val="Tabulkatext"/>
              <w:spacing w:before="0" w:after="0" w:line="276" w:lineRule="auto"/>
              <w:ind w:left="0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CDF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  <w:vertAlign w:val="superscript"/>
              </w:rPr>
              <w:footnoteReference w:id="5"/>
            </w:r>
          </w:p>
        </w:tc>
      </w:tr>
      <w:tr w:rsidR="0036710A" w:rsidRPr="00B62619" w14:paraId="6AABAE3E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E08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rFonts w:ascii="Arial" w:hAnsi="Arial" w:cs="Arial"/>
                <w:snapToGrid w:val="0"/>
                <w:szCs w:val="24"/>
              </w:rPr>
            </w:pPr>
            <w:r w:rsidRPr="00B62619">
              <w:rPr>
                <w:rFonts w:ascii="Arial" w:hAnsi="Arial" w:cs="Arial"/>
                <w:snapToGrid w:val="0"/>
                <w:szCs w:val="24"/>
              </w:rPr>
              <w:t>Částka připadající na více rozvinuté regiony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118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3DE7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  <w:tr w:rsidR="0036710A" w:rsidRPr="00B62619" w14:paraId="16780981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6CDE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z toho ESF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384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53E3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</w:pPr>
            <w:r w:rsidRPr="00B62619">
              <w:rPr>
                <w:rStyle w:val="Znakapoznpodarou"/>
              </w:rPr>
              <w:footnoteReference w:id="6"/>
            </w:r>
          </w:p>
        </w:tc>
      </w:tr>
      <w:tr w:rsidR="0036710A" w:rsidRPr="00B62619" w14:paraId="5662220A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4BC5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</w:rPr>
            </w:pPr>
            <w:r w:rsidRPr="00B62619">
              <w:rPr>
                <w:snapToGrid w:val="0"/>
              </w:rPr>
              <w:t>z toho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6FF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D17A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</w:pPr>
            <w:r w:rsidRPr="00B62619">
              <w:rPr>
                <w:snapToGrid w:val="0"/>
                <w:vertAlign w:val="superscript"/>
              </w:rPr>
              <w:footnoteReference w:id="7"/>
            </w:r>
          </w:p>
        </w:tc>
      </w:tr>
      <w:tr w:rsidR="0036710A" w:rsidRPr="00B62619" w14:paraId="72702F28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C8FB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rFonts w:ascii="Arial" w:hAnsi="Arial" w:cs="Arial"/>
                <w:snapToGrid w:val="0"/>
                <w:szCs w:val="24"/>
              </w:rPr>
            </w:pPr>
            <w:r w:rsidRPr="00B62619">
              <w:rPr>
                <w:rFonts w:ascii="Arial" w:hAnsi="Arial" w:cs="Arial"/>
                <w:snapToGrid w:val="0"/>
                <w:szCs w:val="24"/>
              </w:rPr>
              <w:t>Celkem ESF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583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827F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  <w:tr w:rsidR="0036710A" w:rsidRPr="00B62619" w14:paraId="12C0EE32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F662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rFonts w:ascii="Arial" w:hAnsi="Arial" w:cs="Arial"/>
                <w:snapToGrid w:val="0"/>
                <w:szCs w:val="24"/>
              </w:rPr>
            </w:pPr>
            <w:r w:rsidRPr="00B62619">
              <w:rPr>
                <w:rFonts w:ascii="Arial" w:hAnsi="Arial" w:cs="Arial"/>
                <w:snapToGrid w:val="0"/>
                <w:szCs w:val="24"/>
              </w:rPr>
              <w:t>Celkem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FA52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0B22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  <w:tr w:rsidR="0036710A" w:rsidRPr="00B62619" w14:paraId="5E6247F1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BBA6" w14:textId="77777777" w:rsidR="0036710A" w:rsidRPr="00B62619" w:rsidRDefault="0036710A" w:rsidP="00945A28">
            <w:pPr>
              <w:pStyle w:val="Tabulkatext"/>
              <w:spacing w:before="0" w:after="0" w:line="276" w:lineRule="auto"/>
              <w:rPr>
                <w:snapToGrid w:val="0"/>
                <w:szCs w:val="24"/>
              </w:rPr>
            </w:pPr>
            <w:r w:rsidRPr="00B62619">
              <w:rPr>
                <w:snapToGrid w:val="0"/>
                <w:szCs w:val="24"/>
              </w:rPr>
              <w:t>Rozdělení investičních a neinvestičních prostředků v rámci maximální částky podpory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DB9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B173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  <w:tr w:rsidR="0036710A" w:rsidRPr="00B62619" w14:paraId="7F6BC432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C71B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  <w:szCs w:val="24"/>
              </w:rPr>
            </w:pPr>
            <w:r w:rsidRPr="00B62619">
              <w:rPr>
                <w:snapToGrid w:val="0"/>
                <w:szCs w:val="24"/>
              </w:rPr>
              <w:t>neinvestiční prostředky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FDA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1094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  <w:tr w:rsidR="0036710A" w:rsidRPr="00B62619" w14:paraId="0D8B3691" w14:textId="77777777" w:rsidTr="00945A2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A879" w14:textId="77777777" w:rsidR="0036710A" w:rsidRPr="00B62619" w:rsidRDefault="0036710A" w:rsidP="0036710A">
            <w:pPr>
              <w:pStyle w:val="Tabulkatext"/>
              <w:numPr>
                <w:ilvl w:val="0"/>
                <w:numId w:val="55"/>
              </w:numPr>
              <w:spacing w:before="0" w:after="0" w:line="276" w:lineRule="auto"/>
              <w:rPr>
                <w:snapToGrid w:val="0"/>
                <w:szCs w:val="24"/>
              </w:rPr>
            </w:pPr>
            <w:r w:rsidRPr="00B62619">
              <w:rPr>
                <w:snapToGrid w:val="0"/>
                <w:szCs w:val="24"/>
              </w:rPr>
              <w:t>investiční prostředky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2F7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44FC" w14:textId="77777777" w:rsidR="0036710A" w:rsidRPr="00B62619" w:rsidRDefault="0036710A" w:rsidP="00945A28">
            <w:pPr>
              <w:pStyle w:val="Tabulkatext"/>
              <w:spacing w:before="0" w:after="0" w:line="276" w:lineRule="auto"/>
            </w:pPr>
          </w:p>
        </w:tc>
      </w:tr>
    </w:tbl>
    <w:p w14:paraId="30B902F0" w14:textId="77777777" w:rsidR="0036710A" w:rsidRPr="00B62619" w:rsidRDefault="0036710A" w:rsidP="0036710A">
      <w:pPr>
        <w:spacing w:before="60"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B62619">
        <w:rPr>
          <w:rFonts w:ascii="Arial" w:hAnsi="Arial" w:cs="Arial"/>
        </w:rPr>
        <w:t>Rozpady celkových způsobilých výdajů projektu očištěných o příjmy na ESF a SR zajišťuje MS2014+ s využitím dvou výše uvedených sad poměrů financování, příjemce ovšem není povinen provádět rozpad touto vícefázovou cestou.</w:t>
      </w:r>
    </w:p>
    <w:p w14:paraId="44B275BF" w14:textId="77777777" w:rsidR="0036710A" w:rsidRPr="00B62619" w:rsidRDefault="0036710A" w:rsidP="0036710A">
      <w:pPr>
        <w:pStyle w:val="slovanseznam"/>
        <w:numPr>
          <w:ilvl w:val="1"/>
          <w:numId w:val="43"/>
        </w:numPr>
        <w:spacing w:before="120" w:after="60"/>
        <w:ind w:left="425" w:hanging="425"/>
        <w:rPr>
          <w:sz w:val="22"/>
          <w:szCs w:val="22"/>
        </w:rPr>
      </w:pPr>
      <w:r w:rsidRPr="00B62619">
        <w:rPr>
          <w:sz w:val="22"/>
          <w:szCs w:val="22"/>
        </w:rPr>
        <w:t xml:space="preserve">Podpora je poskytována na způsobilé výdaje projektu, které nejsou či nebudou kryty z příjmů projektu připadajících na způsobilé výdaje. </w:t>
      </w:r>
    </w:p>
    <w:p w14:paraId="0D5C01F2" w14:textId="77777777" w:rsidR="0036710A" w:rsidRPr="00B62619" w:rsidRDefault="0036710A" w:rsidP="0036710A">
      <w:pPr>
        <w:pStyle w:val="slovanseznam"/>
        <w:numPr>
          <w:ilvl w:val="1"/>
          <w:numId w:val="43"/>
        </w:numPr>
        <w:spacing w:after="60"/>
        <w:ind w:left="425" w:hanging="425"/>
        <w:rPr>
          <w:sz w:val="22"/>
          <w:szCs w:val="22"/>
        </w:rPr>
      </w:pPr>
      <w:r w:rsidRPr="00B62619">
        <w:rPr>
          <w:sz w:val="22"/>
          <w:szCs w:val="22"/>
        </w:rPr>
        <w:t>Pro zapojení zdrojů financování dle výše uvedené tabulky jsou rozhodující hodnoty podílů vyjádřené v procentech. Vyjádření v Kč je jako závazné a maximálně možné stanoveno pouze pro zdroj „Evropský sociální fond“, pro další zdroj se jedná o vyjádření pouze orientační.</w:t>
      </w:r>
    </w:p>
    <w:p w14:paraId="1DC3676D" w14:textId="77777777" w:rsidR="0036710A" w:rsidRPr="00B62619" w:rsidRDefault="0036710A" w:rsidP="0036710A">
      <w:pPr>
        <w:pStyle w:val="slovanseznam"/>
        <w:numPr>
          <w:ilvl w:val="1"/>
          <w:numId w:val="43"/>
        </w:numPr>
        <w:spacing w:after="60"/>
        <w:ind w:left="425" w:hanging="425"/>
        <w:rPr>
          <w:sz w:val="22"/>
          <w:szCs w:val="22"/>
        </w:rPr>
      </w:pPr>
      <w:r w:rsidRPr="00B62619">
        <w:rPr>
          <w:sz w:val="22"/>
          <w:szCs w:val="22"/>
        </w:rPr>
        <w:t xml:space="preserve">Skutečná výše podpory, která bude příjemci poskytnuta, bude určena na základě skutečně vzniklých, odůvodněných a řádně prokázaných způsobilých výdajů. Výše podpory bude v souladu s Pravidly OPZ a právními předpisy ČR a EU snížena o ty příjmy, které projekt vytvoří v průběhu své realizace, které převýší částku příjmů projektu uvedenou v bodě 2.1 této části Podmínek. </w:t>
      </w:r>
    </w:p>
    <w:p w14:paraId="6C637126" w14:textId="77777777" w:rsidR="0036710A" w:rsidRPr="00B62619" w:rsidRDefault="0036710A" w:rsidP="0036710A">
      <w:pPr>
        <w:pStyle w:val="slovanseznam"/>
        <w:numPr>
          <w:ilvl w:val="1"/>
          <w:numId w:val="43"/>
        </w:numPr>
        <w:spacing w:after="240"/>
        <w:ind w:left="425" w:hanging="425"/>
        <w:rPr>
          <w:sz w:val="22"/>
          <w:szCs w:val="22"/>
        </w:rPr>
      </w:pPr>
      <w:r w:rsidRPr="00B62619">
        <w:rPr>
          <w:sz w:val="22"/>
          <w:szCs w:val="22"/>
        </w:rPr>
        <w:t>Režim financování projektu: ex-post.</w:t>
      </w:r>
    </w:p>
    <w:p w14:paraId="3DF8B39E" w14:textId="77777777" w:rsidR="0036710A" w:rsidRPr="00B62619" w:rsidRDefault="0036710A" w:rsidP="0036710A">
      <w:pPr>
        <w:pStyle w:val="slovanseznam"/>
        <w:numPr>
          <w:ilvl w:val="0"/>
          <w:numId w:val="35"/>
        </w:numPr>
        <w:spacing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Účel podpory</w:t>
      </w:r>
    </w:p>
    <w:p w14:paraId="090F9522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V rámci realizace projektu identifikovaného názvem a registračním číslem v úvodní části těchto Podmínek je účelem podpory: […]</w:t>
      </w:r>
      <w:r w:rsidRPr="00B62619">
        <w:rPr>
          <w:rStyle w:val="Znakapoznpodarou"/>
          <w:sz w:val="22"/>
          <w:szCs w:val="22"/>
        </w:rPr>
        <w:footnoteReference w:id="8"/>
      </w:r>
    </w:p>
    <w:p w14:paraId="35D8FFEF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</w:p>
    <w:p w14:paraId="60DF51B5" w14:textId="77777777" w:rsidR="0036710A" w:rsidRPr="00B62619" w:rsidRDefault="0036710A" w:rsidP="0036710A">
      <w:pPr>
        <w:pStyle w:val="slovanseznam"/>
        <w:numPr>
          <w:ilvl w:val="0"/>
          <w:numId w:val="35"/>
        </w:numPr>
        <w:spacing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Lhůta, v níž má být dosaženo účelu</w:t>
      </w:r>
    </w:p>
    <w:p w14:paraId="724E7D71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</w:rPr>
      </w:pPr>
      <w:r w:rsidRPr="00B62619">
        <w:rPr>
          <w:rFonts w:ascii="Arial" w:hAnsi="Arial" w:cs="Arial"/>
        </w:rPr>
        <w:lastRenderedPageBreak/>
        <w:t xml:space="preserve">Účelu podpory musí být dosaženo ve lhůtě: </w:t>
      </w:r>
    </w:p>
    <w:p w14:paraId="482F5F72" w14:textId="77777777" w:rsidR="0036710A" w:rsidRPr="00B62619" w:rsidRDefault="0036710A" w:rsidP="0036710A">
      <w:pPr>
        <w:pStyle w:val="Zhlav"/>
        <w:numPr>
          <w:ilvl w:val="0"/>
          <w:numId w:val="18"/>
        </w:numPr>
        <w:tabs>
          <w:tab w:val="left" w:pos="5940"/>
        </w:tabs>
        <w:spacing w:after="60"/>
        <w:rPr>
          <w:rFonts w:ascii="Arial" w:hAnsi="Arial" w:cs="Arial"/>
        </w:rPr>
      </w:pPr>
      <w:r w:rsidRPr="00B62619">
        <w:rPr>
          <w:rFonts w:ascii="Arial" w:hAnsi="Arial" w:cs="Arial"/>
        </w:rPr>
        <w:t>datum zahájení realizace projektu:</w:t>
      </w:r>
      <w:r w:rsidRPr="00B62619">
        <w:rPr>
          <w:rFonts w:ascii="Arial" w:hAnsi="Arial" w:cs="Arial"/>
        </w:rPr>
        <w:tab/>
        <w:t>[…]</w:t>
      </w:r>
    </w:p>
    <w:p w14:paraId="5C6D7AF1" w14:textId="77777777" w:rsidR="0036710A" w:rsidRPr="00B62619" w:rsidRDefault="0036710A" w:rsidP="0036710A">
      <w:pPr>
        <w:pStyle w:val="Zhlav"/>
        <w:numPr>
          <w:ilvl w:val="0"/>
          <w:numId w:val="18"/>
        </w:numPr>
        <w:tabs>
          <w:tab w:val="left" w:pos="5940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>datum ukončení realizace projektu nejpozději do:</w:t>
      </w:r>
      <w:r w:rsidRPr="00B62619">
        <w:rPr>
          <w:rFonts w:ascii="Arial" w:hAnsi="Arial" w:cs="Arial"/>
        </w:rPr>
        <w:tab/>
        <w:t>[…]</w:t>
      </w:r>
    </w:p>
    <w:p w14:paraId="6F126A48" w14:textId="77777777" w:rsidR="0036710A" w:rsidRPr="00B62619" w:rsidRDefault="0036710A" w:rsidP="0036710A">
      <w:pPr>
        <w:pStyle w:val="slovanseznam"/>
        <w:numPr>
          <w:ilvl w:val="0"/>
          <w:numId w:val="35"/>
        </w:numPr>
        <w:spacing w:before="12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Vzájemná komunikace MPSV a příjemce</w:t>
      </w:r>
    </w:p>
    <w:p w14:paraId="30843A3A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 xml:space="preserve">Příjemce a útvar zajišťující roli poskytovatele podpory z OPZ (dále jen „MPSV“) budou v případě doručování písemností, které musí být opatřeny podpisem osoby oprávněné jednat za daný subjekt, přednostně používat informační systém MS2014+. Příjemce je povinen zajistit, aby se seznámil se všemi zprávami, které mu budou od MPSV doručeny prostřednictvím MS2014+. </w:t>
      </w:r>
    </w:p>
    <w:p w14:paraId="5BBA9677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</w:p>
    <w:p w14:paraId="202B3371" w14:textId="77777777" w:rsidR="0036710A" w:rsidRPr="00B62619" w:rsidRDefault="0036710A" w:rsidP="0036710A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B62619">
        <w:rPr>
          <w:rFonts w:ascii="Arial" w:hAnsi="Arial" w:cs="Arial"/>
          <w:b/>
        </w:rPr>
        <w:t xml:space="preserve">Část II – Obecné povinnosti příjemce </w:t>
      </w:r>
    </w:p>
    <w:p w14:paraId="34613238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Užití podpory </w:t>
      </w:r>
    </w:p>
    <w:p w14:paraId="0FD062B7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 xml:space="preserve">Při použití podpory je příjemce povinen dodržovat podmínky stanovené právními předpisy EU a ČR, těmito Podmínkami a Pravidly OPZ, kterými jsou: </w:t>
      </w:r>
    </w:p>
    <w:p w14:paraId="4867CE30" w14:textId="77777777" w:rsidR="0036710A" w:rsidRPr="00B62619" w:rsidRDefault="0036710A" w:rsidP="0036710A">
      <w:pPr>
        <w:pStyle w:val="slovanseznam"/>
        <w:numPr>
          <w:ilvl w:val="0"/>
          <w:numId w:val="64"/>
        </w:numPr>
        <w:ind w:left="1066" w:hanging="357"/>
        <w:rPr>
          <w:sz w:val="22"/>
          <w:szCs w:val="22"/>
        </w:rPr>
      </w:pPr>
      <w:r w:rsidRPr="00B62619">
        <w:rPr>
          <w:sz w:val="22"/>
          <w:szCs w:val="22"/>
        </w:rPr>
        <w:t>Obecná část pravidel pro žadatele a příjemce v rámci OPZ a</w:t>
      </w:r>
    </w:p>
    <w:p w14:paraId="515DDAC2" w14:textId="77777777" w:rsidR="0036710A" w:rsidRPr="00B62619" w:rsidRDefault="0036710A" w:rsidP="0036710A">
      <w:pPr>
        <w:pStyle w:val="slovanseznam"/>
        <w:numPr>
          <w:ilvl w:val="0"/>
          <w:numId w:val="64"/>
        </w:numPr>
        <w:ind w:left="1066" w:hanging="357"/>
        <w:rPr>
          <w:sz w:val="22"/>
          <w:szCs w:val="22"/>
        </w:rPr>
      </w:pPr>
      <w:r w:rsidRPr="00B62619">
        <w:rPr>
          <w:sz w:val="22"/>
          <w:szCs w:val="22"/>
        </w:rPr>
        <w:t>[…]</w:t>
      </w:r>
      <w:r w:rsidRPr="00B62619">
        <w:rPr>
          <w:rStyle w:val="Znakapoznpodarou"/>
          <w:sz w:val="22"/>
          <w:szCs w:val="22"/>
        </w:rPr>
        <w:footnoteReference w:id="9"/>
      </w:r>
      <w:r w:rsidRPr="00B62619">
        <w:rPr>
          <w:sz w:val="22"/>
          <w:szCs w:val="22"/>
        </w:rPr>
        <w:t xml:space="preserve">  </w:t>
      </w:r>
    </w:p>
    <w:p w14:paraId="189E1DB8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 xml:space="preserve">Pravidla OPZ jsou uveřejněna na webovém portálu MPSV </w:t>
      </w:r>
      <w:hyperlink r:id="rId10" w:history="1">
        <w:r w:rsidRPr="00B62619">
          <w:rPr>
            <w:rStyle w:val="Hypertextovodkaz"/>
            <w:sz w:val="22"/>
            <w:szCs w:val="22"/>
          </w:rPr>
          <w:t>www.esfcr.cz</w:t>
        </w:r>
      </w:hyperlink>
      <w:r w:rsidRPr="00B62619">
        <w:rPr>
          <w:sz w:val="22"/>
          <w:szCs w:val="22"/>
        </w:rPr>
        <w:t xml:space="preserve">. </w:t>
      </w:r>
    </w:p>
    <w:p w14:paraId="04E6DC23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povinen řídit se při realizaci projektu podmínkami upravenými v Pravidlech OPZ, nestanoví-li tyto Podmínky jinak.</w:t>
      </w:r>
    </w:p>
    <w:p w14:paraId="2797D859" w14:textId="77777777" w:rsidR="0036710A" w:rsidRPr="00B62619" w:rsidRDefault="0036710A" w:rsidP="0036710A">
      <w:pPr>
        <w:pStyle w:val="slovanseznam"/>
        <w:numPr>
          <w:ilvl w:val="1"/>
          <w:numId w:val="44"/>
        </w:numPr>
        <w:spacing w:after="220"/>
        <w:rPr>
          <w:sz w:val="22"/>
          <w:szCs w:val="22"/>
        </w:rPr>
      </w:pPr>
      <w:r w:rsidRPr="00B62619">
        <w:rPr>
          <w:sz w:val="22"/>
          <w:szCs w:val="22"/>
        </w:rPr>
        <w:t xml:space="preserve">Pravidla OPZ jsou pro příjemce závazná ve verzi platné v den učinění příslušného úkonu souvisejícího s realizací projektu, nebo v den porušení příslušného ustanovení plynoucího z právních předpisů, Podmínek či Pravidel OPZ. Při zadávání zakázek je pro příjemce závazná verze Pravidel OPZ platná v den zahájení zadávání zakázky. </w:t>
      </w:r>
    </w:p>
    <w:p w14:paraId="07539990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Splnění účelu a realizace projektu</w:t>
      </w:r>
    </w:p>
    <w:p w14:paraId="2D36EAE0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splnit účel podpory uvedený v části I bodě 3 těchto Podmínek. </w:t>
      </w:r>
    </w:p>
    <w:p w14:paraId="2EDD6ABE" w14:textId="77777777" w:rsidR="0036710A" w:rsidRPr="00B62619" w:rsidRDefault="0036710A" w:rsidP="0036710A">
      <w:pPr>
        <w:pStyle w:val="slovanseznam"/>
        <w:numPr>
          <w:ilvl w:val="1"/>
          <w:numId w:val="44"/>
        </w:numPr>
        <w:spacing w:after="220"/>
        <w:rPr>
          <w:sz w:val="22"/>
          <w:szCs w:val="22"/>
        </w:rPr>
      </w:pPr>
      <w:r w:rsidRPr="00B62619">
        <w:rPr>
          <w:sz w:val="22"/>
          <w:szCs w:val="22"/>
        </w:rPr>
        <w:t>Příjemce je povinen realizovat projekt v souladu s Informací o projektu, která je přílohou č. 1 těchto Podmínek, a to ve znění jejích případných změn, k jejichž provedení je příjemce oprávněn dle Pravidel OPZ bez, anebo ve znění změn, které MPSV dle Pravidel OPZ schválilo.</w:t>
      </w:r>
    </w:p>
    <w:p w14:paraId="7F54CCEB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Způsobilé výdaje</w:t>
      </w:r>
    </w:p>
    <w:p w14:paraId="734641AA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oprávněn použít podporu pouze na výdaje, které souvisejí s realizací projektu, jsou uvedeny ve schváleném rozpočtu projektu, příp. v rozpočtu, který příjemce upravil v souladu s Pravidly OPZ, a je možné je dle Pravidel OPZ považovat za způsobilé.</w:t>
      </w:r>
    </w:p>
    <w:p w14:paraId="6951FEFB" w14:textId="77777777" w:rsidR="0036710A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povinen zajistit úhradu veškerých výdajů projektu, které nejsou kryty výše uvedenou podporou (např. nezpůsobilé výdaje), aby byl dodržen účel poskytnutí podpory na daný projekt.</w:t>
      </w:r>
    </w:p>
    <w:p w14:paraId="09AFD680" w14:textId="77777777" w:rsidR="0036710A" w:rsidRDefault="0036710A" w:rsidP="0036710A">
      <w:pPr>
        <w:spacing w:after="200" w:line="276" w:lineRule="auto"/>
        <w:jc w:val="left"/>
        <w:rPr>
          <w:rFonts w:ascii="Arial" w:eastAsia="Times New Roman" w:hAnsi="Arial" w:cs="Arial"/>
          <w:lang w:eastAsia="cs-CZ"/>
        </w:rPr>
      </w:pPr>
      <w:r>
        <w:br w:type="page"/>
      </w:r>
    </w:p>
    <w:p w14:paraId="39C4B4E2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Udržitelnost projektu </w:t>
      </w:r>
    </w:p>
    <w:p w14:paraId="4A5C0769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>V případech, kdy projekt podle platných pravidel o veřejné podpoře ve smyslu článku 107 Smlouvy o fungování EU podléhá povinnosti zachování investice, je příjemce povinen zajistit, aby ve stanoveném období od ukončení realizace projektu nedošlo k zastavení nebo přemístění výrobní činnosti mimo programovou oblast (článek 71 odst. 3 nařízení Evropského parlamentu a Rady (EU) č. 1303/2013 ze dne 17. prosince 2013 o společných ustanoveních o Evropském fondu pro regionální rozvoj, Evropském sociálním fondu, Fondu soudržnosti, Evropském zemědělském fondu pro rozvoj venkova a Evropském námořním a rybářském fondu, o obecných ustanoveních o Evropském fondu pro regionální rozvoj, Evropském sociálním fondu, Fondu soudržnosti a Evropském námořním a rybářském fondu a o zrušení nařízení Rady (ES) č. 1083/2006).</w:t>
      </w:r>
    </w:p>
    <w:p w14:paraId="479521A8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Vedení účetnictví </w:t>
      </w:r>
    </w:p>
    <w:p w14:paraId="3F39140E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řádně účtovat o veškerých příjmech a výdajích, resp. výnosech a nákladech. Příjemce je povinen vést účetnictví v souladu se zákonem č. 563/1991 Sb., o účetnictví, ve znění pozdějších předpisů, a vést příjmy a výdaje s jednoznačnou vazbou na projekt s výjimkou výdajů, které jsou financovány jakožto paušální výdaje dle § 14 odst. </w:t>
      </w:r>
      <w:r>
        <w:rPr>
          <w:sz w:val="22"/>
          <w:szCs w:val="22"/>
        </w:rPr>
        <w:t>6</w:t>
      </w:r>
      <w:r w:rsidRPr="00B626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písm. a) </w:t>
      </w:r>
      <w:r w:rsidRPr="00B62619">
        <w:rPr>
          <w:sz w:val="22"/>
          <w:szCs w:val="22"/>
        </w:rPr>
        <w:t xml:space="preserve">rozpočtových pravidel, nebo je povinen vést pro projekt tzv. daňovou evidenci podle zákona č. 586/1992 Sb., o daních z příjmů, ve 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příjmy a výdaje byly s výjimkou výdajů, které jsou financovány jakožto paušální výdaje dle § 14 odst. </w:t>
      </w:r>
      <w:r>
        <w:rPr>
          <w:sz w:val="22"/>
          <w:szCs w:val="22"/>
        </w:rPr>
        <w:t>6</w:t>
      </w:r>
      <w:r w:rsidRPr="00B626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písm. a) </w:t>
      </w:r>
      <w:r w:rsidRPr="00B62619">
        <w:rPr>
          <w:sz w:val="22"/>
          <w:szCs w:val="22"/>
        </w:rPr>
        <w:t>rozpočtových pravidel, vedeny s jednoznačnou vazbou na projekt.</w:t>
      </w:r>
    </w:p>
    <w:p w14:paraId="0BC337C1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povinen předat MPSV ve lhůtě jím stanovené na jeho vyžádání účetní záznamy a další doklady vztahující se k projektu převedené do digitální podoby.</w:t>
      </w:r>
    </w:p>
    <w:p w14:paraId="5B3E9258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Zakázky </w:t>
      </w:r>
    </w:p>
    <w:p w14:paraId="0A8132C2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Při zadávání zakázek v rámci realizace projektu je příjemce povinen postupovat v souladu s</w:t>
      </w:r>
      <w:r w:rsidRPr="00B626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62619">
        <w:rPr>
          <w:sz w:val="22"/>
          <w:szCs w:val="22"/>
        </w:rPr>
        <w:t>pravidly pro zadávání zakázek, jež jsou stanovena v Obecné části pravidel pro žadatele a příjemce v rámci OPZ.</w:t>
      </w:r>
    </w:p>
    <w:p w14:paraId="1984E876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zavázat dodavatele předkládat k proplacení pouze faktury, které obsahují název a číslo projektu. V odůvodněných případech je příjemci umožněno, aby doklady označil názvem a číslem projektu sám před jejich uplatněním v žádosti o platbu. </w:t>
      </w:r>
    </w:p>
    <w:p w14:paraId="1AD6C23F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Plnění politik Evropské unie</w:t>
      </w:r>
    </w:p>
    <w:p w14:paraId="3BE6BA63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 xml:space="preserve">Při realizaci projektu je příjemce povinen dodržovat politiky Evropské unie, zejména pravidla hospodářské soutěže a veřejné podpory, principy udržitelného rozvoje a prosazování rovných příležitostí. </w:t>
      </w:r>
    </w:p>
    <w:p w14:paraId="1D893717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Kontrola </w:t>
      </w:r>
    </w:p>
    <w:p w14:paraId="34134001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>Příjemce je povinen za účelem ověření plnění povinností vyplývajících z těchto Podmínek vytvořit podmínky k provedení kontroly vztahující se k realizaci projektu, poskytnout oprávněným osobám veškeré doklady vážící se k realizaci projektu, umožnit průběžné ověřování souladu údajů o realizaci projektu uváděných ve zprávách o realizaci projektu se skutečným stavem v místě jeho realizace a poskytnout součinnost všem osobám oprávněným k provádění kontroly. Těmito oprávněnými osobami jsou MPSV (Řídicí orgán), orgány finanční správy, Ministerstvo financí, Nejvyšší kontrolní úřad, Evropská komise a Evropský účetní dvůr, případně další orgány oprávněné k výkonu kontroly.</w:t>
      </w:r>
    </w:p>
    <w:p w14:paraId="618B2740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Informační a komunikační opatření</w:t>
      </w:r>
    </w:p>
    <w:p w14:paraId="326DA7A1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povinen provádět informační a komunikační opatření projektu v souladu s Pravidly OPZ.</w:t>
      </w:r>
    </w:p>
    <w:p w14:paraId="33C49C1D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povinen zajistit nápravu nedostatků týkajících se provádění informačních a</w:t>
      </w:r>
      <w:r>
        <w:rPr>
          <w:sz w:val="22"/>
          <w:szCs w:val="22"/>
        </w:rPr>
        <w:t> </w:t>
      </w:r>
      <w:r w:rsidRPr="00B62619">
        <w:rPr>
          <w:sz w:val="22"/>
          <w:szCs w:val="22"/>
        </w:rPr>
        <w:t xml:space="preserve">komunikačních opatření projektu ve lhůtě a způsobem specifikovaným ve výzvě k provedení této nápravy, kterou příjemci adresuje MPSV. </w:t>
      </w:r>
    </w:p>
    <w:p w14:paraId="18A5C919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Poskytování údajů o realizaci projektu </w:t>
      </w:r>
    </w:p>
    <w:p w14:paraId="2B207F47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>Příjemce je povinen na základě žádosti MPSV nebo Ministerstva financí poskytnout těmto písemně jakékoliv doplňující informace související s realizací projektu, a to ve lhůtě stanovené MPSV, resp. Ministerstvem financí.</w:t>
      </w:r>
    </w:p>
    <w:p w14:paraId="18BF8D4E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Oznamovací povinnost</w:t>
      </w:r>
    </w:p>
    <w:p w14:paraId="079C99E5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Příjemce je povinen dodržet Pravidla OPZ upravující oznamování změn týkajících se projektu.</w:t>
      </w:r>
    </w:p>
    <w:p w14:paraId="1DC88E48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Zákaz čerpání jiných podpor</w:t>
      </w:r>
    </w:p>
    <w:p w14:paraId="32071A74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nesmí na výdaje projektu uhrazené z prostředků této podpory čerpat prostředky z jiných finančních nástrojů Evropské unie či z jiných veřejných prostředků. Pokud byl určitý výdaj uhrazen z podpory pouze z části, týká se zákaz podle předchozí věty pouze této části výdaje. </w:t>
      </w:r>
    </w:p>
    <w:p w14:paraId="558E93C1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Vypořádání projektu</w:t>
      </w:r>
    </w:p>
    <w:p w14:paraId="59C7351E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Pokud je to relevantní,</w:t>
      </w:r>
      <w:r w:rsidRPr="00B62619">
        <w:t xml:space="preserve"> p</w:t>
      </w:r>
      <w:r w:rsidRPr="00B62619">
        <w:rPr>
          <w:sz w:val="22"/>
          <w:szCs w:val="22"/>
        </w:rPr>
        <w:t>říjemce je povinen podporu finančně vypořádat v souladu s rozpočtovými pravidly a aktuálně platnou vyhláškou upravující zásady a lhůty finančního vypořádání vztahů se státním rozpočtem.</w:t>
      </w:r>
      <w:r w:rsidRPr="00B62619">
        <w:rPr>
          <w:sz w:val="22"/>
          <w:szCs w:val="22"/>
          <w:vertAlign w:val="superscript"/>
        </w:rPr>
        <w:footnoteReference w:id="10"/>
      </w:r>
    </w:p>
    <w:p w14:paraId="4A4DB037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Uchovávání dokumentů</w:t>
      </w:r>
    </w:p>
    <w:p w14:paraId="216E1289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>Příjemce je povinen uchovat veškeré dokumenty související s realizací projektu v souladu s platnými právními předpisy ČR, zejména v souladu s § 44a odst. 11 rozpočtových pravidel</w:t>
      </w:r>
      <w:r w:rsidRPr="00B62619">
        <w:rPr>
          <w:rStyle w:val="Znakapoznpodarou"/>
          <w:rFonts w:ascii="Arial" w:hAnsi="Arial" w:cs="Arial"/>
        </w:rPr>
        <w:footnoteReference w:id="11"/>
      </w:r>
      <w:r w:rsidRPr="00B62619">
        <w:rPr>
          <w:rFonts w:ascii="Arial" w:hAnsi="Arial" w:cs="Arial"/>
        </w:rPr>
        <w:t xml:space="preserve"> a Pravidly OPZ.</w:t>
      </w:r>
    </w:p>
    <w:p w14:paraId="16C9E278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Péče o majetek </w:t>
      </w:r>
    </w:p>
    <w:p w14:paraId="5A01E11F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  <w:r w:rsidRPr="00B62619">
        <w:rPr>
          <w:iCs/>
          <w:sz w:val="22"/>
          <w:szCs w:val="22"/>
        </w:rPr>
        <w:t>Příjemce je povinen po dobu realizace projektu zacházet s majetkem spolufinancovaným z podpory s péčí řádného hospodáře, zejména jej zabezpečit proti poškození, ztrátě nebo odcizení a nezatěžovat takový majetek žádnými věcnými právy třetích osob, včetně zástavního práva. Povinnost podle předchozí věty se netýká spotřebního materiálu</w:t>
      </w:r>
      <w:r w:rsidRPr="00B62619">
        <w:rPr>
          <w:sz w:val="22"/>
          <w:szCs w:val="22"/>
        </w:rPr>
        <w:t>.</w:t>
      </w:r>
    </w:p>
    <w:p w14:paraId="15263FB3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iCs/>
          <w:sz w:val="22"/>
          <w:szCs w:val="22"/>
        </w:rPr>
      </w:pPr>
    </w:p>
    <w:p w14:paraId="77667CE8" w14:textId="77777777" w:rsidR="0036710A" w:rsidRPr="00B62619" w:rsidRDefault="0036710A" w:rsidP="0036710A">
      <w:pPr>
        <w:pStyle w:val="slovanseznam"/>
        <w:keepNext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Práva duševního vlastnictví</w:t>
      </w:r>
    </w:p>
    <w:p w14:paraId="31D2CA0A" w14:textId="77777777" w:rsidR="0036710A" w:rsidRPr="00B62619" w:rsidRDefault="0036710A" w:rsidP="0036710A">
      <w:pPr>
        <w:pStyle w:val="Zhlav"/>
        <w:tabs>
          <w:tab w:val="clear" w:pos="4536"/>
          <w:tab w:val="clear" w:pos="9072"/>
        </w:tabs>
        <w:spacing w:after="240"/>
        <w:rPr>
          <w:rFonts w:ascii="Arial" w:hAnsi="Arial" w:cs="Arial"/>
        </w:rPr>
      </w:pPr>
      <w:r w:rsidRPr="00B62619">
        <w:rPr>
          <w:rFonts w:ascii="Arial" w:hAnsi="Arial" w:cs="Arial"/>
        </w:rPr>
        <w:t xml:space="preserve">Příjemce je povinen MPSV poskytnout neomezenou bezplatnou licenci k užití práv duševního vlastnictví včetně možnosti zcela nebo zčásti poskytnout třetí osobě oprávnění tvořící součást licence, jestliže byly při vzniku práv duševního vlastnictví použity prostředky této podpory, a to bez zbytečného odkladu po vzniku takových práv. Pokud je držitelem takových práv duševního vlastnictví vzniklých na základě zakázky jiná osoba než příjemce, je příjemce povinen ve smlouvě uzavřené s dodavatelem zajistit pro MPSV neomezenou bezplatnou licenci k užití těchto práv včetně možnosti zcela nebo zčásti poskytnout třetí osobě oprávnění tvořící součást licence. </w:t>
      </w:r>
    </w:p>
    <w:p w14:paraId="7E9DC1EA" w14:textId="77777777" w:rsidR="0036710A" w:rsidRPr="00B62619" w:rsidRDefault="0036710A" w:rsidP="0036710A">
      <w:pPr>
        <w:pStyle w:val="slovanseznam"/>
        <w:numPr>
          <w:ilvl w:val="0"/>
          <w:numId w:val="44"/>
        </w:numPr>
        <w:spacing w:before="240" w:after="120"/>
        <w:ind w:left="357" w:hanging="357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Partnerství</w:t>
      </w:r>
      <w:r w:rsidRPr="00B62619">
        <w:rPr>
          <w:bCs/>
          <w:sz w:val="22"/>
          <w:szCs w:val="22"/>
          <w:vertAlign w:val="superscript"/>
        </w:rPr>
        <w:footnoteReference w:id="12"/>
      </w:r>
    </w:p>
    <w:p w14:paraId="05251783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je povinen zajistit, aby vztahy mezi příjemcem a jeho partnery, jejichž seznam je součástí Informace o projektu v příloze č. 1 těchto Podmínek, po celou dobu realizace projektu odpovídaly podmínkám partnerství uvedeným v Pravidlech OPZ.</w:t>
      </w:r>
    </w:p>
    <w:p w14:paraId="7B03A679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uzavřít s partnery s finančním příspěvkem smlouvu, která vymezuje vzájemné vztahy a role jednotlivých partnerů s finančním příspěvkem v projektu. Smlouva podle předchozí věty může být nahrazena jednostranným písemným prohlášením partnera se stejným obsahem. </w:t>
      </w:r>
    </w:p>
    <w:p w14:paraId="56165E66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Ve smlouvě s partnery s finančním příspěvkem je příjemce povinen zavázat partnery povinnostmi podle části II Podmínek. To se netýká bodů 3.2, 13 a 17. Pokud smlouvu nahrazuje jednostranné písemné prohlášení partnera, musí být součástí prohlášení závazek partnera dodržovat v tomto bodě uvedené povinnosti části II Podmínek (netýká se bodů 3.2, 13 a 17).</w:t>
      </w:r>
    </w:p>
    <w:p w14:paraId="3330655E" w14:textId="77777777" w:rsidR="0036710A" w:rsidRPr="00B62619" w:rsidRDefault="0036710A" w:rsidP="0036710A">
      <w:pPr>
        <w:pStyle w:val="slovanseznam"/>
        <w:numPr>
          <w:ilvl w:val="1"/>
          <w:numId w:val="44"/>
        </w:numPr>
        <w:rPr>
          <w:sz w:val="22"/>
          <w:szCs w:val="22"/>
        </w:rPr>
      </w:pPr>
      <w:r w:rsidRPr="00B62619">
        <w:rPr>
          <w:sz w:val="22"/>
          <w:szCs w:val="22"/>
        </w:rPr>
        <w:t>Příjemce odpovídá za splnění všech povinností partnerů s finančním příspěvkem podle části II uvedených v bodě 17.3. Pokud některý z partnerů poruší některou z těchto povinností, odpovídá příjemce podle části V těchto Podmínek, jako by tuto povinnost porušil sám.</w:t>
      </w:r>
    </w:p>
    <w:p w14:paraId="62AD99B8" w14:textId="77777777" w:rsidR="0036710A" w:rsidRPr="00B62619" w:rsidRDefault="0036710A" w:rsidP="0036710A">
      <w:pPr>
        <w:pStyle w:val="slovanseznam"/>
        <w:numPr>
          <w:ilvl w:val="1"/>
          <w:numId w:val="44"/>
        </w:numPr>
        <w:spacing w:after="240"/>
      </w:pPr>
      <w:r w:rsidRPr="00B62619">
        <w:rPr>
          <w:sz w:val="22"/>
          <w:szCs w:val="22"/>
        </w:rPr>
        <w:t xml:space="preserve">Příjemce není oprávněn se svými partnery uzavírat v rámci tohoto projektu smluvní vztahy, jejichž předmětem je poskytování služeb, zboží nebo stavebních prací za úplatu. </w:t>
      </w:r>
    </w:p>
    <w:p w14:paraId="38EF0821" w14:textId="77777777" w:rsidR="0036710A" w:rsidRPr="00B62619" w:rsidRDefault="0036710A" w:rsidP="0036710A"/>
    <w:p w14:paraId="45179D20" w14:textId="77777777" w:rsidR="0036710A" w:rsidRPr="00B62619" w:rsidRDefault="0036710A" w:rsidP="0036710A">
      <w:pPr>
        <w:keepNext/>
        <w:shd w:val="clear" w:color="auto" w:fill="F2F2F2" w:themeFill="background1" w:themeFillShade="F2"/>
        <w:rPr>
          <w:rFonts w:ascii="Arial" w:hAnsi="Arial" w:cs="Arial"/>
          <w:b/>
        </w:rPr>
      </w:pPr>
      <w:r w:rsidRPr="00B62619">
        <w:rPr>
          <w:rFonts w:ascii="Arial" w:hAnsi="Arial" w:cs="Arial"/>
          <w:b/>
        </w:rPr>
        <w:t xml:space="preserve">Část III – Specifické povinnosti příjemce týkající se realizace projektu </w:t>
      </w:r>
    </w:p>
    <w:p w14:paraId="35F3A4E0" w14:textId="77777777" w:rsidR="0036710A" w:rsidRPr="00B62619" w:rsidRDefault="0036710A" w:rsidP="0036710A">
      <w:pPr>
        <w:pStyle w:val="slovanseznam"/>
        <w:keepNext/>
        <w:numPr>
          <w:ilvl w:val="0"/>
          <w:numId w:val="45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Vazba na výzvu k předkládání žádostí o podporu</w:t>
      </w:r>
    </w:p>
    <w:p w14:paraId="5F08ED74" w14:textId="77777777" w:rsidR="0036710A" w:rsidRPr="00B62619" w:rsidRDefault="0036710A" w:rsidP="0036710A">
      <w:pPr>
        <w:pStyle w:val="slovanseznam"/>
        <w:keepNext/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Příjemce je povinen během realizace projektu dodržovat tyto podmínky, jež vycházejí z výzvy k předkládání žádostí o podporu, na základě které byl projekt vybrán k poskytnutí podpory:</w:t>
      </w:r>
    </w:p>
    <w:p w14:paraId="748A714D" w14:textId="77777777" w:rsidR="0036710A" w:rsidRPr="00B62619" w:rsidRDefault="0036710A" w:rsidP="0036710A">
      <w:pPr>
        <w:pStyle w:val="slovanseznam"/>
        <w:numPr>
          <w:ilvl w:val="0"/>
          <w:numId w:val="46"/>
        </w:numPr>
        <w:spacing w:after="60"/>
        <w:ind w:left="851" w:hanging="425"/>
        <w:rPr>
          <w:sz w:val="22"/>
          <w:szCs w:val="22"/>
        </w:rPr>
      </w:pPr>
      <w:r w:rsidRPr="00B62619">
        <w:rPr>
          <w:sz w:val="22"/>
          <w:szCs w:val="22"/>
        </w:rPr>
        <w:t>Cílovými skupinami projektu mohou být pouze:</w:t>
      </w:r>
    </w:p>
    <w:p w14:paraId="7E2981F7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firstLine="501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…</w:t>
      </w:r>
    </w:p>
    <w:p w14:paraId="196BEF9F" w14:textId="77777777" w:rsidR="0036710A" w:rsidRPr="00B62619" w:rsidRDefault="0036710A" w:rsidP="0036710A">
      <w:pPr>
        <w:pStyle w:val="slovanseznam"/>
        <w:numPr>
          <w:ilvl w:val="0"/>
          <w:numId w:val="46"/>
        </w:numPr>
        <w:spacing w:after="60"/>
        <w:ind w:left="851" w:hanging="425"/>
        <w:rPr>
          <w:sz w:val="22"/>
          <w:szCs w:val="22"/>
        </w:rPr>
      </w:pPr>
      <w:r w:rsidRPr="00B62619">
        <w:rPr>
          <w:sz w:val="22"/>
          <w:szCs w:val="22"/>
        </w:rPr>
        <w:t>Aktivity projektu musí spadat do vymezení:</w:t>
      </w:r>
    </w:p>
    <w:p w14:paraId="5CD46939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firstLine="501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…</w:t>
      </w:r>
    </w:p>
    <w:p w14:paraId="5BD58DF7" w14:textId="77777777" w:rsidR="0036710A" w:rsidRPr="00B62619" w:rsidRDefault="0036710A" w:rsidP="0036710A">
      <w:pPr>
        <w:pStyle w:val="slovanseznam"/>
        <w:numPr>
          <w:ilvl w:val="0"/>
          <w:numId w:val="46"/>
        </w:numPr>
        <w:spacing w:after="60"/>
        <w:ind w:left="851" w:hanging="425"/>
        <w:rPr>
          <w:sz w:val="22"/>
          <w:szCs w:val="22"/>
        </w:rPr>
      </w:pPr>
      <w:r w:rsidRPr="00B62619">
        <w:rPr>
          <w:sz w:val="22"/>
          <w:szCs w:val="22"/>
        </w:rPr>
        <w:t>Územní vymezení:</w:t>
      </w:r>
    </w:p>
    <w:p w14:paraId="2AB429E7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firstLine="501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…</w:t>
      </w:r>
      <w:r w:rsidRPr="00B62619">
        <w:rPr>
          <w:rStyle w:val="Znakapoznpodarou"/>
          <w:rFonts w:eastAsiaTheme="majorEastAsia"/>
          <w:sz w:val="22"/>
          <w:szCs w:val="22"/>
        </w:rPr>
        <w:footnoteReference w:id="13"/>
      </w:r>
    </w:p>
    <w:p w14:paraId="5CB84F58" w14:textId="77777777" w:rsidR="0036710A" w:rsidRPr="00B62619" w:rsidRDefault="0036710A" w:rsidP="0036710A">
      <w:pPr>
        <w:pStyle w:val="slovanseznam"/>
        <w:keepNext/>
        <w:numPr>
          <w:ilvl w:val="0"/>
          <w:numId w:val="45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Podmínky monitorování projektu </w:t>
      </w:r>
    </w:p>
    <w:p w14:paraId="25C8C74D" w14:textId="77777777" w:rsidR="0036710A" w:rsidRPr="00B62619" w:rsidRDefault="0036710A" w:rsidP="0036710A">
      <w:pPr>
        <w:pStyle w:val="slovanseznam"/>
        <w:keepNext/>
        <w:numPr>
          <w:ilvl w:val="1"/>
          <w:numId w:val="45"/>
        </w:numPr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Příjemce je povinen naplnit celkové cílové hodnoty indikátorů uvedených v Informaci o projektu v příloze č. 1 těchto Podmínek; definice indikátorů je obsažena v Pravidlech OPZ.</w:t>
      </w:r>
    </w:p>
    <w:p w14:paraId="229290C4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ind w:left="567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Celkovou cílovou hodnotu indikátorů výstupů, resp. výsledků příjemce naplní, pokud celková míra naplnění indikátorů výstupů, resp. výsledků dosáhne 100 %.</w:t>
      </w:r>
    </w:p>
    <w:p w14:paraId="6BC88717" w14:textId="77777777" w:rsidR="0036710A" w:rsidRPr="00B62619" w:rsidRDefault="0036710A" w:rsidP="0036710A">
      <w:pPr>
        <w:spacing w:after="60"/>
        <w:ind w:left="567"/>
      </w:pPr>
      <w:r w:rsidRPr="00B62619">
        <w:t>Pro zjištění celkové míry naplnění indikátorů výstupů se sečtou procenta naplnění cílových hodnot uvedených v Informaci o projektu v příloze č. 1 těchto Podmínek u jednotlivých indikátorů výstupů a vydělí se počtem těchto indikátorů. Pokud nebyla vyčerpána celková maximální výše podpory, snižují se cílové hodnoty v Informaci o projektu v příloze č. 1 těchto Podmínek tak, že se vynásobí podílem skutečně vyčerpané částky podpory k celkové maximální výši podpory. Překročení cílové hodnoty jednotlivých indikátorů výstupů bude zohledněno maximálně v míře 120 %. Při zjištění celkové míry naplnění indikátorů výsledků se postupuje obdobně.</w:t>
      </w:r>
    </w:p>
    <w:p w14:paraId="06F38009" w14:textId="77777777" w:rsidR="0036710A" w:rsidRPr="00B62619" w:rsidRDefault="0036710A" w:rsidP="0036710A">
      <w:pPr>
        <w:pStyle w:val="slovanseznam"/>
        <w:numPr>
          <w:ilvl w:val="1"/>
          <w:numId w:val="45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Příjemce je povinen předávat MPSV údaje nezbytné k průběžnému sledování přínosů projektu (monitorování projektu) a to prostřednictvím zpráv o realizaci projektu a aktualizace údajů v IS KP14+ o zakázkách a kontrolách/auditech týkajících se projektu (s výjimkou kontrol provedených MPSV). Průběžnou zprávu o realizaci projektu je příjemce povinen předložit do konce prvního měsíce následujícího po ukončení monitorovacího období, závěrečnou zprávu o realizaci projektu do konce druhého měsíce následujícího po ukončení monitorovacího období. V případě, že monitorovací období skončí v jiný než poslední den kalendářního měsíce, pak platí lhůta 30 dní, resp. 60 dní v případě závěrečné zprávy o realizaci ode dne ukončení daného monitorovacího období.</w:t>
      </w:r>
      <w:r w:rsidRPr="00B62619">
        <w:rPr>
          <w:rStyle w:val="Znakapoznpodarou"/>
          <w:rFonts w:eastAsiaTheme="majorEastAsia"/>
          <w:sz w:val="22"/>
          <w:szCs w:val="22"/>
        </w:rPr>
        <w:footnoteReference w:id="14"/>
      </w:r>
      <w:r w:rsidRPr="00B62619">
        <w:rPr>
          <w:sz w:val="22"/>
          <w:szCs w:val="22"/>
        </w:rPr>
        <w:t xml:space="preserve"> Aktualizaci údajů v IS KP14+ o zakázkách a kontrolách/auditech týkajících se projektu příjemce provádí minimálně k termínům pro předložení zpráv o realizaci projektu.</w:t>
      </w:r>
    </w:p>
    <w:p w14:paraId="4683845A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Vymezení monitorovacích období projektu, za které je příjemce povinen předložit zprávu o realizaci projektu:</w:t>
      </w:r>
    </w:p>
    <w:p w14:paraId="3E795B8B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207" w:firstLine="36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…</w:t>
      </w:r>
    </w:p>
    <w:p w14:paraId="50B9BE15" w14:textId="77777777" w:rsidR="0036710A" w:rsidRPr="00B62619" w:rsidRDefault="0036710A" w:rsidP="0036710A">
      <w:pPr>
        <w:pStyle w:val="slovanseznam"/>
        <w:numPr>
          <w:ilvl w:val="1"/>
          <w:numId w:val="45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předkládat zprávy o realizaci projektu ve formátu, který MPSV pro projekt nastaví v informačním systému MS2014+. </w:t>
      </w:r>
    </w:p>
    <w:p w14:paraId="00BE1CA0" w14:textId="77777777" w:rsidR="0036710A" w:rsidRPr="00B62619" w:rsidRDefault="0036710A" w:rsidP="0036710A">
      <w:pPr>
        <w:pStyle w:val="slovanseznam"/>
        <w:numPr>
          <w:ilvl w:val="1"/>
          <w:numId w:val="45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Nápravy nedostatků žádostí o změnu projektu, zpráv o realizaci projektu (včetně spolu s nimi předložených žádostí o platbu) a případně další související dokumentace vyžádané MPSV je příjemce povinen předkládat v termínech stanovených MPSV.</w:t>
      </w:r>
    </w:p>
    <w:p w14:paraId="185CD64F" w14:textId="77777777" w:rsidR="0036710A" w:rsidRPr="00B62619" w:rsidRDefault="0036710A" w:rsidP="0036710A">
      <w:pPr>
        <w:pStyle w:val="slovanseznam"/>
        <w:numPr>
          <w:ilvl w:val="0"/>
          <w:numId w:val="45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Veřejná podpora a podpora de minimis</w:t>
      </w:r>
    </w:p>
    <w:p w14:paraId="3C96404F" w14:textId="77777777" w:rsidR="0036710A" w:rsidRPr="00B62619" w:rsidRDefault="0036710A" w:rsidP="0036710A">
      <w:pPr>
        <w:pStyle w:val="Titulek"/>
        <w:spacing w:before="40" w:after="40"/>
        <w:rPr>
          <w:rFonts w:ascii="Arial" w:hAnsi="Arial" w:cs="Arial"/>
          <w:i/>
          <w:sz w:val="22"/>
          <w:szCs w:val="22"/>
        </w:rPr>
      </w:pPr>
      <w:r w:rsidRPr="00B62619">
        <w:rPr>
          <w:rFonts w:ascii="Arial" w:hAnsi="Arial" w:cs="Arial"/>
          <w:i/>
          <w:sz w:val="22"/>
          <w:szCs w:val="22"/>
        </w:rPr>
        <w:t>Možnost A</w:t>
      </w:r>
    </w:p>
    <w:p w14:paraId="6B2DF119" w14:textId="77777777" w:rsidR="0036710A" w:rsidRPr="00B62619" w:rsidRDefault="0036710A" w:rsidP="0036710A">
      <w:pPr>
        <w:spacing w:before="40" w:after="40"/>
        <w:ind w:right="181"/>
        <w:rPr>
          <w:rFonts w:ascii="Arial" w:hAnsi="Arial" w:cs="Arial"/>
          <w:i/>
        </w:rPr>
      </w:pPr>
      <w:r w:rsidRPr="00B62619">
        <w:rPr>
          <w:rFonts w:ascii="Arial" w:hAnsi="Arial" w:cs="Arial"/>
          <w:i/>
        </w:rPr>
        <w:t>(platí pro projekty, které nezakládají veřejnou podporu žádnému subjektu)</w:t>
      </w:r>
    </w:p>
    <w:p w14:paraId="5C873EDF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 xml:space="preserve">Podpora poskytnutá na realizaci projektu nezakládá veřejnou podporu. </w:t>
      </w:r>
    </w:p>
    <w:p w14:paraId="4B83D557" w14:textId="77777777" w:rsidR="0036710A" w:rsidRPr="00B62619" w:rsidRDefault="0036710A" w:rsidP="0036710A">
      <w:pPr>
        <w:pStyle w:val="Titulek"/>
        <w:spacing w:before="40" w:after="40"/>
        <w:rPr>
          <w:rFonts w:ascii="Arial" w:hAnsi="Arial" w:cs="Arial"/>
          <w:i/>
          <w:sz w:val="22"/>
          <w:szCs w:val="22"/>
        </w:rPr>
      </w:pPr>
      <w:r w:rsidRPr="00B62619">
        <w:rPr>
          <w:rFonts w:ascii="Arial" w:hAnsi="Arial" w:cs="Arial"/>
          <w:i/>
          <w:sz w:val="22"/>
          <w:szCs w:val="22"/>
        </w:rPr>
        <w:t>Možnost B</w:t>
      </w:r>
    </w:p>
    <w:p w14:paraId="1B9C4CC4" w14:textId="77777777" w:rsidR="0036710A" w:rsidRPr="00B62619" w:rsidRDefault="0036710A" w:rsidP="0036710A">
      <w:pPr>
        <w:spacing w:before="40" w:after="40"/>
        <w:ind w:right="181"/>
        <w:rPr>
          <w:rFonts w:ascii="Arial" w:hAnsi="Arial" w:cs="Arial"/>
          <w:i/>
        </w:rPr>
      </w:pPr>
      <w:r w:rsidRPr="00B62619">
        <w:rPr>
          <w:rFonts w:ascii="Arial" w:hAnsi="Arial" w:cs="Arial"/>
          <w:i/>
        </w:rPr>
        <w:t>(platí pro projekty, kde je část prostředků vyhrazena na zapojení dalších subjektů)</w:t>
      </w:r>
    </w:p>
    <w:p w14:paraId="5639ACBB" w14:textId="77777777" w:rsidR="0036710A" w:rsidRPr="00B62619" w:rsidRDefault="0036710A" w:rsidP="0036710A">
      <w:pPr>
        <w:pStyle w:val="slovanseznam"/>
        <w:numPr>
          <w:ilvl w:val="1"/>
          <w:numId w:val="45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Projekt je z hlediska veřejné podpory následujícího charakteru: 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3201"/>
        <w:gridCol w:w="3207"/>
      </w:tblGrid>
      <w:tr w:rsidR="0036710A" w:rsidRPr="00B62619" w14:paraId="0B20ED08" w14:textId="77777777" w:rsidTr="00945A28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45E3E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856" w14:textId="77777777" w:rsidR="0036710A" w:rsidRPr="00B62619" w:rsidRDefault="0036710A" w:rsidP="00945A28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Část projektu na zapojení dalších subjektů</w:t>
            </w:r>
            <w:r w:rsidRPr="00B62619">
              <w:rPr>
                <w:rStyle w:val="Znakapoznpodarou"/>
                <w:b/>
                <w:snapToGrid w:val="0"/>
              </w:rPr>
              <w:footnoteReference w:id="15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FCD" w14:textId="77777777" w:rsidR="0036710A" w:rsidRPr="00B62619" w:rsidRDefault="0036710A" w:rsidP="00945A28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62619">
              <w:rPr>
                <w:b/>
                <w:snapToGrid w:val="0"/>
              </w:rPr>
              <w:t>Část projektu nezakládající veřejnou podporu</w:t>
            </w:r>
          </w:p>
        </w:tc>
      </w:tr>
      <w:tr w:rsidR="0036710A" w:rsidRPr="00B62619" w14:paraId="6F295C04" w14:textId="77777777" w:rsidTr="00945A28"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2126B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  <w:szCs w:val="24"/>
              </w:rPr>
            </w:pPr>
          </w:p>
        </w:tc>
        <w:tc>
          <w:tcPr>
            <w:tcW w:w="3254" w:type="dxa"/>
          </w:tcPr>
          <w:p w14:paraId="60F9436C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B62619">
              <w:rPr>
                <w:snapToGrid w:val="0"/>
                <w:szCs w:val="24"/>
              </w:rPr>
              <w:t>v Kč</w:t>
            </w:r>
          </w:p>
        </w:tc>
        <w:tc>
          <w:tcPr>
            <w:tcW w:w="3260" w:type="dxa"/>
            <w:vAlign w:val="center"/>
          </w:tcPr>
          <w:p w14:paraId="559C7B0C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B62619">
              <w:rPr>
                <w:snapToGrid w:val="0"/>
                <w:szCs w:val="24"/>
              </w:rPr>
              <w:t>v Kč</w:t>
            </w:r>
          </w:p>
        </w:tc>
      </w:tr>
      <w:tr w:rsidR="0036710A" w:rsidRPr="00B62619" w14:paraId="53AD5ACE" w14:textId="77777777" w:rsidTr="00945A28">
        <w:tc>
          <w:tcPr>
            <w:tcW w:w="2558" w:type="dxa"/>
            <w:tcBorders>
              <w:top w:val="single" w:sz="12" w:space="0" w:color="auto"/>
            </w:tcBorders>
            <w:vAlign w:val="center"/>
          </w:tcPr>
          <w:p w14:paraId="20BBEB6F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rPr>
                <w:snapToGrid w:val="0"/>
              </w:rPr>
              <w:t xml:space="preserve">Částka </w:t>
            </w:r>
            <w:proofErr w:type="spellStart"/>
            <w:r w:rsidRPr="00B62619">
              <w:rPr>
                <w:snapToGrid w:val="0"/>
              </w:rPr>
              <w:t>způs</w:t>
            </w:r>
            <w:proofErr w:type="spellEnd"/>
            <w:r w:rsidRPr="00B62619">
              <w:rPr>
                <w:snapToGrid w:val="0"/>
              </w:rPr>
              <w:t>. výdajů očištěných o příjmy</w:t>
            </w:r>
          </w:p>
        </w:tc>
        <w:tc>
          <w:tcPr>
            <w:tcW w:w="3254" w:type="dxa"/>
            <w:tcBorders>
              <w:top w:val="single" w:sz="12" w:space="0" w:color="auto"/>
            </w:tcBorders>
            <w:vAlign w:val="center"/>
          </w:tcPr>
          <w:p w14:paraId="6443BD0A" w14:textId="77777777" w:rsidR="0036710A" w:rsidRPr="00B62619" w:rsidRDefault="0036710A" w:rsidP="00945A28">
            <w:pPr>
              <w:pStyle w:val="Tabulkatext"/>
              <w:spacing w:before="0" w:after="0"/>
            </w:pPr>
            <w:r w:rsidRPr="00B62619">
              <w:t>[…]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5B81FEC" w14:textId="77777777" w:rsidR="0036710A" w:rsidRPr="00B62619" w:rsidRDefault="0036710A" w:rsidP="00945A28">
            <w:pPr>
              <w:pStyle w:val="Tabulkatext"/>
              <w:spacing w:before="0" w:after="0"/>
              <w:rPr>
                <w:snapToGrid w:val="0"/>
              </w:rPr>
            </w:pPr>
            <w:r w:rsidRPr="00B62619">
              <w:t>[…]</w:t>
            </w:r>
          </w:p>
        </w:tc>
      </w:tr>
    </w:tbl>
    <w:p w14:paraId="3C8161E9" w14:textId="77777777" w:rsidR="0036710A" w:rsidRPr="00B62619" w:rsidRDefault="0036710A" w:rsidP="0036710A">
      <w:pPr>
        <w:pStyle w:val="slovanseznam"/>
        <w:keepNext/>
        <w:numPr>
          <w:ilvl w:val="1"/>
          <w:numId w:val="45"/>
        </w:numPr>
        <w:shd w:val="clear" w:color="auto" w:fill="D9D9D9" w:themeFill="background1" w:themeFillShade="D9"/>
        <w:spacing w:before="120"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Poskytovatelem veřejné podpory či podpory de minimis v rámci projektu je MPSV.</w:t>
      </w:r>
      <w:r w:rsidRPr="00B62619">
        <w:rPr>
          <w:sz w:val="22"/>
          <w:szCs w:val="22"/>
          <w:vertAlign w:val="superscript"/>
        </w:rPr>
        <w:footnoteReference w:id="16"/>
      </w:r>
      <w:r w:rsidRPr="00B62619">
        <w:rPr>
          <w:sz w:val="22"/>
          <w:szCs w:val="22"/>
        </w:rPr>
        <w:t xml:space="preserve"> </w:t>
      </w:r>
    </w:p>
    <w:p w14:paraId="4A95EFA6" w14:textId="77777777" w:rsidR="0036710A" w:rsidRPr="00B62619" w:rsidRDefault="0036710A" w:rsidP="0036710A">
      <w:pPr>
        <w:pStyle w:val="slovanseznam"/>
        <w:keepNext/>
        <w:numPr>
          <w:ilvl w:val="1"/>
          <w:numId w:val="45"/>
        </w:numPr>
        <w:shd w:val="clear" w:color="auto" w:fill="D9D9D9" w:themeFill="background1" w:themeFillShade="D9"/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v souvislosti s poskytováním veřejné podpory či podpory de minimis dalším subjektům zajistit pro MPSV před poskytnutím veřejné podpory či podpory de </w:t>
      </w:r>
      <w:proofErr w:type="spellStart"/>
      <w:r w:rsidRPr="00B62619">
        <w:rPr>
          <w:sz w:val="22"/>
          <w:szCs w:val="22"/>
        </w:rPr>
        <w:t>minimis</w:t>
      </w:r>
      <w:proofErr w:type="spellEnd"/>
      <w:r w:rsidRPr="00B62619">
        <w:rPr>
          <w:sz w:val="22"/>
          <w:szCs w:val="22"/>
        </w:rPr>
        <w:t xml:space="preserve"> partnerovi(</w:t>
      </w:r>
      <w:proofErr w:type="spellStart"/>
      <w:r w:rsidRPr="00B62619">
        <w:rPr>
          <w:sz w:val="22"/>
          <w:szCs w:val="22"/>
        </w:rPr>
        <w:t>ům</w:t>
      </w:r>
      <w:proofErr w:type="spellEnd"/>
      <w:r w:rsidRPr="00B62619">
        <w:rPr>
          <w:sz w:val="22"/>
          <w:szCs w:val="22"/>
        </w:rPr>
        <w:t xml:space="preserve">) podklady k poskytnutí této podpory a také podklady k ověření, zda daný subjekt splňuje podmínky pro zvolený režim podpory dle platných právních předpisů, a to s využitím formulářů, které MPSV zveřejní na webovém portálu </w:t>
      </w:r>
      <w:hyperlink r:id="rId11" w:history="1">
        <w:r w:rsidRPr="00B62619">
          <w:rPr>
            <w:rStyle w:val="Hypertextovodkaz"/>
            <w:sz w:val="22"/>
            <w:szCs w:val="22"/>
          </w:rPr>
          <w:t>www.esfcr.cz</w:t>
        </w:r>
      </w:hyperlink>
      <w:r w:rsidRPr="00B62619">
        <w:rPr>
          <w:sz w:val="22"/>
          <w:szCs w:val="22"/>
        </w:rPr>
        <w:t xml:space="preserve"> (používají se vždy aktuální formuláře).</w:t>
      </w:r>
    </w:p>
    <w:p w14:paraId="7517A27F" w14:textId="77777777" w:rsidR="0036710A" w:rsidRPr="00B62619" w:rsidRDefault="0036710A" w:rsidP="0036710A">
      <w:pPr>
        <w:pStyle w:val="slovanseznam"/>
        <w:numPr>
          <w:ilvl w:val="1"/>
          <w:numId w:val="45"/>
        </w:numPr>
        <w:shd w:val="clear" w:color="auto" w:fill="D9D9D9" w:themeFill="background1" w:themeFillShade="D9"/>
        <w:spacing w:after="22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Pokud to aplikovaný režim veřejné podpory a rozhodnutí MPSV vyžaduje, příjemce je povinen od subjektů, kterým je veřejná podpora poskytnuta, zajistit spolufinancování z jejich zdrojů. Spolufinancování projektu ze zdrojů dalšího subjektu je příjmem projektu, který je příjemce povinen oznámit v rámci zprávy o realizaci projektu.</w:t>
      </w:r>
    </w:p>
    <w:p w14:paraId="26C1D142" w14:textId="77777777" w:rsidR="0036710A" w:rsidRPr="00B62619" w:rsidRDefault="0036710A" w:rsidP="0036710A">
      <w:pPr>
        <w:pStyle w:val="slovanseznam"/>
        <w:keepNext/>
        <w:numPr>
          <w:ilvl w:val="0"/>
          <w:numId w:val="45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Evaluační plán, evaluační zpráva a shrnutí sociální inovace</w:t>
      </w:r>
      <w:r w:rsidRPr="00B62619">
        <w:rPr>
          <w:b/>
          <w:bCs/>
          <w:sz w:val="22"/>
          <w:szCs w:val="22"/>
          <w:vertAlign w:val="superscript"/>
        </w:rPr>
        <w:footnoteReference w:id="17"/>
      </w:r>
    </w:p>
    <w:p w14:paraId="748592D6" w14:textId="77777777" w:rsidR="0036710A" w:rsidRPr="00B62619" w:rsidRDefault="0036710A" w:rsidP="0036710A">
      <w:pPr>
        <w:pStyle w:val="slovanseznam"/>
        <w:numPr>
          <w:ilvl w:val="1"/>
          <w:numId w:val="45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Nejpozději s první zprávou o realizaci projektu je příjemce povinen předložit poskytovateli evaluační plán zpracovaný v souladu s požadavky uvedenými v …, která je přílohou č. 2 těchto Podmínek.</w:t>
      </w:r>
    </w:p>
    <w:p w14:paraId="435F0EFB" w14:textId="77777777" w:rsidR="0036710A" w:rsidRPr="00B62619" w:rsidRDefault="0036710A" w:rsidP="0036710A">
      <w:pPr>
        <w:pStyle w:val="slovanseznam"/>
        <w:numPr>
          <w:ilvl w:val="1"/>
          <w:numId w:val="45"/>
        </w:numPr>
        <w:spacing w:after="22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Nejpozději se závěrečnou zprávou o realizaci projektu je příjemce povinen předložit poskytovateli závěrečnou evaluační zprávu a shrnutí sociální inovace v souladu s požadavky uvedenými v …, která je přílohou č. 2 těchto Podmínek.</w:t>
      </w:r>
    </w:p>
    <w:p w14:paraId="30CE9B1C" w14:textId="77777777" w:rsidR="0036710A" w:rsidRPr="00B62619" w:rsidRDefault="0036710A" w:rsidP="0036710A"/>
    <w:p w14:paraId="0121588B" w14:textId="77777777" w:rsidR="0036710A" w:rsidRPr="00B62619" w:rsidRDefault="0036710A" w:rsidP="0036710A">
      <w:pPr>
        <w:keepNext/>
        <w:shd w:val="clear" w:color="auto" w:fill="F2F2F2" w:themeFill="background1" w:themeFillShade="F2"/>
        <w:rPr>
          <w:rFonts w:ascii="Arial" w:hAnsi="Arial" w:cs="Arial"/>
          <w:b/>
        </w:rPr>
      </w:pPr>
      <w:r w:rsidRPr="00B62619">
        <w:rPr>
          <w:rFonts w:ascii="Arial" w:hAnsi="Arial" w:cs="Arial"/>
          <w:b/>
        </w:rPr>
        <w:t xml:space="preserve">Část IV - Platební podmínky </w:t>
      </w:r>
    </w:p>
    <w:p w14:paraId="774E7807" w14:textId="77777777" w:rsidR="0036710A" w:rsidRPr="00B62619" w:rsidRDefault="0036710A" w:rsidP="0036710A">
      <w:pPr>
        <w:pStyle w:val="slovanseznam"/>
        <w:keepNext/>
        <w:numPr>
          <w:ilvl w:val="0"/>
          <w:numId w:val="47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 xml:space="preserve">Žádost o platbu </w:t>
      </w:r>
    </w:p>
    <w:p w14:paraId="185F92D7" w14:textId="77777777" w:rsidR="0036710A" w:rsidRPr="00B62619" w:rsidRDefault="0036710A" w:rsidP="0036710A">
      <w:pPr>
        <w:pStyle w:val="slovanseznam"/>
        <w:keepNext/>
        <w:numPr>
          <w:ilvl w:val="1"/>
          <w:numId w:val="47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předkládat MPSV spolu s každou zprávou o realizaci projektu řádně vyplněnou žádost o platbu podloženou příslušnými doklady dle Pravidel OPZ. </w:t>
      </w:r>
    </w:p>
    <w:p w14:paraId="25910F82" w14:textId="77777777" w:rsidR="0036710A" w:rsidRPr="00B62619" w:rsidRDefault="0036710A" w:rsidP="0036710A">
      <w:pPr>
        <w:pStyle w:val="slovanseznam"/>
        <w:numPr>
          <w:ilvl w:val="1"/>
          <w:numId w:val="47"/>
        </w:numPr>
        <w:spacing w:after="24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Příjemce je povinen předkládat žádosti o platbu ve formátu, který MPSV pro projekt nastaví v informačním systému MS2014+. </w:t>
      </w:r>
    </w:p>
    <w:p w14:paraId="490CBA0E" w14:textId="77777777" w:rsidR="0036710A" w:rsidRPr="00B62619" w:rsidRDefault="0036710A" w:rsidP="0036710A">
      <w:pPr>
        <w:pStyle w:val="slovanseznam"/>
        <w:numPr>
          <w:ilvl w:val="0"/>
          <w:numId w:val="47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Nepřímé náklady / Paušální sazba</w:t>
      </w:r>
    </w:p>
    <w:p w14:paraId="084A7E09" w14:textId="77777777" w:rsidR="0036710A" w:rsidRPr="00B62619" w:rsidRDefault="0036710A" w:rsidP="0036710A">
      <w:pPr>
        <w:pStyle w:val="slovanseznam"/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Nepřímé náklady projektu jsou považovány za uskutečněné ve výši, která je výsledkem násobku procenta nepřímých nákladů platného pro projekt a částky odpovídající prokázaným způsobilým přímým nákladům projektu.</w:t>
      </w:r>
    </w:p>
    <w:p w14:paraId="2CD1D5AB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Procento nepřímých nákladů platné pro projekt: […] %</w:t>
      </w:r>
    </w:p>
    <w:p w14:paraId="08FED605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Procento nepřímých nákladů bude odpovídajícím způsobem sníženo, pokud na základě vyúčtování celkových uskutečněných přímých způsobilých výdajů projektu bude projekt patřit do kategorie projektů s nižším procentem nepřímých nákladů, než bylo stanoveno na základě plánovaného rozpočtu projektu.</w:t>
      </w:r>
    </w:p>
    <w:p w14:paraId="33652993" w14:textId="77777777" w:rsidR="0036710A" w:rsidRPr="00B62619" w:rsidRDefault="0036710A" w:rsidP="0036710A">
      <w:r w:rsidRPr="00B62619">
        <w:t>/</w:t>
      </w:r>
    </w:p>
    <w:p w14:paraId="4AF8C93D" w14:textId="77777777" w:rsidR="0036710A" w:rsidRPr="00B62619" w:rsidRDefault="0036710A" w:rsidP="0036710A">
      <w:r w:rsidRPr="00B62619">
        <w:t>Výdaje kryté paušální sazbou jsou považovány za uskutečněné ve výši, která je výsledkem násobku 40 % a částky odpovídající prokázaným způsobilým osobním nákladům projektu.</w:t>
      </w:r>
    </w:p>
    <w:p w14:paraId="454D0506" w14:textId="77777777" w:rsidR="0036710A" w:rsidRPr="00B62619" w:rsidRDefault="0036710A" w:rsidP="0036710A"/>
    <w:p w14:paraId="36C6852E" w14:textId="77777777" w:rsidR="0036710A" w:rsidRPr="00B62619" w:rsidRDefault="0036710A" w:rsidP="0036710A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B62619">
        <w:rPr>
          <w:rFonts w:ascii="Arial" w:hAnsi="Arial" w:cs="Arial"/>
          <w:b/>
        </w:rPr>
        <w:t xml:space="preserve">Část V - Sankce </w:t>
      </w:r>
    </w:p>
    <w:p w14:paraId="78F012EB" w14:textId="77777777" w:rsidR="0036710A" w:rsidRPr="00B62619" w:rsidRDefault="0036710A" w:rsidP="0036710A">
      <w:pPr>
        <w:pStyle w:val="slovanseznam"/>
        <w:numPr>
          <w:ilvl w:val="0"/>
          <w:numId w:val="48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Pozastavení financování</w:t>
      </w:r>
    </w:p>
    <w:p w14:paraId="2D12C014" w14:textId="77777777" w:rsidR="0036710A" w:rsidRPr="00B62619" w:rsidRDefault="0036710A" w:rsidP="0036710A">
      <w:pPr>
        <w:pStyle w:val="slovanseznam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Pokud MPSV nebo jiná osoba oprávněná ke kontrole dodržování podmínek dle těchto Podmínek zjistí, že příjemce nesplnil nebo neplní některou z povinností uvedených v těchto Podmínkách, je MPSV oprávněno pozastavit financování projektu z prostředků OPZ a zahájit potřebné kroky vedoucí k identifikaci, zda nevzniklo podezření na porušení rozpočtové kázně podle rozpočtových pravidel.</w:t>
      </w:r>
    </w:p>
    <w:p w14:paraId="435F78BC" w14:textId="77777777" w:rsidR="0036710A" w:rsidRPr="00B62619" w:rsidRDefault="0036710A" w:rsidP="0036710A">
      <w:pPr>
        <w:pStyle w:val="slovanseznam"/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</w:p>
    <w:p w14:paraId="40A7AA59" w14:textId="77777777" w:rsidR="0036710A" w:rsidRPr="00B62619" w:rsidRDefault="0036710A" w:rsidP="0036710A">
      <w:pPr>
        <w:pStyle w:val="slovanseznam"/>
        <w:numPr>
          <w:ilvl w:val="0"/>
          <w:numId w:val="48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Předčasné ukončení realizace z důvodu nedosažení milníků</w:t>
      </w:r>
    </w:p>
    <w:p w14:paraId="7B3F014E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 xml:space="preserve">Pokud do termínu </w:t>
      </w:r>
      <w:proofErr w:type="gramStart"/>
      <w:r w:rsidRPr="00B62619">
        <w:rPr>
          <w:sz w:val="22"/>
          <w:szCs w:val="22"/>
        </w:rPr>
        <w:t>….. nebudou</w:t>
      </w:r>
      <w:proofErr w:type="gramEnd"/>
      <w:r w:rsidRPr="00B62619">
        <w:rPr>
          <w:sz w:val="22"/>
          <w:szCs w:val="22"/>
        </w:rPr>
        <w:t xml:space="preserve"> způsobilé výdaje projektu schválené na základě předložených žádostí o platbu dosahovat minimálně … Kč, nebo pokud plnění indikátoru … </w:t>
      </w:r>
      <w:r w:rsidRPr="00B62619">
        <w:rPr>
          <w:i/>
          <w:sz w:val="22"/>
          <w:szCs w:val="22"/>
        </w:rPr>
        <w:t>(kód, název)</w:t>
      </w:r>
      <w:r w:rsidRPr="00B62619">
        <w:rPr>
          <w:sz w:val="22"/>
          <w:szCs w:val="22"/>
        </w:rPr>
        <w:t xml:space="preserve"> schválené na základě předložených zpráv o realizaci projektu do stejného data nedosáhne minimálně …, dochází k tomuto termínu k předčasnému ukončení realizace projektu. K tomuto stavu postačuje, že není překonána jedna z minimálních hranic uvedených výše v tomto bodu Podmínek.</w:t>
      </w:r>
      <w:r w:rsidRPr="00B62619">
        <w:rPr>
          <w:rStyle w:val="Znakapoznpodarou"/>
          <w:sz w:val="22"/>
          <w:szCs w:val="22"/>
        </w:rPr>
        <w:footnoteReference w:id="18"/>
      </w:r>
      <w:r w:rsidRPr="00B62619">
        <w:rPr>
          <w:sz w:val="22"/>
          <w:szCs w:val="22"/>
        </w:rPr>
        <w:t xml:space="preserve">  </w:t>
      </w:r>
    </w:p>
    <w:p w14:paraId="3B21F988" w14:textId="77777777" w:rsidR="0036710A" w:rsidRPr="00B62619" w:rsidRDefault="0036710A" w:rsidP="0036710A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</w:pPr>
      <w:r w:rsidRPr="00B62619">
        <w:rPr>
          <w:sz w:val="22"/>
          <w:szCs w:val="22"/>
        </w:rPr>
        <w:t xml:space="preserve">Za účelem dokončení administrace projektu příjemce v termínu do 2 měsíců od předčasného ukončení realizace projektu předloží závěrečnou zprávu o realizaci projektu a závěrečnou žádost o platbu. </w:t>
      </w:r>
    </w:p>
    <w:p w14:paraId="216EBB56" w14:textId="77777777" w:rsidR="0036710A" w:rsidRPr="00B62619" w:rsidRDefault="0036710A" w:rsidP="0036710A">
      <w:pPr>
        <w:pStyle w:val="slovanseznam"/>
        <w:numPr>
          <w:ilvl w:val="0"/>
          <w:numId w:val="48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Diferenciace odvodu za porušení rozpočtové kázně dle závažnosti porušení podmínek</w:t>
      </w:r>
    </w:p>
    <w:p w14:paraId="30159F6B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V případě porušení podmínek týkajících se účelu a udržitelnosti (uvedených v části II bodě 2.1 a 4) bude vyměřen odvod za porušení rozpočtové kázně podle § </w:t>
      </w:r>
      <w:r>
        <w:rPr>
          <w:sz w:val="22"/>
          <w:szCs w:val="22"/>
        </w:rPr>
        <w:t> </w:t>
      </w:r>
      <w:r w:rsidRPr="00B62619">
        <w:rPr>
          <w:sz w:val="22"/>
          <w:szCs w:val="22"/>
        </w:rPr>
        <w:t xml:space="preserve">44a </w:t>
      </w:r>
      <w:r>
        <w:rPr>
          <w:sz w:val="22"/>
          <w:szCs w:val="22"/>
        </w:rPr>
        <w:t> </w:t>
      </w:r>
      <w:r w:rsidRPr="00B62619">
        <w:rPr>
          <w:sz w:val="22"/>
          <w:szCs w:val="22"/>
        </w:rPr>
        <w:t xml:space="preserve">odst. </w:t>
      </w:r>
      <w:r>
        <w:rPr>
          <w:sz w:val="22"/>
          <w:szCs w:val="22"/>
        </w:rPr>
        <w:t> </w:t>
      </w:r>
      <w:r w:rsidRPr="00B62619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B62619">
        <w:rPr>
          <w:sz w:val="22"/>
          <w:szCs w:val="22"/>
        </w:rPr>
        <w:t xml:space="preserve"> písm. b) rozpočtových pravidel.</w:t>
      </w:r>
    </w:p>
    <w:p w14:paraId="4891A928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V případě porušení podmínek neuvedených v části V bodech 3.1, 3.3 až 3.7, anebo 4, u</w:t>
      </w:r>
      <w:r>
        <w:rPr>
          <w:sz w:val="22"/>
          <w:szCs w:val="22"/>
        </w:rPr>
        <w:t> </w:t>
      </w:r>
      <w:r w:rsidRPr="00B62619">
        <w:rPr>
          <w:sz w:val="22"/>
          <w:szCs w:val="22"/>
        </w:rPr>
        <w:t xml:space="preserve">kterých lze vyčíslit výši porušení rozpočtové kázně (tj. porušení má jednoznačnou vazbu na způsobilé výdaje), bude vyměřen odvod podle § 44a odst. 4 písm. b) rozpočtových pravidel ve výši nezpůsobilých výdajů. </w:t>
      </w:r>
    </w:p>
    <w:p w14:paraId="171342D8" w14:textId="77777777" w:rsidR="0036710A" w:rsidRPr="00B62619" w:rsidRDefault="0036710A" w:rsidP="0036710A">
      <w:pPr>
        <w:spacing w:after="60"/>
        <w:ind w:left="567"/>
      </w:pPr>
      <w:r w:rsidRPr="00B62619">
        <w:t>Porušení povinností neuvedených v části V bodech 3.1, 3.3 až 3.7, anebo 4, u nichž není možné vyčíslit částku, v jaké byla porušena rozpočtová kázeň, povede podle §</w:t>
      </w:r>
      <w:r>
        <w:t> </w:t>
      </w:r>
      <w:r w:rsidRPr="00B62619">
        <w:t xml:space="preserve"> 44a odst. 4 písm. b) rozpočtových pravidel k odvodu za porušení rozpočtové kázně ve výši celkové dosud vynaložené podpory z OPZ.</w:t>
      </w:r>
    </w:p>
    <w:p w14:paraId="58F80DBE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 xml:space="preserve">V případě, že </w:t>
      </w:r>
    </w:p>
    <w:p w14:paraId="3F34117C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ind w:left="993" w:hanging="426"/>
      </w:pPr>
      <w:r w:rsidRPr="00B62619">
        <w:t>dojde k porušení povinností předložit MPSV zprávu o realizaci projektu (včetně žádosti o platbu), předložit MPSV vyžádanou informaci (uvedených v části II bodě 5.2 a bodě 10, v části III v bodech 2.2 až 2.4) a prodlení bude trvat 7 kalendářních dní a více, přičemž určující pro počátek běhu prodlení je termín vyplývající z těchto Podmínek (včetně Pravidel OPZ, na které tyto Podmínky odkazují) ve znění případného vyjádření MPSV o změně termínu, které je příjemci k dispozici v MS2014+ (netýká se situací, kdy příjemce nemohl z důvodu technických překážek na straně MS2014+ zprávu o realizaci projektu nebo žádost o platbu předložit; viz vymezení případů, které nezakládají porušení rozpočtové kázně v části V bodu 4 těchto Podmínek);</w:t>
      </w:r>
    </w:p>
    <w:p w14:paraId="4B8F8542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ind w:left="993" w:hanging="426"/>
      </w:pPr>
      <w:r w:rsidRPr="00B62619">
        <w:t>dojde k porušení povinnosti předložit MPSV plán aktivit projektu vyžádaný podle Pravidel OPZ (netýká se situací, kdy příjemce nemohl z důvodu technických překážek na straně MS2014+ plán aktivit projektu předložit; viz vymezení případů, které nezakládají porušení rozpočtové kázně v části V bodu 4 těchto Podmínek);</w:t>
      </w:r>
    </w:p>
    <w:p w14:paraId="5BF80C31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ind w:left="993" w:hanging="426"/>
      </w:pPr>
      <w:r w:rsidRPr="00B62619">
        <w:t>dojde k porušení povinností týkajících se vytvoření podmínek pro provedení kontroly (uvedených v části II bodě 8);</w:t>
      </w:r>
    </w:p>
    <w:p w14:paraId="55F89E1F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ind w:left="993" w:hanging="426"/>
      </w:pPr>
      <w:r w:rsidRPr="00B62619">
        <w:t xml:space="preserve">dojde k porušení povinností týkajících se oznamovací povinnosti (uvedených v části II bodě 11) a v Pravidlech OPZ není stanoveno, že příslušné pochybení nezakládá porušení rozpočtové kázně; </w:t>
      </w:r>
    </w:p>
    <w:p w14:paraId="3DD701CC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ind w:left="993" w:hanging="426"/>
      </w:pPr>
      <w:r w:rsidRPr="00B62619">
        <w:t>dojde k porušení povinnosti týkající se práv duševního vlastnictví (uvedené v části II bodě 16);</w:t>
      </w:r>
    </w:p>
    <w:p w14:paraId="7C6CD695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ind w:left="993" w:hanging="426"/>
      </w:pPr>
      <w:r w:rsidRPr="00B62619">
        <w:t>dojde k porušení povinností týkajících se partnerství (uvedených v části II bodech 17.1 až 17.3);</w:t>
      </w:r>
    </w:p>
    <w:p w14:paraId="76710C69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spacing w:after="60"/>
        <w:ind w:left="992" w:hanging="425"/>
      </w:pPr>
      <w:r w:rsidRPr="00B62619">
        <w:t>dojde k porušení povinnosti uchovávat dokumenty (uvedené v části II bodě 14) a není možné stanovit výši podpory, ke které se dokument váže;</w:t>
      </w:r>
    </w:p>
    <w:p w14:paraId="69F602C4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993"/>
        </w:tabs>
        <w:spacing w:after="60"/>
        <w:ind w:left="992" w:hanging="425"/>
      </w:pPr>
      <w:r w:rsidRPr="00B62619">
        <w:t xml:space="preserve">dojde k porušení povinnosti předložit poskytovateli ve stanovené lhůtě evaluační plán (uvedené v části III bodě 4.1) nebo povinnosti předložit poskytovateli ve stanovené lhůtě evaluační zprávu a shrnutí sociální inovace (uvedené v části III bodě 4.2); </w:t>
      </w:r>
    </w:p>
    <w:p w14:paraId="1DD50554" w14:textId="77777777" w:rsidR="0036710A" w:rsidRPr="00B62619" w:rsidRDefault="0036710A" w:rsidP="0036710A">
      <w:pPr>
        <w:spacing w:after="60"/>
        <w:ind w:left="567"/>
      </w:pPr>
      <w:r w:rsidRPr="00B62619">
        <w:t>bude odvod za porušení rozpočtové kázně vyměřen dle § 44a odst. 4 písm. a) rozpočtových pravidel ve výši 0,5 % z celkové částky podpory.</w:t>
      </w:r>
    </w:p>
    <w:p w14:paraId="103A1F1E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V případě, že dojde k porušení povinností týkajících se zadávání zakázek (uvedených v části II bodě 6.1), jež je dle Pravidel OPZ považováno za porušení rozpočtové kázně, bude odvod za porušení rozpočtové kázně vyměřen dle § 44a odst. 4 písm. a) rozpočtových pravidel ve výši stanovené za porušení dané povinnosti v tabulce sankcí pro oblast zadávání obsažené v Obecné části pravidel pro žadatele a příjemce v rámci OPZ.</w:t>
      </w:r>
    </w:p>
    <w:p w14:paraId="20C86CD6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V případě, že dojde k porušení povinností týkajících se provádění informačních a komunikačních opatření (uvedených v části II bodě 9), jež je dle Pravidel OPZ považováno za porušení rozpočtové kázně, bude odvod za porušení rozpočtové kázně vyměřen ve výši stanovené za porušení dané povinnosti v tabulce sankcí pro oblast publicity obsažené v Obecné části pravidel pro žadatele a příjemce v rámci OPZ.</w:t>
      </w:r>
    </w:p>
    <w:p w14:paraId="4404044A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V případě, že do data ukončení realizace projektu nebude dosažena celková cílová hodnota indikátorů výstupů uvedená v části III bodě 2.1, bude vyměřen následující odvod z  částky, ve které byla porušena rozpočtová kázeň (tj. z vyčerpané částky podpory).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3893"/>
      </w:tblGrid>
      <w:tr w:rsidR="0036710A" w:rsidRPr="00B62619" w14:paraId="7395DA01" w14:textId="77777777" w:rsidTr="00945A28">
        <w:tc>
          <w:tcPr>
            <w:tcW w:w="4536" w:type="dxa"/>
          </w:tcPr>
          <w:p w14:paraId="69256DB6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Celková míra naplnění indikátorů výstupů uvedených v Informaci o projektu v příloze č. 1</w:t>
            </w:r>
          </w:p>
        </w:tc>
        <w:tc>
          <w:tcPr>
            <w:tcW w:w="3897" w:type="dxa"/>
          </w:tcPr>
          <w:p w14:paraId="5BEECF5C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Procento odvodu z částky, ve které byla porušena rozpočtová kázeň</w:t>
            </w:r>
          </w:p>
        </w:tc>
      </w:tr>
      <w:tr w:rsidR="0036710A" w:rsidRPr="00B62619" w14:paraId="099F6D0D" w14:textId="77777777" w:rsidTr="00945A28">
        <w:tc>
          <w:tcPr>
            <w:tcW w:w="4536" w:type="dxa"/>
            <w:vAlign w:val="center"/>
          </w:tcPr>
          <w:p w14:paraId="56D9538B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méně než 85 % až 70 %</w:t>
            </w:r>
          </w:p>
        </w:tc>
        <w:tc>
          <w:tcPr>
            <w:tcW w:w="3897" w:type="dxa"/>
          </w:tcPr>
          <w:p w14:paraId="6A66ED03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15 %</w:t>
            </w:r>
          </w:p>
        </w:tc>
      </w:tr>
      <w:tr w:rsidR="0036710A" w:rsidRPr="00B62619" w14:paraId="7267EC82" w14:textId="77777777" w:rsidTr="00945A28">
        <w:tc>
          <w:tcPr>
            <w:tcW w:w="4536" w:type="dxa"/>
            <w:vAlign w:val="center"/>
          </w:tcPr>
          <w:p w14:paraId="442740D9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méně než 70 % až 55 %</w:t>
            </w:r>
          </w:p>
        </w:tc>
        <w:tc>
          <w:tcPr>
            <w:tcW w:w="3897" w:type="dxa"/>
          </w:tcPr>
          <w:p w14:paraId="30EF965B" w14:textId="77777777" w:rsidR="0036710A" w:rsidRPr="00B62619" w:rsidRDefault="0036710A" w:rsidP="00945A28">
            <w:pPr>
              <w:pStyle w:val="Tabulkatext12"/>
              <w:spacing w:before="20" w:after="20"/>
              <w:rPr>
                <w:bCs/>
              </w:rPr>
            </w:pPr>
            <w:r w:rsidRPr="00B62619">
              <w:t>20 %</w:t>
            </w:r>
          </w:p>
        </w:tc>
      </w:tr>
      <w:tr w:rsidR="0036710A" w:rsidRPr="00B62619" w14:paraId="68946AE6" w14:textId="77777777" w:rsidTr="00945A28">
        <w:tc>
          <w:tcPr>
            <w:tcW w:w="4536" w:type="dxa"/>
            <w:vAlign w:val="center"/>
          </w:tcPr>
          <w:p w14:paraId="17E9340F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méně než 55 % až 40 %</w:t>
            </w:r>
          </w:p>
        </w:tc>
        <w:tc>
          <w:tcPr>
            <w:tcW w:w="3897" w:type="dxa"/>
          </w:tcPr>
          <w:p w14:paraId="687EEE9A" w14:textId="77777777" w:rsidR="0036710A" w:rsidRPr="00B62619" w:rsidRDefault="0036710A" w:rsidP="00945A28">
            <w:pPr>
              <w:pStyle w:val="Tabulkatext12"/>
              <w:spacing w:before="20" w:after="20"/>
              <w:rPr>
                <w:bCs/>
              </w:rPr>
            </w:pPr>
            <w:r w:rsidRPr="00B62619">
              <w:t>30 %</w:t>
            </w:r>
          </w:p>
        </w:tc>
      </w:tr>
      <w:tr w:rsidR="0036710A" w:rsidRPr="00B62619" w14:paraId="3304F9CA" w14:textId="77777777" w:rsidTr="00945A28">
        <w:tc>
          <w:tcPr>
            <w:tcW w:w="4536" w:type="dxa"/>
            <w:vAlign w:val="center"/>
          </w:tcPr>
          <w:p w14:paraId="20D5FB68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méně než 40 %</w:t>
            </w:r>
          </w:p>
        </w:tc>
        <w:tc>
          <w:tcPr>
            <w:tcW w:w="3897" w:type="dxa"/>
          </w:tcPr>
          <w:p w14:paraId="4C1A964E" w14:textId="77777777" w:rsidR="0036710A" w:rsidRPr="00B62619" w:rsidRDefault="0036710A" w:rsidP="00945A28">
            <w:pPr>
              <w:pStyle w:val="Tabulkatext12"/>
              <w:spacing w:before="20" w:after="20"/>
              <w:rPr>
                <w:bCs/>
              </w:rPr>
            </w:pPr>
            <w:r w:rsidRPr="00B62619">
              <w:t>50 %</w:t>
            </w:r>
          </w:p>
        </w:tc>
      </w:tr>
    </w:tbl>
    <w:p w14:paraId="60EF90D9" w14:textId="77777777" w:rsidR="0036710A" w:rsidRPr="00B62619" w:rsidRDefault="0036710A" w:rsidP="0036710A">
      <w:pPr>
        <w:spacing w:before="60" w:after="60"/>
        <w:ind w:left="567"/>
      </w:pPr>
      <w:r w:rsidRPr="00B62619">
        <w:t>V případě, že k okamžiku schválení závěrečné zprávy o realizaci platná Pravidla OPZ stanoví pro příjemce příznivěji jednotlivá rozmezí celkové míry naplnění indikátorů výstupů či s tímto spojené procento odvodu mírněji než tyto Podmínky, uplatní se při vyměření odvodu tato úprava v Pravidlech OPZ.</w:t>
      </w:r>
    </w:p>
    <w:p w14:paraId="6194C632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after="60"/>
        <w:ind w:left="567" w:hanging="567"/>
        <w:rPr>
          <w:sz w:val="22"/>
          <w:szCs w:val="22"/>
        </w:rPr>
      </w:pPr>
      <w:r w:rsidRPr="00B62619">
        <w:rPr>
          <w:sz w:val="22"/>
          <w:szCs w:val="22"/>
        </w:rPr>
        <w:t>V případě, že do data ukončení realizace projektu nebude splněna celková cílová hodnota indikátorů výsledků uvedená v části III bodě 2.1, bude vyměřen následující odvod z částky, ve které byla porušena rozpočtová kázeň (tj. z vyčerpané částky podpory).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3893"/>
      </w:tblGrid>
      <w:tr w:rsidR="0036710A" w:rsidRPr="00B62619" w14:paraId="79E964A0" w14:textId="77777777" w:rsidTr="00945A28">
        <w:tc>
          <w:tcPr>
            <w:tcW w:w="4536" w:type="dxa"/>
          </w:tcPr>
          <w:p w14:paraId="2384658D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Celková míra naplnění indikátorů výsledků uvedených v Informaci o projektu v příloze č. 1</w:t>
            </w:r>
          </w:p>
        </w:tc>
        <w:tc>
          <w:tcPr>
            <w:tcW w:w="3897" w:type="dxa"/>
          </w:tcPr>
          <w:p w14:paraId="29388F97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Procento odvodu z částky, ve které byla porušena rozpočtová kázeň</w:t>
            </w:r>
          </w:p>
        </w:tc>
      </w:tr>
      <w:tr w:rsidR="0036710A" w:rsidRPr="00B62619" w14:paraId="4816676A" w14:textId="77777777" w:rsidTr="00945A28">
        <w:tc>
          <w:tcPr>
            <w:tcW w:w="4536" w:type="dxa"/>
          </w:tcPr>
          <w:p w14:paraId="09C646FD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méně než 75 % až 50%</w:t>
            </w:r>
          </w:p>
        </w:tc>
        <w:tc>
          <w:tcPr>
            <w:tcW w:w="3897" w:type="dxa"/>
          </w:tcPr>
          <w:p w14:paraId="169E0AF0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>10 %</w:t>
            </w:r>
          </w:p>
        </w:tc>
      </w:tr>
      <w:tr w:rsidR="0036710A" w:rsidRPr="00B62619" w14:paraId="6C0B634E" w14:textId="77777777" w:rsidTr="00945A28">
        <w:tc>
          <w:tcPr>
            <w:tcW w:w="4536" w:type="dxa"/>
          </w:tcPr>
          <w:p w14:paraId="1E8A1943" w14:textId="77777777" w:rsidR="0036710A" w:rsidRPr="00B62619" w:rsidRDefault="0036710A" w:rsidP="00945A28">
            <w:pPr>
              <w:pStyle w:val="Tabulkatext12"/>
              <w:spacing w:before="20" w:after="20"/>
            </w:pPr>
            <w:r w:rsidRPr="00B62619">
              <w:t xml:space="preserve">méně než 50 % </w:t>
            </w:r>
          </w:p>
        </w:tc>
        <w:tc>
          <w:tcPr>
            <w:tcW w:w="3897" w:type="dxa"/>
          </w:tcPr>
          <w:p w14:paraId="32F7EB51" w14:textId="77777777" w:rsidR="0036710A" w:rsidRPr="00B62619" w:rsidRDefault="0036710A" w:rsidP="00945A28">
            <w:pPr>
              <w:pStyle w:val="Tabulkatext12"/>
              <w:spacing w:before="20" w:after="20"/>
              <w:rPr>
                <w:bCs/>
              </w:rPr>
            </w:pPr>
            <w:r w:rsidRPr="00B62619">
              <w:t>20 %</w:t>
            </w:r>
          </w:p>
        </w:tc>
      </w:tr>
    </w:tbl>
    <w:p w14:paraId="0BEDA239" w14:textId="77777777" w:rsidR="0036710A" w:rsidRPr="00B62619" w:rsidRDefault="0036710A" w:rsidP="0036710A">
      <w:pPr>
        <w:spacing w:before="60" w:after="60"/>
        <w:ind w:left="567"/>
      </w:pPr>
      <w:r w:rsidRPr="00B62619">
        <w:t>V případě, že k okamžiku schválení závěrečné zprávy o realizaci platná Pravidla OPZ stanoví pro příjemce příznivěji jednotlivá rozmezí celkové míry naplnění indikátorů výsledků či s tímto spojené procento odvodu mírněji než tyto Podmínky, uplatní se při vyměření odvodu tato úprava v Pravidlech OPZ.</w:t>
      </w:r>
    </w:p>
    <w:p w14:paraId="367513FD" w14:textId="77777777" w:rsidR="0036710A" w:rsidRPr="00B62619" w:rsidRDefault="0036710A" w:rsidP="0036710A">
      <w:pPr>
        <w:pStyle w:val="slovanseznam"/>
        <w:numPr>
          <w:ilvl w:val="1"/>
          <w:numId w:val="48"/>
        </w:numPr>
        <w:spacing w:before="60" w:after="60"/>
        <w:ind w:left="567" w:hanging="567"/>
      </w:pPr>
      <w:r w:rsidRPr="00B62619">
        <w:rPr>
          <w:sz w:val="22"/>
          <w:szCs w:val="22"/>
        </w:rPr>
        <w:t>V případě, že dojde k porušení povinnosti provádět příslušnou aktivitu projektu v souladu s předloženým plánem aktivit projektu, jež je dle Pravidel OPZ považováno za porušení rozpočtové kázně, bude odvod za porušení rozpočtové kázně vyměřen dle § 44a odst. 4 písm. a) rozpočtových pravidel ve výši stanovené za porušení této povinnosti v Obecné části pravidel pro žadatele a příjemce v rámci OPZ.</w:t>
      </w:r>
    </w:p>
    <w:p w14:paraId="448C9BFD" w14:textId="77777777" w:rsidR="0036710A" w:rsidRPr="00B62619" w:rsidRDefault="0036710A" w:rsidP="0036710A">
      <w:pPr>
        <w:pStyle w:val="slovanseznam"/>
        <w:numPr>
          <w:ilvl w:val="0"/>
          <w:numId w:val="48"/>
        </w:numPr>
        <w:spacing w:before="240" w:after="120"/>
        <w:rPr>
          <w:b/>
          <w:bCs/>
          <w:sz w:val="22"/>
          <w:szCs w:val="22"/>
        </w:rPr>
      </w:pPr>
      <w:r w:rsidRPr="00B62619">
        <w:rPr>
          <w:b/>
          <w:bCs/>
          <w:sz w:val="22"/>
          <w:szCs w:val="22"/>
        </w:rPr>
        <w:t>Porušení povinností, jež není porušením rozpočtové kázně</w:t>
      </w:r>
    </w:p>
    <w:p w14:paraId="614912E6" w14:textId="77777777" w:rsidR="0036710A" w:rsidRPr="00B62619" w:rsidRDefault="0036710A" w:rsidP="0036710A">
      <w:pPr>
        <w:pStyle w:val="slovanseznam"/>
        <w:spacing w:after="60"/>
        <w:rPr>
          <w:sz w:val="22"/>
          <w:szCs w:val="22"/>
        </w:rPr>
      </w:pPr>
      <w:r w:rsidRPr="00B62619">
        <w:rPr>
          <w:sz w:val="22"/>
          <w:szCs w:val="22"/>
        </w:rPr>
        <w:t xml:space="preserve">V případě, že </w:t>
      </w:r>
    </w:p>
    <w:p w14:paraId="4B66E12A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 porušení povinností předložit MPSV zprávu o realizaci projektu (včetně žádosti o platbu), předložit MPSV vyžádanou informaci (uvedených v části II bodě 5.2 a bodě 10, v části III v bodech 2.2 až 2.4) a prodlení bude trvat méně než 7 kalendářních dní, přičemž určující pro počátek běhu prodlení je termín vyplývající z těchto Podmínek ve znění případného vyjádření MPSV o změně termínu, které je příjemci k dispozici v MS2014+,</w:t>
      </w:r>
    </w:p>
    <w:p w14:paraId="44D8D968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 porušení povinností předložit MPSV zprávu o realizaci projektu, včetně žádosti o platbu (uvedených v části III v bodech 2.2 až 2.4) nebo povinnosti předložit poskytovateli plán aktivit projektu vyžádaný podle Pravidel OPZ a prodlení je způsobeno tím, že příjemce nemohl z důvodu technických překážek na straně MS2014+ zprávu o realizaci projektu, žádost o platbu nebo plán aktivit projektu předložit,</w:t>
      </w:r>
    </w:p>
    <w:p w14:paraId="4E1939C1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 porušení povinností týkajících se zadávání zakázek (uvedených v části II bodě 6.1), jež dle Pravidel OPZ není považováno za porušení rozpočtové kázně, nebo dojde k porušení povinností uvedených v části II bodě 6.2,</w:t>
      </w:r>
    </w:p>
    <w:p w14:paraId="38C98C30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 porušení povinností týkajících se provádění informačních a komunikačních opatření (uvedených v části II bodě 9), jež dle Pravidel OPZ není považováno za porušení rozpočtové kázně,</w:t>
      </w:r>
    </w:p>
    <w:p w14:paraId="2713D692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 xml:space="preserve">dojde k porušení povinnosti týkající se oznamování (uvedené v části II bodě 11), včetně oznamování nepodstatných změn a v Pravidlech OPZ je pro dané pochybení stanoveno, že nezakládá porušení rozpočtové kázně, </w:t>
      </w:r>
    </w:p>
    <w:p w14:paraId="3F1B5D4E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 porušení povinnosti týkající se vypořádání projektu v souladu s rozpočtovými pravidly a aktuálně platnou vyhláškou upravující zásady a lhůty finančního vypořádání vztahů se státním rozpočtem</w:t>
      </w:r>
      <w:r w:rsidRPr="00B62619" w:rsidDel="00994D92">
        <w:t xml:space="preserve"> </w:t>
      </w:r>
      <w:r w:rsidRPr="00B62619">
        <w:t>(uvedených v části II bodě 13),</w:t>
      </w:r>
    </w:p>
    <w:p w14:paraId="17D75101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 xml:space="preserve">bude splněna cílová hodnota indikátorů výstupů uvedených v Informaci o projektu v příloze č. 1 těchto Podmínek z 85 % nebo více,  </w:t>
      </w:r>
    </w:p>
    <w:p w14:paraId="3A4B5AC5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 xml:space="preserve">bude splněna cílová hodnota indikátorů výsledků uvedených v Informaci o projektu v příloze č. 1 těchto Podmínek ze 75 % nebo více, </w:t>
      </w:r>
    </w:p>
    <w:p w14:paraId="77E61560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 nedodržení finančního plánu projektu obsaženého v příloze č. 1 těchto Podmínek, příp. upraveného v režimu nepodstatných změn projektu,</w:t>
      </w:r>
    </w:p>
    <w:p w14:paraId="50CEED99" w14:textId="77777777" w:rsidR="0036710A" w:rsidRPr="00B62619" w:rsidRDefault="0036710A" w:rsidP="0036710A">
      <w:pPr>
        <w:pStyle w:val="Odrky311"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 porušení povinností dle části VI těchto Podmínek,</w:t>
      </w:r>
    </w:p>
    <w:p w14:paraId="2D7DEBD0" w14:textId="77777777" w:rsidR="0036710A" w:rsidRPr="00B62619" w:rsidRDefault="0036710A" w:rsidP="0036710A">
      <w:pPr>
        <w:pStyle w:val="Odrky311"/>
        <w:keepNext/>
        <w:numPr>
          <w:ilvl w:val="2"/>
          <w:numId w:val="6"/>
        </w:numPr>
        <w:tabs>
          <w:tab w:val="clear" w:pos="1191"/>
          <w:tab w:val="num" w:pos="709"/>
        </w:tabs>
        <w:spacing w:after="60"/>
        <w:ind w:left="709" w:hanging="283"/>
      </w:pPr>
      <w:r w:rsidRPr="00B62619">
        <w:t>dojde k porušení povinnosti aktualizovat v IS KP14+ údaje o zakázkách a kontrolách/auditech týkajících se projektu,</w:t>
      </w:r>
    </w:p>
    <w:p w14:paraId="52CC4D3F" w14:textId="77777777" w:rsidR="0036710A" w:rsidRPr="00B62619" w:rsidRDefault="0036710A" w:rsidP="0036710A">
      <w:pPr>
        <w:pStyle w:val="slovanseznam"/>
        <w:widowControl w:val="0"/>
        <w:tabs>
          <w:tab w:val="num" w:pos="-5103"/>
        </w:tabs>
        <w:overflowPunct w:val="0"/>
        <w:autoSpaceDE w:val="0"/>
        <w:autoSpaceDN w:val="0"/>
        <w:adjustRightInd w:val="0"/>
        <w:spacing w:after="240"/>
        <w:contextualSpacing/>
        <w:textAlignment w:val="baseline"/>
        <w:rPr>
          <w:sz w:val="22"/>
          <w:szCs w:val="22"/>
        </w:rPr>
      </w:pPr>
      <w:r w:rsidRPr="00B62619">
        <w:rPr>
          <w:sz w:val="22"/>
          <w:szCs w:val="22"/>
        </w:rPr>
        <w:t>nejedná se o porušení rozpočtové kázně ve smyslu rozpočtových pravidel.</w:t>
      </w:r>
    </w:p>
    <w:p w14:paraId="02BC5D0E" w14:textId="77777777" w:rsidR="0036710A" w:rsidRPr="00B62619" w:rsidRDefault="0036710A" w:rsidP="0036710A"/>
    <w:p w14:paraId="0F4A9C89" w14:textId="77777777" w:rsidR="0036710A" w:rsidRPr="00B62619" w:rsidRDefault="0036710A" w:rsidP="0036710A">
      <w:pPr>
        <w:shd w:val="clear" w:color="auto" w:fill="F2F2F2"/>
        <w:rPr>
          <w:rFonts w:ascii="Arial" w:eastAsia="Calibri" w:hAnsi="Arial" w:cs="Arial"/>
          <w:b/>
        </w:rPr>
      </w:pPr>
      <w:r w:rsidRPr="00B62619">
        <w:rPr>
          <w:rFonts w:ascii="Arial" w:eastAsia="Calibri" w:hAnsi="Arial" w:cs="Arial"/>
          <w:b/>
        </w:rPr>
        <w:t xml:space="preserve">Část VI – Pověření ke zpracování osobních údajů </w:t>
      </w:r>
    </w:p>
    <w:p w14:paraId="3C63DAF6" w14:textId="77777777" w:rsidR="0036710A" w:rsidRPr="00B62619" w:rsidRDefault="0036710A" w:rsidP="0036710A">
      <w:pPr>
        <w:numPr>
          <w:ilvl w:val="0"/>
          <w:numId w:val="61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62619">
        <w:rPr>
          <w:rFonts w:ascii="Arial" w:eastAsia="Times New Roman" w:hAnsi="Arial" w:cs="Arial"/>
          <w:b/>
          <w:bCs/>
          <w:lang w:eastAsia="cs-CZ"/>
        </w:rPr>
        <w:t xml:space="preserve">Pověření a účel zpracování osobních údajů </w:t>
      </w:r>
    </w:p>
    <w:p w14:paraId="5DD3D9C5" w14:textId="77777777" w:rsidR="0036710A" w:rsidRPr="00B62619" w:rsidRDefault="0036710A" w:rsidP="0036710A">
      <w:pPr>
        <w:pStyle w:val="slovanseznam"/>
        <w:numPr>
          <w:ilvl w:val="1"/>
          <w:numId w:val="61"/>
        </w:numPr>
        <w:spacing w:after="40"/>
        <w:rPr>
          <w:rFonts w:eastAsia="Calibri"/>
          <w:sz w:val="22"/>
          <w:szCs w:val="22"/>
        </w:rPr>
      </w:pPr>
      <w:r w:rsidRPr="00B62619">
        <w:rPr>
          <w:rFonts w:eastAsia="Calibri"/>
          <w:sz w:val="22"/>
          <w:szCs w:val="22"/>
        </w:rPr>
        <w:t xml:space="preserve">MPSV je jakožto správce podle čl. 6 odst. 1 písm. c) </w:t>
      </w:r>
      <w:r w:rsidRPr="00C73080">
        <w:rPr>
          <w:rFonts w:eastAsia="Calibri"/>
          <w:sz w:val="22"/>
          <w:szCs w:val="22"/>
        </w:rPr>
        <w:t xml:space="preserve">a podle čl. 9 odst. 2 písm. g) </w:t>
      </w:r>
      <w:r w:rsidRPr="00B62619">
        <w:rPr>
          <w:rFonts w:eastAsia="Calibri"/>
          <w:sz w:val="22"/>
          <w:szCs w:val="22"/>
        </w:rPr>
        <w:t>nařízení Evropského parlamentu a Rady (EU) 2016/679 ze dne 27. dubna 2016, o</w:t>
      </w:r>
      <w:r>
        <w:rPr>
          <w:rFonts w:eastAsia="Calibri"/>
          <w:sz w:val="22"/>
          <w:szCs w:val="22"/>
        </w:rPr>
        <w:t> </w:t>
      </w:r>
      <w:r w:rsidRPr="00B62619">
        <w:rPr>
          <w:rFonts w:eastAsia="Calibri"/>
          <w:sz w:val="22"/>
          <w:szCs w:val="22"/>
        </w:rPr>
        <w:t>ochraně fyzických osob v souvislosti se zpracováním osobních údajů a o volném pohybu těchto údajů a o zrušení směrnice 95/46/ES (dále jen „Obecné nařízení o</w:t>
      </w:r>
      <w:r>
        <w:rPr>
          <w:rFonts w:eastAsia="Calibri"/>
          <w:sz w:val="22"/>
          <w:szCs w:val="22"/>
        </w:rPr>
        <w:t> </w:t>
      </w:r>
      <w:r w:rsidRPr="00B62619">
        <w:rPr>
          <w:rFonts w:eastAsia="Calibri"/>
          <w:sz w:val="22"/>
          <w:szCs w:val="22"/>
        </w:rPr>
        <w:t xml:space="preserve">ochraně osobních údajů“), oprávněno zpracovávat osobní údaje podpořených osob </w:t>
      </w:r>
      <w:r w:rsidRPr="00C73080">
        <w:rPr>
          <w:rFonts w:eastAsia="Calibri"/>
          <w:sz w:val="22"/>
          <w:szCs w:val="22"/>
        </w:rPr>
        <w:t xml:space="preserve">(včetně zvláštních kategorií osobních údajů) </w:t>
      </w:r>
      <w:r w:rsidRPr="00B62619">
        <w:rPr>
          <w:rFonts w:eastAsia="Calibri"/>
          <w:sz w:val="22"/>
          <w:szCs w:val="22"/>
        </w:rPr>
        <w:t>na základě nařízení Evropského parlamentu a Rady (EU) č. 1304/2013 ze dne 17. prosince 2013 o Evropském sociálním fondu a o zrušení nařízení Rady (ES) č. 1081/2006, zejména jeho přílohy I.</w:t>
      </w:r>
    </w:p>
    <w:p w14:paraId="23564292" w14:textId="77777777" w:rsidR="0036710A" w:rsidRPr="00B62619" w:rsidRDefault="0036710A" w:rsidP="0036710A">
      <w:pPr>
        <w:pStyle w:val="slovanseznam"/>
        <w:numPr>
          <w:ilvl w:val="1"/>
          <w:numId w:val="61"/>
        </w:numPr>
        <w:spacing w:after="40"/>
        <w:rPr>
          <w:rFonts w:eastAsia="Calibri"/>
          <w:sz w:val="22"/>
          <w:szCs w:val="22"/>
        </w:rPr>
      </w:pPr>
      <w:r w:rsidRPr="00B62619">
        <w:rPr>
          <w:rFonts w:eastAsia="Calibri"/>
          <w:sz w:val="22"/>
          <w:szCs w:val="22"/>
        </w:rPr>
        <w:t>MPSV pověřuje příjemce, jakožto zpracovatele, ke zpracování osobních údajů, včetně zvláštní kategorie osobních údajů (dále jen „osobní údaje“), osob podpořených v projektu za účelem prokázání řádného a efektivního nakládání s prostředky Evropského sociálního fondu, které byly na realizaci projektu poskytnuty z OPZ těmito Podmínkami, a to v rozsahu uvedeném v bodě 2 části VI těchto Podmínek.</w:t>
      </w:r>
    </w:p>
    <w:p w14:paraId="3F449303" w14:textId="77777777" w:rsidR="0036710A" w:rsidRPr="00B62619" w:rsidRDefault="0036710A" w:rsidP="0036710A">
      <w:pPr>
        <w:keepNext/>
        <w:numPr>
          <w:ilvl w:val="0"/>
          <w:numId w:val="61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62619">
        <w:rPr>
          <w:rFonts w:ascii="Arial" w:eastAsia="Times New Roman" w:hAnsi="Arial" w:cs="Arial"/>
          <w:b/>
          <w:bCs/>
          <w:lang w:eastAsia="cs-CZ"/>
        </w:rPr>
        <w:t>Rozsah zpracování osobních údajů na základě pověření a jejich ochrana</w:t>
      </w:r>
    </w:p>
    <w:p w14:paraId="44C8A7DE" w14:textId="77777777" w:rsidR="0036710A" w:rsidRPr="00B62619" w:rsidRDefault="0036710A" w:rsidP="0036710A">
      <w:pPr>
        <w:keepNext/>
        <w:numPr>
          <w:ilvl w:val="1"/>
          <w:numId w:val="61"/>
        </w:numPr>
        <w:spacing w:before="240"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>Příjemce je oprávněn zpracovávat osobní údaje podpořené osoby v rozsahu vymezeném v Obecné části pravidel pro žadatele a příjemce v rámci OPZ.</w:t>
      </w:r>
    </w:p>
    <w:p w14:paraId="60DCB7F4" w14:textId="77777777" w:rsidR="0036710A" w:rsidRPr="00B62619" w:rsidRDefault="0036710A" w:rsidP="0036710A">
      <w:pPr>
        <w:numPr>
          <w:ilvl w:val="1"/>
          <w:numId w:val="61"/>
        </w:numPr>
        <w:spacing w:before="40"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>Osobní údaje je příjemce oprávněn zpracovávat výhradně v souvislosti s realizací projektu, zejména pak při přípravě zpráv o realizaci projektu.</w:t>
      </w:r>
    </w:p>
    <w:p w14:paraId="0E89F059" w14:textId="77777777" w:rsidR="0036710A" w:rsidRPr="00B62619" w:rsidRDefault="0036710A" w:rsidP="0036710A">
      <w:pPr>
        <w:numPr>
          <w:ilvl w:val="0"/>
          <w:numId w:val="61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62619">
        <w:rPr>
          <w:rFonts w:ascii="Arial" w:eastAsia="Times New Roman" w:hAnsi="Arial" w:cs="Arial"/>
          <w:b/>
          <w:bCs/>
          <w:lang w:eastAsia="cs-CZ"/>
        </w:rPr>
        <w:t>Technické a organizační zabezpečení ochrany osobních údajů</w:t>
      </w:r>
    </w:p>
    <w:p w14:paraId="5CD63E9A" w14:textId="77777777" w:rsidR="0036710A" w:rsidRPr="00B62619" w:rsidRDefault="0036710A" w:rsidP="0036710A">
      <w:pPr>
        <w:spacing w:after="6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Příjemce je povinen zpracovávat a chránit osobní údaje v souladu s </w:t>
      </w:r>
      <w:r w:rsidRPr="00B62619">
        <w:t xml:space="preserve">Obecným nařízením </w:t>
      </w:r>
      <w:r>
        <w:rPr>
          <w:rFonts w:ascii="Arial" w:eastAsia="Calibri" w:hAnsi="Arial" w:cs="Arial"/>
        </w:rPr>
        <w:t>o </w:t>
      </w:r>
      <w:r w:rsidRPr="00B62619">
        <w:rPr>
          <w:rFonts w:ascii="Arial" w:eastAsia="Calibri" w:hAnsi="Arial" w:cs="Arial"/>
        </w:rPr>
        <w:t>ochraně osobních údajů, a to zejména takto:</w:t>
      </w:r>
    </w:p>
    <w:p w14:paraId="222C8399" w14:textId="77777777" w:rsidR="0036710A" w:rsidRPr="00B62619" w:rsidRDefault="0036710A" w:rsidP="0036710A">
      <w:pPr>
        <w:numPr>
          <w:ilvl w:val="0"/>
          <w:numId w:val="63"/>
        </w:numPr>
        <w:contextualSpacing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osobní údaje ve fyzické podobě, tj. listinné údaje či na nosičích dat, budou uchovávány v  uzamykatelných schránkách, a to po dobu uvedenou v bodě 4 této části těchto Podmínek; </w:t>
      </w:r>
    </w:p>
    <w:p w14:paraId="20C13C68" w14:textId="77777777" w:rsidR="0036710A" w:rsidRPr="00B62619" w:rsidRDefault="0036710A" w:rsidP="0036710A">
      <w:pPr>
        <w:numPr>
          <w:ilvl w:val="0"/>
          <w:numId w:val="63"/>
        </w:numPr>
        <w:contextualSpacing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>osobní údaje v elektronické podobě budou zpracovávány v IS ESF 2014+, jehož správcem je MPSV; MPSV příjemci za účelem vložení osobních údajů zajistí přístupová hesla do IS ESF 2014+;</w:t>
      </w:r>
    </w:p>
    <w:p w14:paraId="3037219F" w14:textId="77777777" w:rsidR="0036710A" w:rsidRPr="00B62619" w:rsidRDefault="0036710A" w:rsidP="0036710A">
      <w:pPr>
        <w:numPr>
          <w:ilvl w:val="0"/>
          <w:numId w:val="63"/>
        </w:numPr>
        <w:contextualSpacing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přístup ke zpracovávaným osobním údajům umožní příjemce pouze MPSV, svým zaměstnancům a orgánům oprávněným provádět kontrolu podle části II bodu 8 těchto Podmínek, </w:t>
      </w:r>
      <w:r w:rsidRPr="00B62619">
        <w:t>s výjimkami uvedenými v bodu 6 této části Podmínek</w:t>
      </w:r>
      <w:r w:rsidRPr="00B62619">
        <w:rPr>
          <w:rFonts w:ascii="Arial" w:eastAsia="Calibri" w:hAnsi="Arial" w:cs="Arial"/>
        </w:rPr>
        <w:t>;</w:t>
      </w:r>
    </w:p>
    <w:p w14:paraId="4E11A14F" w14:textId="77777777" w:rsidR="0036710A" w:rsidRPr="00B62619" w:rsidRDefault="0036710A" w:rsidP="0036710A">
      <w:pPr>
        <w:numPr>
          <w:ilvl w:val="0"/>
          <w:numId w:val="63"/>
        </w:numPr>
        <w:contextualSpacing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zaměstnanci příjemce, kterým bude umožněn přístup ke zpracovávaným osobním údajům, budou příjemcem doložitelně poučeni o povinnosti zachovávat mlčenlivost </w:t>
      </w:r>
      <w:r w:rsidRPr="00B62619">
        <w:rPr>
          <w:rFonts w:ascii="Arial" w:hAnsi="Arial" w:cs="Arial"/>
        </w:rPr>
        <w:t>čl. 28 odst. 3 písm. b) Obecného nařízení o ochraně osobních údajů</w:t>
      </w:r>
      <w:r w:rsidRPr="00B62619">
        <w:rPr>
          <w:rFonts w:ascii="Arial" w:eastAsia="Calibri" w:hAnsi="Arial" w:cs="Arial"/>
        </w:rPr>
        <w:t>.</w:t>
      </w:r>
    </w:p>
    <w:p w14:paraId="156637A8" w14:textId="77777777" w:rsidR="0036710A" w:rsidRPr="00B62619" w:rsidRDefault="0036710A" w:rsidP="0036710A">
      <w:pPr>
        <w:numPr>
          <w:ilvl w:val="0"/>
          <w:numId w:val="61"/>
        </w:numPr>
        <w:spacing w:before="360" w:after="120"/>
        <w:ind w:left="357" w:hanging="357"/>
        <w:rPr>
          <w:rFonts w:ascii="Arial" w:eastAsia="Times New Roman" w:hAnsi="Arial" w:cs="Arial"/>
          <w:b/>
          <w:bCs/>
          <w:lang w:eastAsia="cs-CZ"/>
        </w:rPr>
      </w:pPr>
      <w:r w:rsidRPr="00B62619">
        <w:rPr>
          <w:rFonts w:ascii="Arial" w:eastAsia="Times New Roman" w:hAnsi="Arial" w:cs="Arial"/>
          <w:b/>
          <w:bCs/>
          <w:lang w:eastAsia="cs-CZ"/>
        </w:rPr>
        <w:t>Doba zpracování</w:t>
      </w:r>
    </w:p>
    <w:p w14:paraId="0D71E759" w14:textId="77777777" w:rsidR="0036710A" w:rsidRPr="00B62619" w:rsidRDefault="0036710A" w:rsidP="0036710A">
      <w:pPr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Příjemce je oprávněn zpracovávat osobní údaje po dobu deseti let od ukončení realizace projektu, </w:t>
      </w:r>
      <w:r w:rsidRPr="00B62619">
        <w:t>přičemž tato lhůta začíná běžet 1. ledna následujícího kalendářního roku poté, co byla realizace projektu ukončena</w:t>
      </w:r>
      <w:r w:rsidRPr="00B62619">
        <w:rPr>
          <w:rFonts w:ascii="Arial" w:eastAsia="Calibri" w:hAnsi="Arial" w:cs="Arial"/>
        </w:rPr>
        <w:t>. Bez zbytečného odkladu po uplynutí této doby je příjemce povinen provést likvidaci těchto osobních údajů.</w:t>
      </w:r>
    </w:p>
    <w:p w14:paraId="65C50777" w14:textId="77777777" w:rsidR="0036710A" w:rsidRPr="00B62619" w:rsidRDefault="0036710A" w:rsidP="0036710A">
      <w:pPr>
        <w:numPr>
          <w:ilvl w:val="0"/>
          <w:numId w:val="61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62619">
        <w:rPr>
          <w:rFonts w:ascii="Arial" w:eastAsia="Times New Roman" w:hAnsi="Arial" w:cs="Arial"/>
          <w:b/>
          <w:bCs/>
          <w:lang w:eastAsia="cs-CZ"/>
        </w:rPr>
        <w:t>Další povinnosti příjemce v souvislosti se zpracováním osobních údajů</w:t>
      </w:r>
    </w:p>
    <w:p w14:paraId="52BC3AAB" w14:textId="77777777" w:rsidR="0036710A" w:rsidRPr="00B62619" w:rsidRDefault="0036710A" w:rsidP="0036710A">
      <w:pPr>
        <w:keepNext/>
        <w:numPr>
          <w:ilvl w:val="1"/>
          <w:numId w:val="61"/>
        </w:numPr>
        <w:spacing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Příjemce je povinen MPSV v souladu s čl. 33 odst. 2 Obecného nařízení o ochraně osobních údajů informovat o jakémkoli porušení zabezpečení osobních údajů, a to do 24 hodin od okamžiku, kdy se o něm dozvěděl. </w:t>
      </w:r>
    </w:p>
    <w:p w14:paraId="1A23952E" w14:textId="77777777" w:rsidR="0036710A" w:rsidRPr="00B62619" w:rsidRDefault="0036710A" w:rsidP="0036710A">
      <w:pPr>
        <w:keepNext/>
        <w:numPr>
          <w:ilvl w:val="1"/>
          <w:numId w:val="61"/>
        </w:numPr>
        <w:spacing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>Příjemce je povinen na základě vyžádání předat poskytovateli veškeré informace potřebné k doložení splnění povinností stanovených v </w:t>
      </w:r>
      <w:r w:rsidRPr="00B62619">
        <w:t>této části Podmínek</w:t>
      </w:r>
      <w:r w:rsidRPr="00B62619">
        <w:rPr>
          <w:rFonts w:ascii="Arial" w:eastAsia="Calibri" w:hAnsi="Arial" w:cs="Arial"/>
        </w:rPr>
        <w:t>.</w:t>
      </w:r>
    </w:p>
    <w:p w14:paraId="621EBE21" w14:textId="77777777" w:rsidR="0036710A" w:rsidRPr="00B62619" w:rsidRDefault="0036710A" w:rsidP="0036710A">
      <w:pPr>
        <w:keepNext/>
        <w:numPr>
          <w:ilvl w:val="1"/>
          <w:numId w:val="61"/>
        </w:numPr>
        <w:spacing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>Příjemce je povinen spolupracovat s MPSV při plnění jeho povinnosti reagovat na žádosti podpořených osob týkající se jejich osobních údajů.</w:t>
      </w:r>
    </w:p>
    <w:p w14:paraId="5070EF93" w14:textId="77777777" w:rsidR="0036710A" w:rsidRPr="00B62619" w:rsidRDefault="0036710A" w:rsidP="0036710A">
      <w:pPr>
        <w:numPr>
          <w:ilvl w:val="0"/>
          <w:numId w:val="61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62619">
        <w:rPr>
          <w:rFonts w:ascii="Arial" w:eastAsia="Times New Roman" w:hAnsi="Arial" w:cs="Arial"/>
          <w:b/>
          <w:bCs/>
          <w:lang w:eastAsia="cs-CZ"/>
        </w:rPr>
        <w:t>Zpracování ostatními osobami</w:t>
      </w:r>
    </w:p>
    <w:p w14:paraId="17A3B059" w14:textId="16B20603" w:rsidR="0036710A" w:rsidRPr="00B62619" w:rsidRDefault="0036710A" w:rsidP="0036710A">
      <w:pPr>
        <w:numPr>
          <w:ilvl w:val="1"/>
          <w:numId w:val="61"/>
        </w:numPr>
        <w:spacing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Příjemce je povinen uzavřít smlouvu podle </w:t>
      </w:r>
      <w:r w:rsidRPr="00B62619">
        <w:rPr>
          <w:rFonts w:ascii="Arial" w:hAnsi="Arial" w:cs="Arial"/>
        </w:rPr>
        <w:t xml:space="preserve">čl. 28 odst. 4 Obecného nařízení o ochraně osobních údajů </w:t>
      </w:r>
      <w:r w:rsidRPr="00B62619">
        <w:rPr>
          <w:rFonts w:ascii="Arial" w:eastAsia="Calibri" w:hAnsi="Arial" w:cs="Arial"/>
        </w:rPr>
        <w:t>s partnerem nebo s dodavatelem, pokud taková osoba má v souvislosti s realizací projektu zpracovávat osobní údaje podpořených osob. Stejnou povinnost má partner vůči svému dodavateli. Příjemce je povinen předem MPSV informovat o</w:t>
      </w:r>
      <w:r w:rsidR="00F324C3">
        <w:rPr>
          <w:rFonts w:ascii="Arial" w:eastAsia="Calibri" w:hAnsi="Arial" w:cs="Arial"/>
        </w:rPr>
        <w:t> </w:t>
      </w:r>
      <w:r w:rsidRPr="00B62619">
        <w:rPr>
          <w:rFonts w:ascii="Arial" w:eastAsia="Calibri" w:hAnsi="Arial" w:cs="Arial"/>
        </w:rPr>
        <w:t>veškerých subjektech, které mají v projektu působit jako zpracovatelé osobních údajů. MPSV je oprávněno vyslovit vůči zapojení těchto subjektů jakožto zpracovatelů osobních údajů námitky.</w:t>
      </w:r>
    </w:p>
    <w:p w14:paraId="7DB106EB" w14:textId="77777777" w:rsidR="0036710A" w:rsidRPr="00B62619" w:rsidRDefault="0036710A" w:rsidP="0036710A">
      <w:pPr>
        <w:numPr>
          <w:ilvl w:val="1"/>
          <w:numId w:val="61"/>
        </w:numPr>
        <w:spacing w:after="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>Smlouvy uzavírané podle č</w:t>
      </w:r>
      <w:r w:rsidRPr="00B62619">
        <w:rPr>
          <w:rFonts w:ascii="Arial" w:hAnsi="Arial" w:cs="Arial"/>
        </w:rPr>
        <w:t>l. 28 odst. 4 Obecného nařízení o ochraně osobních údajů</w:t>
      </w:r>
      <w:r w:rsidRPr="002A0629">
        <w:rPr>
          <w:rFonts w:ascii="Arial" w:eastAsia="Calibri" w:hAnsi="Arial" w:cs="Arial"/>
        </w:rPr>
        <w:t xml:space="preserve"> s partnerem, resp. s dodavatelem musí upravovat podmínky zpracování osobních údajů stejně jako podmínky stanovené v pověření příjem</w:t>
      </w:r>
      <w:r w:rsidRPr="00B62619">
        <w:rPr>
          <w:rFonts w:ascii="Arial" w:eastAsia="Calibri" w:hAnsi="Arial" w:cs="Arial"/>
        </w:rPr>
        <w:t>ce v této části těchto Podmínek.</w:t>
      </w:r>
    </w:p>
    <w:p w14:paraId="0B63553E" w14:textId="77777777" w:rsidR="0036710A" w:rsidRPr="00B62619" w:rsidRDefault="0036710A" w:rsidP="0036710A">
      <w:pPr>
        <w:numPr>
          <w:ilvl w:val="1"/>
          <w:numId w:val="61"/>
        </w:numPr>
        <w:spacing w:before="40" w:after="40"/>
        <w:rPr>
          <w:rFonts w:ascii="Arial" w:eastAsia="Calibri" w:hAnsi="Arial" w:cs="Arial"/>
        </w:rPr>
      </w:pPr>
      <w:r w:rsidRPr="00B62619">
        <w:rPr>
          <w:rFonts w:ascii="Arial" w:eastAsia="Calibri" w:hAnsi="Arial" w:cs="Arial"/>
        </w:rPr>
        <w:t xml:space="preserve">Neplní-li uvedený další zpracovatel své povinnosti v oblasti ochrany osobních údajů, odpovídá správci za plnění povinností dotčeného dalšího zpracovatele i nadále plně prvotní zpracovatel. </w:t>
      </w:r>
    </w:p>
    <w:p w14:paraId="7CC9E657" w14:textId="77777777" w:rsidR="0036710A" w:rsidRPr="00B62619" w:rsidRDefault="0036710A" w:rsidP="0036710A"/>
    <w:p w14:paraId="689687FF" w14:textId="77777777" w:rsidR="0036710A" w:rsidRPr="00B62619" w:rsidRDefault="0036710A" w:rsidP="0036710A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B62619">
        <w:rPr>
          <w:rFonts w:ascii="Arial" w:hAnsi="Arial" w:cs="Arial"/>
          <w:b/>
        </w:rPr>
        <w:t>Část VII – Závěrečná ustanovení</w:t>
      </w:r>
    </w:p>
    <w:p w14:paraId="71EC2D28" w14:textId="77777777" w:rsidR="0036710A" w:rsidRPr="00B62619" w:rsidRDefault="0036710A" w:rsidP="0036710A">
      <w:pPr>
        <w:pStyle w:val="slovanseznam"/>
        <w:numPr>
          <w:ilvl w:val="0"/>
          <w:numId w:val="49"/>
        </w:numPr>
        <w:spacing w:before="120" w:after="60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 xml:space="preserve">Pojmy uvedené v těchto Podmínkách jsou používány ve smyslu, jak jsou definovány </w:t>
      </w:r>
      <w:r w:rsidRPr="00B62619">
        <w:rPr>
          <w:sz w:val="22"/>
          <w:szCs w:val="22"/>
        </w:rPr>
        <w:t>v Pravidlech OPZ</w:t>
      </w:r>
      <w:r w:rsidRPr="00B62619">
        <w:rPr>
          <w:iCs/>
          <w:snapToGrid w:val="0"/>
          <w:sz w:val="22"/>
          <w:szCs w:val="22"/>
        </w:rPr>
        <w:t>.</w:t>
      </w:r>
    </w:p>
    <w:p w14:paraId="0C8D4A7A" w14:textId="77777777" w:rsidR="0036710A" w:rsidRPr="00B62619" w:rsidRDefault="0036710A" w:rsidP="0036710A">
      <w:pPr>
        <w:pStyle w:val="slovanseznam"/>
        <w:numPr>
          <w:ilvl w:val="0"/>
          <w:numId w:val="49"/>
        </w:numPr>
        <w:spacing w:after="60"/>
        <w:ind w:left="357" w:hanging="357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>Příjemce je povinen řídit se při realizaci projektu ustanoveními příloh uvedených v bodě 3 této části Podmínek a dále dokumenty, které jsou zmíněny v části II bodě 1 těchto Podmínek.</w:t>
      </w:r>
    </w:p>
    <w:p w14:paraId="236ED003" w14:textId="77777777" w:rsidR="0036710A" w:rsidRPr="00B62619" w:rsidRDefault="0036710A" w:rsidP="0036710A">
      <w:pPr>
        <w:pStyle w:val="slovanseznam"/>
        <w:numPr>
          <w:ilvl w:val="0"/>
          <w:numId w:val="49"/>
        </w:numPr>
        <w:spacing w:after="60"/>
        <w:ind w:left="357" w:hanging="357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>Součástí Podmínek jsou tyto přílohy:</w:t>
      </w:r>
    </w:p>
    <w:p w14:paraId="6D2EC493" w14:textId="77777777" w:rsidR="0036710A" w:rsidRPr="00B62619" w:rsidRDefault="0036710A" w:rsidP="0036710A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>Příloha č. 1 – Informace o projektu (obsahuje klíčové aktivity, cílovou skupinu, rozpočet projektu, partnery, cílové hodnoty indikátorů výstupů a výsledků, finanční plán)</w:t>
      </w:r>
    </w:p>
    <w:p w14:paraId="3638322A" w14:textId="77777777" w:rsidR="0036710A" w:rsidRPr="00B62619" w:rsidRDefault="0036710A" w:rsidP="0036710A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B62619">
        <w:rPr>
          <w:iCs/>
          <w:snapToGrid w:val="0"/>
          <w:sz w:val="22"/>
          <w:szCs w:val="22"/>
        </w:rPr>
        <w:t xml:space="preserve">Příloha č. 2 – </w:t>
      </w:r>
      <w:r w:rsidRPr="00B62619">
        <w:t>…</w:t>
      </w:r>
    </w:p>
    <w:p w14:paraId="24E94B5A" w14:textId="77777777" w:rsidR="0036710A" w:rsidRPr="00B62619" w:rsidRDefault="0036710A" w:rsidP="0036710A">
      <w:pPr>
        <w:pStyle w:val="slovanseznam"/>
        <w:numPr>
          <w:ilvl w:val="0"/>
          <w:numId w:val="49"/>
        </w:numPr>
        <w:spacing w:after="120"/>
        <w:ind w:left="357" w:hanging="357"/>
      </w:pPr>
      <w:r w:rsidRPr="00B62619">
        <w:rPr>
          <w:sz w:val="22"/>
          <w:szCs w:val="22"/>
        </w:rPr>
        <w:t xml:space="preserve">Veškeré změny Podmínek je možné provádět pouze na základě žádosti příjemce. Změny projektu lze provádět v režimu nepodstatné změny nebo podstatné změny. Podstatná změna ve vymezených případech dle Pravidel OPZ vyžaduje vydání rozhodnutí o změně těchto Podmínek, v ostatních vymezených případech dle Pravidel OPZ je podstatná změna schválena rozhodnutím MPSV, které je k dispozici v MS2014+. Nepodstatné změny lze provádět bez souhlasu MPSV. Podrobnosti stanoví Pravidla OPZ. </w:t>
      </w:r>
    </w:p>
    <w:p w14:paraId="24FC8A39" w14:textId="77777777" w:rsidR="0036710A" w:rsidRPr="00B62619" w:rsidRDefault="0036710A" w:rsidP="0036710A">
      <w:pPr>
        <w:spacing w:line="276" w:lineRule="auto"/>
      </w:pPr>
    </w:p>
    <w:p w14:paraId="074F6DF9" w14:textId="77777777" w:rsidR="0036710A" w:rsidRPr="00B62619" w:rsidRDefault="0036710A" w:rsidP="0036710A">
      <w:pPr>
        <w:ind w:left="4248" w:firstLine="708"/>
        <w:rPr>
          <w:rFonts w:ascii="Arial" w:hAnsi="Arial" w:cs="Arial"/>
        </w:rPr>
      </w:pPr>
      <w:r w:rsidRPr="00B62619">
        <w:rPr>
          <w:rFonts w:ascii="Arial" w:hAnsi="Arial" w:cs="Arial"/>
        </w:rPr>
        <w:t>………………………………</w:t>
      </w:r>
    </w:p>
    <w:p w14:paraId="1201D7E8" w14:textId="50B9AE15" w:rsidR="00985433" w:rsidRDefault="0036710A" w:rsidP="0036710A">
      <w:pPr>
        <w:spacing w:line="276" w:lineRule="auto"/>
        <w:jc w:val="right"/>
        <w:rPr>
          <w:rFonts w:ascii="Arial" w:hAnsi="Arial" w:cs="Arial"/>
        </w:rPr>
      </w:pPr>
      <w:r w:rsidRPr="00B62619">
        <w:rPr>
          <w:rFonts w:ascii="Arial" w:hAnsi="Arial" w:cs="Arial"/>
        </w:rPr>
        <w:t>(Uvedení jména a funkce osoby oprávněné vydat podmínky)</w:t>
      </w:r>
    </w:p>
    <w:sectPr w:rsidR="00985433" w:rsidSect="00C4043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8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D7EB" w14:textId="77777777" w:rsidR="00640D76" w:rsidRDefault="00640D76" w:rsidP="00744469">
      <w:pPr>
        <w:spacing w:after="0"/>
      </w:pPr>
      <w:r>
        <w:separator/>
      </w:r>
    </w:p>
  </w:endnote>
  <w:endnote w:type="continuationSeparator" w:id="0">
    <w:p w14:paraId="1201D7EC" w14:textId="77777777"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14:paraId="1201D7F1" w14:textId="77777777" w:rsidTr="007639BE">
      <w:tc>
        <w:tcPr>
          <w:tcW w:w="5000" w:type="pct"/>
          <w:gridSpan w:val="3"/>
          <w:shd w:val="clear" w:color="auto" w:fill="auto"/>
          <w:vAlign w:val="center"/>
        </w:tcPr>
        <w:p w14:paraId="1201D7F0" w14:textId="77777777"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C40432" w14:paraId="1201D7F5" w14:textId="77777777" w:rsidTr="007639BE">
      <w:tc>
        <w:tcPr>
          <w:tcW w:w="1667" w:type="pct"/>
          <w:shd w:val="clear" w:color="auto" w:fill="auto"/>
          <w:vAlign w:val="center"/>
        </w:tcPr>
        <w:p w14:paraId="1201D7F2" w14:textId="650CE713" w:rsidR="00C40432" w:rsidRDefault="00C40432" w:rsidP="00C40432">
          <w:pPr>
            <w:pStyle w:val="Tabulkatext"/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5. 2020</w:t>
          </w:r>
        </w:p>
      </w:tc>
      <w:tc>
        <w:tcPr>
          <w:tcW w:w="1667" w:type="pct"/>
          <w:shd w:val="clear" w:color="auto" w:fill="auto"/>
          <w:vAlign w:val="center"/>
        </w:tcPr>
        <w:p w14:paraId="1201D7F3" w14:textId="5B7B7961" w:rsidR="00C40432" w:rsidRDefault="00C40432" w:rsidP="00C40432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201D7F4" w14:textId="551A5ED1" w:rsidR="00C40432" w:rsidRDefault="00C40432" w:rsidP="00C40432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6026">
            <w:rPr>
              <w:noProof/>
            </w:rPr>
            <w:t>3</w:t>
          </w:r>
          <w:r>
            <w:fldChar w:fldCharType="end"/>
          </w:r>
          <w:r>
            <w:t xml:space="preserve"> z </w:t>
          </w:r>
          <w:fldSimple w:instr=" NUMPAGES   \* MERGEFORMAT ">
            <w:r w:rsidR="00026026">
              <w:rPr>
                <w:noProof/>
              </w:rPr>
              <w:t>13</w:t>
            </w:r>
          </w:fldSimple>
        </w:p>
      </w:tc>
    </w:tr>
  </w:tbl>
  <w:p w14:paraId="1201D7F6" w14:textId="77777777"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1201D7F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1201D7F9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CD14CC" w14:paraId="1201D7FE" w14:textId="77777777" w:rsidTr="00A34F9E">
      <w:tc>
        <w:tcPr>
          <w:tcW w:w="1667" w:type="pct"/>
          <w:shd w:val="clear" w:color="auto" w:fill="auto"/>
          <w:vAlign w:val="center"/>
        </w:tcPr>
        <w:p w14:paraId="1201D7FB" w14:textId="6B28A208" w:rsidR="00CD14CC" w:rsidRDefault="00CD14CC" w:rsidP="00CD14CC">
          <w:pPr>
            <w:pStyle w:val="Tabulkatext"/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5. 2020</w:t>
          </w:r>
        </w:p>
      </w:tc>
      <w:tc>
        <w:tcPr>
          <w:tcW w:w="1667" w:type="pct"/>
          <w:shd w:val="clear" w:color="auto" w:fill="auto"/>
          <w:vAlign w:val="center"/>
        </w:tcPr>
        <w:p w14:paraId="1201D7FC" w14:textId="3DE8C4D9" w:rsidR="00CD14CC" w:rsidRDefault="00CD14CC" w:rsidP="00CD14CC">
          <w:pPr>
            <w:pStyle w:val="Tabulkatext"/>
            <w:jc w:val="center"/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>
            <w:rPr>
              <w:rFonts w:ascii="Arial" w:hAnsi="Arial" w:cs="Arial"/>
              <w:szCs w:val="20"/>
            </w:rPr>
            <w:t>7</w:t>
          </w:r>
          <w:r w:rsidRPr="00767B2B">
            <w:rPr>
              <w:rFonts w:ascii="Arial" w:hAnsi="Arial" w:cs="Arial"/>
              <w:szCs w:val="20"/>
            </w:rPr>
            <w:t xml:space="preserve"> PP 7.</w:t>
          </w:r>
          <w:r>
            <w:rPr>
              <w:rFonts w:ascii="Arial" w:hAnsi="Arial" w:cs="Arial"/>
              <w:szCs w:val="20"/>
            </w:rPr>
            <w:t>E</w:t>
          </w:r>
        </w:p>
      </w:tc>
      <w:tc>
        <w:tcPr>
          <w:tcW w:w="1666" w:type="pct"/>
          <w:shd w:val="clear" w:color="auto" w:fill="auto"/>
          <w:vAlign w:val="center"/>
        </w:tcPr>
        <w:p w14:paraId="1201D7FD" w14:textId="77777777" w:rsidR="00CD14CC" w:rsidRDefault="00CD14CC" w:rsidP="00CD14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13</w:t>
            </w:r>
          </w:fldSimple>
        </w:p>
      </w:tc>
    </w:tr>
  </w:tbl>
  <w:p w14:paraId="1201D7FF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1D7E9" w14:textId="77777777" w:rsidR="00640D76" w:rsidRDefault="00640D76" w:rsidP="00744469">
      <w:pPr>
        <w:spacing w:after="0"/>
      </w:pPr>
      <w:r>
        <w:separator/>
      </w:r>
    </w:p>
  </w:footnote>
  <w:footnote w:type="continuationSeparator" w:id="0">
    <w:p w14:paraId="1201D7EA" w14:textId="77777777" w:rsidR="00640D76" w:rsidRDefault="00640D76" w:rsidP="00744469">
      <w:pPr>
        <w:spacing w:after="0"/>
      </w:pPr>
      <w:r>
        <w:continuationSeparator/>
      </w:r>
    </w:p>
  </w:footnote>
  <w:footnote w:id="1">
    <w:p w14:paraId="5602B985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6DD0">
        <w:rPr>
          <w:szCs w:val="18"/>
        </w:rPr>
        <w:t xml:space="preserve">Části textu podbarvené šedě znamenají podle kontextu nutnost doplnit požadované údaje, možnost </w:t>
      </w:r>
      <w:r>
        <w:rPr>
          <w:szCs w:val="18"/>
        </w:rPr>
        <w:t>doplnit jiný text</w:t>
      </w:r>
      <w:r w:rsidRPr="00C16DD0">
        <w:rPr>
          <w:szCs w:val="18"/>
        </w:rPr>
        <w:t xml:space="preserve"> nebo možnost nepoužít některá z ustanovení (ta, která nejso</w:t>
      </w:r>
      <w:bookmarkStart w:id="0" w:name="_GoBack"/>
      <w:bookmarkEnd w:id="0"/>
      <w:r w:rsidRPr="00C16DD0">
        <w:rPr>
          <w:szCs w:val="18"/>
        </w:rPr>
        <w:t>u v daném projektu relevantní</w:t>
      </w:r>
      <w:r>
        <w:rPr>
          <w:szCs w:val="18"/>
        </w:rPr>
        <w:t>)</w:t>
      </w:r>
      <w:r w:rsidRPr="00C16DD0">
        <w:rPr>
          <w:szCs w:val="18"/>
        </w:rPr>
        <w:t>.</w:t>
      </w:r>
    </w:p>
  </w:footnote>
  <w:footnote w:id="2">
    <w:p w14:paraId="41940BD7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Stanovené procento nenavazuje na specifika projektu a projekt nepředstavuje žádné omezení či závazek.</w:t>
      </w:r>
    </w:p>
  </w:footnote>
  <w:footnote w:id="3">
    <w:p w14:paraId="67971FDA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Není-li uvedeno, že se jedná o jiný podíl.</w:t>
      </w:r>
    </w:p>
  </w:footnote>
  <w:footnote w:id="4">
    <w:p w14:paraId="2BADEBDA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Vyjadřuje podíl v rámci prostředků kalkulovaných pro méně rozvinuté regiony.</w:t>
      </w:r>
    </w:p>
  </w:footnote>
  <w:footnote w:id="5">
    <w:p w14:paraId="4A3DD520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Vyjadřuje podíl v rámci prostředků kalkulovaných pro méně rozvinuté regiony.</w:t>
      </w:r>
    </w:p>
  </w:footnote>
  <w:footnote w:id="6">
    <w:p w14:paraId="4125F8AD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Vyjadřuje podíl v rámci prostředků kalkulovaných pro více rozvinuté regiony.</w:t>
      </w:r>
    </w:p>
  </w:footnote>
  <w:footnote w:id="7">
    <w:p w14:paraId="68C1ECB2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Vyjadřuje podíl v rámci prostředků kalkulovaných pro více rozvinuté regiony.</w:t>
      </w:r>
    </w:p>
  </w:footnote>
  <w:footnote w:id="8">
    <w:p w14:paraId="72A25F6C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6DD0">
        <w:rPr>
          <w:szCs w:val="18"/>
        </w:rPr>
        <w:t xml:space="preserve">Vložit formulaci účelu </w:t>
      </w:r>
      <w:r>
        <w:rPr>
          <w:szCs w:val="18"/>
        </w:rPr>
        <w:t>podpory.</w:t>
      </w:r>
    </w:p>
  </w:footnote>
  <w:footnote w:id="9">
    <w:p w14:paraId="5A33AE9D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Doplňte příslušnou specifickou část pravidel pro žadatele a příjemce.</w:t>
      </w:r>
    </w:p>
  </w:footnote>
  <w:footnote w:id="10">
    <w:p w14:paraId="0BBEAAF5" w14:textId="77777777" w:rsidR="0036710A" w:rsidRDefault="0036710A" w:rsidP="0036710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Případně podle zvláštního zákona, pokud zvláštní zákon obsahuje vlastní úpravu vypořádání.</w:t>
      </w:r>
    </w:p>
  </w:footnote>
  <w:footnote w:id="11">
    <w:p w14:paraId="2CB13E64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 neoprávněné použití peněžních prostředků dle § 3 písm. e) zákona č. 218/2000 Sb., o rozpočtových pravidlech.</w:t>
      </w:r>
    </w:p>
  </w:footnote>
  <w:footnote w:id="12">
    <w:p w14:paraId="26B33D73" w14:textId="77777777" w:rsidR="0036710A" w:rsidRDefault="0036710A" w:rsidP="0036710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Ustanovení se použije, pouze pokud má příjemce v projektu alespoň jednoho partnera s finančním příspěvkem.</w:t>
      </w:r>
    </w:p>
  </w:footnote>
  <w:footnote w:id="13">
    <w:p w14:paraId="45492451" w14:textId="77777777" w:rsidR="0036710A" w:rsidRDefault="0036710A" w:rsidP="0036710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Lze doplnit i v negativním smyslu, tj. uvést činnosti, které byly v příslušné výzvě zakázány. Formuluje se univerzálně dle výzvy, nikoli dle konkrétní žádosti o podporu (příp. dle části výzvy, pokud výzva byla členěná na části a tyto části měly specificky vymezeny uváděné parametry).</w:t>
      </w:r>
    </w:p>
  </w:footnote>
  <w:footnote w:id="14">
    <w:p w14:paraId="22031277" w14:textId="77777777" w:rsidR="0036710A" w:rsidRDefault="0036710A" w:rsidP="0036710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Textaci je nutné upravit, pokud je s ohledem na zahájení realizace projektu před vydáním právního aktu nemožné dodržet standardní lhůty předložení zpráv.</w:t>
      </w:r>
    </w:p>
  </w:footnote>
  <w:footnote w:id="15">
    <w:p w14:paraId="6AE82D4E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E</w:t>
      </w:r>
      <w:r w:rsidRPr="00344729">
        <w:rPr>
          <w:snapToGrid w:val="0"/>
        </w:rPr>
        <w:t xml:space="preserve">xistence </w:t>
      </w:r>
      <w:r>
        <w:rPr>
          <w:snapToGrid w:val="0"/>
        </w:rPr>
        <w:t xml:space="preserve">veřejné podpory bude </w:t>
      </w:r>
      <w:r w:rsidRPr="00344729">
        <w:rPr>
          <w:snapToGrid w:val="0"/>
        </w:rPr>
        <w:t>posouzena při zapojení subjektu do realizace projektu</w:t>
      </w:r>
      <w:r>
        <w:rPr>
          <w:snapToGrid w:val="0"/>
        </w:rPr>
        <w:t>.</w:t>
      </w:r>
    </w:p>
  </w:footnote>
  <w:footnote w:id="16">
    <w:p w14:paraId="681EED83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Body relevantní pouze pro projekty, u nichž nelze vyloučit poskytování veřejné podpory či podpory de minimis dalším subjektům (mimo příjemce dotace a partnera s finančním příspěvkem).</w:t>
      </w:r>
      <w:r w:rsidRPr="006466A3">
        <w:t xml:space="preserve"> </w:t>
      </w:r>
      <w:r>
        <w:t>Upravte tento a následující body, pokud je s útvarem v roli příjemci nastaven postup, že bude poskytování veřejné podpory a podpory de minimis zajišťovat.</w:t>
      </w:r>
    </w:p>
  </w:footnote>
  <w:footnote w:id="17">
    <w:p w14:paraId="058AB540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3E44">
        <w:t>Pouze pro projekty podpořené na základě výzev, u kterých poskytovatel stanovil povinné zpracování evaluačního plánu</w:t>
      </w:r>
      <w:r>
        <w:t>,</w:t>
      </w:r>
      <w:r w:rsidRPr="00AA3E44">
        <w:t xml:space="preserve"> evaluační zpráv</w:t>
      </w:r>
      <w:r>
        <w:t>y</w:t>
      </w:r>
      <w:r w:rsidRPr="00AA3E44">
        <w:t xml:space="preserve"> a shrnutí sociální inovace.</w:t>
      </w:r>
    </w:p>
  </w:footnote>
  <w:footnote w:id="18">
    <w:p w14:paraId="355818FD" w14:textId="77777777" w:rsidR="0036710A" w:rsidRDefault="0036710A" w:rsidP="0036710A">
      <w:pPr>
        <w:pStyle w:val="Textpoznpodarou"/>
      </w:pPr>
      <w:r>
        <w:rPr>
          <w:rStyle w:val="Znakapoznpodarou"/>
        </w:rPr>
        <w:footnoteRef/>
      </w:r>
      <w:r>
        <w:t xml:space="preserve"> Při zpracování právního aktu lze formulaci odstranit bez náhrady nebo upravit způsobem, aby se vztahovala pouze k čerpání nebo pouze k indikátorům. Zpracovatel vychází při přípravě ze specifik daného projektu, resp. výzvy k předkládání žádostí o podporu.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A5883" w14:textId="4F78CD04" w:rsidR="00C40432" w:rsidRDefault="00C40432">
    <w:pPr>
      <w:pStyle w:val="Zhlav"/>
    </w:pPr>
    <w:r>
      <w:rPr>
        <w:noProof/>
        <w:lang w:eastAsia="cs-CZ"/>
      </w:rPr>
      <w:drawing>
        <wp:inline distT="0" distB="0" distL="0" distR="0" wp14:anchorId="685DE639" wp14:editId="7555F564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D7F7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1201D800" wp14:editId="1201D801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1D7F8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 w15:restartNumberingAfterBreak="0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2" w15:restartNumberingAfterBreak="0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 w15:restartNumberingAfterBreak="0">
    <w:nsid w:val="04BB3C2B"/>
    <w:multiLevelType w:val="hybridMultilevel"/>
    <w:tmpl w:val="1FD8E47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5D746A5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C07A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5108ED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8" w15:restartNumberingAfterBreak="0">
    <w:nsid w:val="0B9A56F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336F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FE696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C6ACC"/>
    <w:multiLevelType w:val="hybridMultilevel"/>
    <w:tmpl w:val="AE020164"/>
    <w:lvl w:ilvl="0" w:tplc="0405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5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7859D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E260B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632087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3" w15:restartNumberingAfterBreak="0">
    <w:nsid w:val="2F731C1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C813FD"/>
    <w:multiLevelType w:val="multilevel"/>
    <w:tmpl w:val="3EC22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4B25B72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E1106"/>
    <w:multiLevelType w:val="hybridMultilevel"/>
    <w:tmpl w:val="883256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C2D3D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B061148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03F02DE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5B04FC"/>
    <w:multiLevelType w:val="hybridMultilevel"/>
    <w:tmpl w:val="8806B8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1604EA8"/>
    <w:multiLevelType w:val="hybridMultilevel"/>
    <w:tmpl w:val="06BE16E2"/>
    <w:lvl w:ilvl="0" w:tplc="4380D61A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43654E7F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3B41315"/>
    <w:multiLevelType w:val="hybridMultilevel"/>
    <w:tmpl w:val="7654E066"/>
    <w:lvl w:ilvl="0" w:tplc="377E5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270E820">
      <w:start w:val="1"/>
      <w:numFmt w:val="lowerLetter"/>
      <w:lvlText w:val="%2."/>
      <w:lvlJc w:val="left"/>
      <w:pPr>
        <w:ind w:left="1440" w:hanging="360"/>
      </w:pPr>
    </w:lvl>
    <w:lvl w:ilvl="2" w:tplc="C8A0347A">
      <w:start w:val="1"/>
      <w:numFmt w:val="lowerRoman"/>
      <w:lvlText w:val="%3."/>
      <w:lvlJc w:val="right"/>
      <w:pPr>
        <w:ind w:left="2160" w:hanging="180"/>
      </w:pPr>
    </w:lvl>
    <w:lvl w:ilvl="3" w:tplc="B804EB6A">
      <w:start w:val="1"/>
      <w:numFmt w:val="decimal"/>
      <w:lvlText w:val="%4."/>
      <w:lvlJc w:val="left"/>
      <w:pPr>
        <w:ind w:left="2880" w:hanging="360"/>
      </w:pPr>
    </w:lvl>
    <w:lvl w:ilvl="4" w:tplc="E758CC1C">
      <w:start w:val="1"/>
      <w:numFmt w:val="lowerLetter"/>
      <w:lvlText w:val="%5."/>
      <w:lvlJc w:val="left"/>
      <w:pPr>
        <w:ind w:left="3600" w:hanging="360"/>
      </w:pPr>
    </w:lvl>
    <w:lvl w:ilvl="5" w:tplc="0D40C624">
      <w:start w:val="1"/>
      <w:numFmt w:val="lowerRoman"/>
      <w:lvlText w:val="%6."/>
      <w:lvlJc w:val="right"/>
      <w:pPr>
        <w:ind w:left="4320" w:hanging="180"/>
      </w:pPr>
    </w:lvl>
    <w:lvl w:ilvl="6" w:tplc="C6B24BAE">
      <w:start w:val="1"/>
      <w:numFmt w:val="decimal"/>
      <w:lvlText w:val="%7."/>
      <w:lvlJc w:val="left"/>
      <w:pPr>
        <w:ind w:left="5040" w:hanging="360"/>
      </w:pPr>
    </w:lvl>
    <w:lvl w:ilvl="7" w:tplc="B728172E">
      <w:start w:val="1"/>
      <w:numFmt w:val="lowerLetter"/>
      <w:lvlText w:val="%8."/>
      <w:lvlJc w:val="left"/>
      <w:pPr>
        <w:ind w:left="5760" w:hanging="360"/>
      </w:pPr>
    </w:lvl>
    <w:lvl w:ilvl="8" w:tplc="865888F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5419C6"/>
    <w:multiLevelType w:val="hybridMultilevel"/>
    <w:tmpl w:val="57B8C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AA1BB6"/>
    <w:multiLevelType w:val="hybridMultilevel"/>
    <w:tmpl w:val="AD9022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20A2341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2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7895C35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7A23D6A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CFB4C9E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E176BEB"/>
    <w:multiLevelType w:val="multilevel"/>
    <w:tmpl w:val="B320822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18E606A"/>
    <w:multiLevelType w:val="hybridMultilevel"/>
    <w:tmpl w:val="8424EDF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 w15:restartNumberingAfterBreak="0">
    <w:nsid w:val="61CC2439"/>
    <w:multiLevelType w:val="hybridMultilevel"/>
    <w:tmpl w:val="027467C8"/>
    <w:lvl w:ilvl="0" w:tplc="F5649E76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489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A6F9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8A07F56"/>
    <w:multiLevelType w:val="hybridMultilevel"/>
    <w:tmpl w:val="CA746B9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4" w15:restartNumberingAfterBreak="0">
    <w:nsid w:val="692F72E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533C8"/>
    <w:multiLevelType w:val="hybridMultilevel"/>
    <w:tmpl w:val="FF52883A"/>
    <w:lvl w:ilvl="0" w:tplc="A43E6FD4">
      <w:start w:val="1"/>
      <w:numFmt w:val="bullet"/>
      <w:pStyle w:val="odrka1rovn"/>
      <w:lvlText w:val="∙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7" w15:restartNumberingAfterBreak="0">
    <w:nsid w:val="74C74680"/>
    <w:multiLevelType w:val="hybridMultilevel"/>
    <w:tmpl w:val="9D7C0FC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 w15:restartNumberingAfterBreak="0">
    <w:nsid w:val="767A65E6"/>
    <w:multiLevelType w:val="hybridMultilevel"/>
    <w:tmpl w:val="A38A8744"/>
    <w:lvl w:ilvl="0" w:tplc="D5EC48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EC0150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771C3D46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E2941A5"/>
    <w:multiLevelType w:val="hybridMultilevel"/>
    <w:tmpl w:val="33829372"/>
    <w:lvl w:ilvl="0" w:tplc="70D6200C">
      <w:start w:val="1"/>
      <w:numFmt w:val="lowerLetter"/>
      <w:lvlText w:val="%1)"/>
      <w:lvlJc w:val="left"/>
      <w:pPr>
        <w:ind w:left="7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2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CF098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9"/>
  </w:num>
  <w:num w:numId="4">
    <w:abstractNumId w:val="40"/>
  </w:num>
  <w:num w:numId="5">
    <w:abstractNumId w:val="21"/>
  </w:num>
  <w:num w:numId="6">
    <w:abstractNumId w:val="13"/>
  </w:num>
  <w:num w:numId="7">
    <w:abstractNumId w:val="0"/>
  </w:num>
  <w:num w:numId="8">
    <w:abstractNumId w:val="55"/>
  </w:num>
  <w:num w:numId="9">
    <w:abstractNumId w:val="28"/>
  </w:num>
  <w:num w:numId="10">
    <w:abstractNumId w:val="45"/>
  </w:num>
  <w:num w:numId="11">
    <w:abstractNumId w:val="22"/>
  </w:num>
  <w:num w:numId="12">
    <w:abstractNumId w:val="56"/>
  </w:num>
  <w:num w:numId="13">
    <w:abstractNumId w:val="24"/>
  </w:num>
  <w:num w:numId="14">
    <w:abstractNumId w:val="51"/>
  </w:num>
  <w:num w:numId="15">
    <w:abstractNumId w:val="2"/>
  </w:num>
  <w:num w:numId="16">
    <w:abstractNumId w:val="6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8"/>
  </w:num>
  <w:num w:numId="20">
    <w:abstractNumId w:val="60"/>
  </w:num>
  <w:num w:numId="21">
    <w:abstractNumId w:val="37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8"/>
  </w:num>
  <w:num w:numId="25">
    <w:abstractNumId w:val="42"/>
  </w:num>
  <w:num w:numId="26">
    <w:abstractNumId w:val="23"/>
  </w:num>
  <w:num w:numId="27">
    <w:abstractNumId w:val="12"/>
  </w:num>
  <w:num w:numId="28">
    <w:abstractNumId w:val="39"/>
  </w:num>
  <w:num w:numId="29">
    <w:abstractNumId w:val="1"/>
  </w:num>
  <w:num w:numId="30">
    <w:abstractNumId w:val="46"/>
  </w:num>
  <w:num w:numId="31">
    <w:abstractNumId w:val="49"/>
  </w:num>
  <w:num w:numId="32">
    <w:abstractNumId w:val="26"/>
  </w:num>
  <w:num w:numId="33">
    <w:abstractNumId w:val="15"/>
  </w:num>
  <w:num w:numId="34">
    <w:abstractNumId w:val="52"/>
  </w:num>
  <w:num w:numId="35">
    <w:abstractNumId w:val="32"/>
  </w:num>
  <w:num w:numId="36">
    <w:abstractNumId w:val="7"/>
  </w:num>
  <w:num w:numId="37">
    <w:abstractNumId w:val="20"/>
  </w:num>
  <w:num w:numId="38">
    <w:abstractNumId w:val="47"/>
  </w:num>
  <w:num w:numId="39">
    <w:abstractNumId w:val="19"/>
  </w:num>
  <w:num w:numId="40">
    <w:abstractNumId w:val="63"/>
  </w:num>
  <w:num w:numId="41">
    <w:abstractNumId w:val="31"/>
  </w:num>
  <w:num w:numId="42">
    <w:abstractNumId w:val="44"/>
  </w:num>
  <w:num w:numId="43">
    <w:abstractNumId w:val="41"/>
  </w:num>
  <w:num w:numId="44">
    <w:abstractNumId w:val="6"/>
  </w:num>
  <w:num w:numId="45">
    <w:abstractNumId w:val="30"/>
  </w:num>
  <w:num w:numId="46">
    <w:abstractNumId w:val="59"/>
  </w:num>
  <w:num w:numId="47">
    <w:abstractNumId w:val="16"/>
  </w:num>
  <w:num w:numId="48">
    <w:abstractNumId w:val="54"/>
  </w:num>
  <w:num w:numId="49">
    <w:abstractNumId w:val="43"/>
  </w:num>
  <w:num w:numId="50">
    <w:abstractNumId w:val="35"/>
  </w:num>
  <w:num w:numId="51">
    <w:abstractNumId w:val="53"/>
  </w:num>
  <w:num w:numId="52">
    <w:abstractNumId w:val="57"/>
  </w:num>
  <w:num w:numId="53">
    <w:abstractNumId w:val="18"/>
  </w:num>
  <w:num w:numId="54">
    <w:abstractNumId w:val="48"/>
  </w:num>
  <w:num w:numId="55">
    <w:abstractNumId w:val="33"/>
  </w:num>
  <w:num w:numId="56">
    <w:abstractNumId w:val="27"/>
  </w:num>
  <w:num w:numId="57">
    <w:abstractNumId w:val="3"/>
  </w:num>
  <w:num w:numId="58">
    <w:abstractNumId w:val="50"/>
  </w:num>
  <w:num w:numId="59">
    <w:abstractNumId w:val="34"/>
  </w:num>
  <w:num w:numId="60">
    <w:abstractNumId w:val="61"/>
  </w:num>
  <w:num w:numId="61">
    <w:abstractNumId w:val="11"/>
  </w:num>
  <w:num w:numId="62">
    <w:abstractNumId w:val="25"/>
  </w:num>
  <w:num w:numId="63">
    <w:abstractNumId w:val="58"/>
  </w:num>
  <w:num w:numId="64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26026"/>
    <w:rsid w:val="000532DA"/>
    <w:rsid w:val="00055362"/>
    <w:rsid w:val="00057C9B"/>
    <w:rsid w:val="00065731"/>
    <w:rsid w:val="00067F8E"/>
    <w:rsid w:val="00084CE4"/>
    <w:rsid w:val="000A1FE3"/>
    <w:rsid w:val="000B25D8"/>
    <w:rsid w:val="000D1CD1"/>
    <w:rsid w:val="000E11BF"/>
    <w:rsid w:val="000F0056"/>
    <w:rsid w:val="000F5592"/>
    <w:rsid w:val="0011753D"/>
    <w:rsid w:val="00121E84"/>
    <w:rsid w:val="00125909"/>
    <w:rsid w:val="001641A3"/>
    <w:rsid w:val="001673AF"/>
    <w:rsid w:val="001776A7"/>
    <w:rsid w:val="00181515"/>
    <w:rsid w:val="001819EE"/>
    <w:rsid w:val="00184F3F"/>
    <w:rsid w:val="00185596"/>
    <w:rsid w:val="00194656"/>
    <w:rsid w:val="001B46D5"/>
    <w:rsid w:val="001B55D7"/>
    <w:rsid w:val="001C08A2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2CA0"/>
    <w:rsid w:val="002B3FC2"/>
    <w:rsid w:val="002B6E2F"/>
    <w:rsid w:val="002C4D5F"/>
    <w:rsid w:val="002D7766"/>
    <w:rsid w:val="00301407"/>
    <w:rsid w:val="00302400"/>
    <w:rsid w:val="0030691F"/>
    <w:rsid w:val="00306C59"/>
    <w:rsid w:val="00330790"/>
    <w:rsid w:val="00334D40"/>
    <w:rsid w:val="00342EB6"/>
    <w:rsid w:val="00361180"/>
    <w:rsid w:val="00361FFC"/>
    <w:rsid w:val="00364106"/>
    <w:rsid w:val="0036710A"/>
    <w:rsid w:val="003851E9"/>
    <w:rsid w:val="00394C90"/>
    <w:rsid w:val="00394E65"/>
    <w:rsid w:val="003A5621"/>
    <w:rsid w:val="003A5981"/>
    <w:rsid w:val="003B1163"/>
    <w:rsid w:val="003B6F5A"/>
    <w:rsid w:val="003C2457"/>
    <w:rsid w:val="003C4D02"/>
    <w:rsid w:val="003D107E"/>
    <w:rsid w:val="003D3872"/>
    <w:rsid w:val="003E5795"/>
    <w:rsid w:val="003F02C5"/>
    <w:rsid w:val="004162EF"/>
    <w:rsid w:val="004213FC"/>
    <w:rsid w:val="004354DE"/>
    <w:rsid w:val="004415B1"/>
    <w:rsid w:val="004461FB"/>
    <w:rsid w:val="004548E9"/>
    <w:rsid w:val="00455567"/>
    <w:rsid w:val="00497ED7"/>
    <w:rsid w:val="004C721F"/>
    <w:rsid w:val="004D48D9"/>
    <w:rsid w:val="004D73F0"/>
    <w:rsid w:val="004E466F"/>
    <w:rsid w:val="004E5D87"/>
    <w:rsid w:val="00512C01"/>
    <w:rsid w:val="00536184"/>
    <w:rsid w:val="00536CEE"/>
    <w:rsid w:val="0055203F"/>
    <w:rsid w:val="00556F01"/>
    <w:rsid w:val="0056663D"/>
    <w:rsid w:val="00567C05"/>
    <w:rsid w:val="00570622"/>
    <w:rsid w:val="00573732"/>
    <w:rsid w:val="0059738A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3CAC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12EB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55F6"/>
    <w:rsid w:val="00844670"/>
    <w:rsid w:val="008470CC"/>
    <w:rsid w:val="00847203"/>
    <w:rsid w:val="008647B8"/>
    <w:rsid w:val="008819E7"/>
    <w:rsid w:val="008842D3"/>
    <w:rsid w:val="00890FAA"/>
    <w:rsid w:val="008B607A"/>
    <w:rsid w:val="008C6214"/>
    <w:rsid w:val="008D4A7F"/>
    <w:rsid w:val="008D6622"/>
    <w:rsid w:val="008F7D9B"/>
    <w:rsid w:val="00910732"/>
    <w:rsid w:val="009117F1"/>
    <w:rsid w:val="009343A7"/>
    <w:rsid w:val="00934A32"/>
    <w:rsid w:val="00942E26"/>
    <w:rsid w:val="00942F74"/>
    <w:rsid w:val="009574F9"/>
    <w:rsid w:val="00957942"/>
    <w:rsid w:val="00967D4A"/>
    <w:rsid w:val="00975AD9"/>
    <w:rsid w:val="00985433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57DA4"/>
    <w:rsid w:val="00B6373E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40432"/>
    <w:rsid w:val="00C54BB9"/>
    <w:rsid w:val="00C57626"/>
    <w:rsid w:val="00C70F57"/>
    <w:rsid w:val="00C72443"/>
    <w:rsid w:val="00C86054"/>
    <w:rsid w:val="00C920D4"/>
    <w:rsid w:val="00CA6AF8"/>
    <w:rsid w:val="00CD05F2"/>
    <w:rsid w:val="00CD14CC"/>
    <w:rsid w:val="00CD4548"/>
    <w:rsid w:val="00CE2B93"/>
    <w:rsid w:val="00CE6FA4"/>
    <w:rsid w:val="00CE70CC"/>
    <w:rsid w:val="00CF1BC0"/>
    <w:rsid w:val="00D02889"/>
    <w:rsid w:val="00D02999"/>
    <w:rsid w:val="00D03867"/>
    <w:rsid w:val="00D03E09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B672F"/>
    <w:rsid w:val="00DC370F"/>
    <w:rsid w:val="00DC558E"/>
    <w:rsid w:val="00DD5FB3"/>
    <w:rsid w:val="00DF1B03"/>
    <w:rsid w:val="00E01A72"/>
    <w:rsid w:val="00E073EC"/>
    <w:rsid w:val="00E201FD"/>
    <w:rsid w:val="00E20828"/>
    <w:rsid w:val="00E303D1"/>
    <w:rsid w:val="00E412B3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04560"/>
    <w:rsid w:val="00F14015"/>
    <w:rsid w:val="00F25FB9"/>
    <w:rsid w:val="00F31343"/>
    <w:rsid w:val="00F324C3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201D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uiPriority w:val="99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36410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364106"/>
    <w:pPr>
      <w:numPr>
        <w:ilvl w:val="0"/>
        <w:numId w:val="0"/>
      </w:numPr>
      <w:tabs>
        <w:tab w:val="num" w:pos="1191"/>
      </w:tabs>
      <w:ind w:left="1191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v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W:\METODIKA\VZORY_METODIKA\7E_P7_Vzor podminek_utvar v resortu MPSV_od 01012018.docx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59E05-68AA-4EB4-A729-AAD60578601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fed548f-0517-4d39-90e3-3947398480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6F331C-B1E3-4277-BB83-CB8DD5FC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5922F-08AC-4641-B126-5160BBEE0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4946</Words>
  <Characters>29188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2020-04-23T17:38:00Z</dcterms:created>
  <dcterms:modified xsi:type="dcterms:W3CDTF">2020-04-23T19:47:00Z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